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12.xml" ContentType="application/vnd.openxmlformats-officedocument.wordprocessingml.footer+xml"/>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288"/>
        <w:ind w:firstLine="160"/>
        <w:spacing w:line="360" w:lineRule="auto"/>
        <w:rPr>
          <w:rFonts w:hint="eastAsia" w:ascii="CESI黑体-GB2312" w:hAnsi="CESI黑体-GB2312" w:eastAsia="CESI黑体-GB2312" w:cs="CESI黑体-GB2312"/>
          <w:color w:val="000000"/>
          <w:sz w:val="32"/>
          <w:szCs w:val="32"/>
          <w:highlight w:val="none"/>
        </w:rPr>
      </w:pPr>
      <w:r>
        <w:rPr>
          <w:rFonts w:hint="eastAsia" w:ascii="CESI黑体-GB2312" w:hAnsi="CESI黑体-GB2312" w:eastAsia="CESI黑体-GB2312" w:cs="CESI黑体-GB2312"/>
          <w:color w:val="000000"/>
          <w:sz w:val="32"/>
          <w:szCs w:val="32"/>
          <w:highlight w:val="none"/>
        </w:rPr>
      </w:r>
      <w:r/>
    </w:p>
    <w:p>
      <w:pPr>
        <w:pStyle w:val="1288"/>
        <w:ind w:firstLine="300"/>
        <w:spacing w:line="360" w:lineRule="auto"/>
        <w:rPr>
          <w:color w:val="000000"/>
          <w:sz w:val="60"/>
          <w:szCs w:val="60"/>
          <w:highlight w:val="none"/>
        </w:rPr>
      </w:pPr>
      <w:r>
        <w:rPr>
          <w:color w:val="000000"/>
          <w:sz w:val="60"/>
          <w:szCs w:val="60"/>
          <w:highlight w:val="none"/>
        </w:rPr>
      </w:r>
      <w:r/>
    </w:p>
    <w:p>
      <w:pPr>
        <w:pStyle w:val="1288"/>
        <w:jc w:val="center"/>
        <w:rPr>
          <w:b/>
          <w:bCs/>
          <w:color w:val="000000"/>
          <w:sz w:val="60"/>
          <w:szCs w:val="60"/>
          <w:highlight w:val="none"/>
        </w:rPr>
      </w:pPr>
      <w:r>
        <w:rPr>
          <w:b/>
          <w:bCs/>
          <w:color w:val="000000"/>
          <w:sz w:val="60"/>
          <w:szCs w:val="60"/>
          <w:highlight w:val="none"/>
        </w:rPr>
        <w:t xml:space="preserve">常州市政府采购项目</w:t>
      </w:r>
      <w:r>
        <w:rPr>
          <w:b/>
          <w:bCs/>
          <w:color w:val="000000"/>
          <w:sz w:val="60"/>
          <w:szCs w:val="60"/>
          <w:highlight w:val="none"/>
        </w:rPr>
      </w:r>
      <w:r/>
    </w:p>
    <w:p>
      <w:pPr>
        <w:pStyle w:val="1288"/>
        <w:jc w:val="center"/>
        <w:rPr>
          <w:rFonts w:hint="eastAsia"/>
          <w:b/>
          <w:bCs/>
          <w:color w:val="000000"/>
          <w:sz w:val="60"/>
          <w:szCs w:val="60"/>
          <w:highlight w:val="none"/>
        </w:rPr>
      </w:pPr>
      <w:r>
        <w:rPr>
          <w:rFonts w:hint="eastAsia"/>
          <w:b/>
          <w:bCs/>
          <w:color w:val="000000"/>
          <w:sz w:val="60"/>
          <w:szCs w:val="60"/>
          <w:highlight w:val="none"/>
        </w:rPr>
        <w:t xml:space="preserve">竞争性谈判</w:t>
      </w:r>
      <w:r>
        <w:rPr>
          <w:b/>
          <w:bCs/>
          <w:color w:val="000000"/>
          <w:sz w:val="60"/>
          <w:szCs w:val="60"/>
          <w:highlight w:val="none"/>
        </w:rPr>
        <w:t xml:space="preserve">采购文件</w:t>
      </w:r>
      <w:r>
        <w:rPr>
          <w:rFonts w:hint="eastAsia"/>
          <w:b/>
          <w:bCs/>
          <w:color w:val="000000"/>
          <w:sz w:val="60"/>
          <w:szCs w:val="60"/>
          <w:highlight w:val="none"/>
        </w:rPr>
      </w:r>
      <w:r/>
    </w:p>
    <w:p>
      <w:pPr>
        <w:pStyle w:val="1288"/>
        <w:jc w:val="center"/>
        <w:rPr>
          <w:rFonts w:hint="eastAsia"/>
          <w:b/>
          <w:bCs/>
          <w:color w:val="000000"/>
          <w:sz w:val="60"/>
          <w:szCs w:val="60"/>
          <w:highlight w:val="none"/>
        </w:rPr>
      </w:pPr>
      <w:r>
        <w:rPr>
          <w:rFonts w:hint="eastAsia"/>
          <w:b/>
          <w:bCs/>
          <w:color w:val="000000"/>
          <w:sz w:val="60"/>
          <w:szCs w:val="60"/>
          <w:highlight w:val="none"/>
        </w:rPr>
      </w:r>
      <w:r/>
    </w:p>
    <w:p>
      <w:pPr>
        <w:pStyle w:val="1288"/>
        <w:jc w:val="center"/>
        <w:rPr>
          <w:rFonts w:hint="eastAsia"/>
          <w:b/>
          <w:bCs/>
          <w:color w:val="000000"/>
          <w:sz w:val="60"/>
          <w:szCs w:val="60"/>
          <w:highlight w:val="none"/>
        </w:rPr>
      </w:pPr>
      <w:r>
        <w:rPr>
          <w:rFonts w:hint="eastAsia"/>
          <w:b/>
          <w:bCs/>
          <w:color w:val="000000"/>
          <w:sz w:val="60"/>
          <w:szCs w:val="60"/>
          <w:highlight w:val="none"/>
        </w:rPr>
      </w:r>
      <w:r/>
    </w:p>
    <w:p>
      <w:pPr>
        <w:pStyle w:val="1288"/>
        <w:jc w:val="center"/>
        <w:rPr>
          <w:rFonts w:hint="eastAsia"/>
          <w:b/>
          <w:bCs/>
          <w:color w:val="000000"/>
          <w:sz w:val="60"/>
          <w:szCs w:val="60"/>
          <w:highlight w:val="none"/>
        </w:rPr>
      </w:pPr>
      <w:r>
        <w:rPr>
          <w:rFonts w:hint="eastAsia"/>
          <w:b/>
          <w:bCs/>
          <w:color w:val="000000"/>
          <w:sz w:val="60"/>
          <w:szCs w:val="60"/>
          <w:highlight w:val="none"/>
        </w:rPr>
        <w:t xml:space="preserve">（工程类）</w:t>
      </w:r>
      <w:r>
        <w:rPr>
          <w:rFonts w:hint="eastAsia"/>
          <w:b/>
          <w:bCs/>
          <w:color w:val="000000"/>
          <w:sz w:val="60"/>
          <w:szCs w:val="60"/>
          <w:highlight w:val="none"/>
        </w:rPr>
      </w:r>
      <w:r/>
    </w:p>
    <w:p>
      <w:pPr>
        <w:pStyle w:val="1288"/>
        <w:jc w:val="center"/>
        <w:rPr>
          <w:b/>
          <w:bCs/>
          <w:color w:val="000000"/>
          <w:sz w:val="60"/>
          <w:szCs w:val="60"/>
          <w:highlight w:val="none"/>
        </w:rPr>
      </w:pPr>
      <w:r>
        <w:rPr>
          <w:b/>
          <w:bCs/>
          <w:color w:val="000000"/>
          <w:sz w:val="60"/>
          <w:szCs w:val="60"/>
          <w:highlight w:val="none"/>
        </w:rPr>
      </w:r>
      <w:r/>
    </w:p>
    <w:p>
      <w:pPr>
        <w:pStyle w:val="1288"/>
        <w:jc w:val="center"/>
        <w:spacing w:line="360" w:lineRule="auto"/>
        <w:rPr>
          <w:color w:val="000000"/>
          <w:sz w:val="60"/>
          <w:szCs w:val="60"/>
          <w:highlight w:val="none"/>
        </w:rPr>
      </w:pPr>
      <w:r>
        <w:rPr>
          <w:color w:val="000000"/>
          <w:sz w:val="60"/>
          <w:szCs w:val="60"/>
          <w:highlight w:val="none"/>
        </w:rPr>
      </w:r>
      <w:r/>
    </w:p>
    <w:p>
      <w:pPr>
        <w:pStyle w:val="1288"/>
        <w:jc w:val="center"/>
        <w:spacing w:line="360" w:lineRule="auto"/>
        <w:rPr>
          <w:bCs/>
          <w:color w:val="000000"/>
          <w:sz w:val="32"/>
          <w:szCs w:val="36"/>
          <w:highlight w:val="none"/>
        </w:rPr>
      </w:pPr>
      <w:r>
        <w:rPr>
          <w:bCs/>
          <w:color w:val="000000"/>
          <w:sz w:val="32"/>
          <w:szCs w:val="36"/>
          <w:highlight w:val="none"/>
        </w:rPr>
      </w:r>
      <w:r/>
    </w:p>
    <w:p>
      <w:pPr>
        <w:pStyle w:val="1288"/>
        <w:ind w:left="2238" w:hanging="1600"/>
        <w:jc w:val="left"/>
        <w:spacing w:line="360" w:lineRule="auto"/>
        <w:tabs>
          <w:tab w:val="left" w:pos="3240" w:leader="none"/>
          <w:tab w:val="left" w:pos="3420" w:leader="none"/>
        </w:tabs>
        <w:rPr>
          <w:rFonts w:hint="eastAsia"/>
          <w:bCs/>
          <w:color w:val="000000"/>
          <w:sz w:val="32"/>
          <w:szCs w:val="36"/>
          <w:highlight w:val="none"/>
        </w:rPr>
      </w:pPr>
      <w:r>
        <w:rPr>
          <w:bCs/>
          <w:color w:val="000000"/>
          <w:sz w:val="32"/>
          <w:szCs w:val="36"/>
          <w:highlight w:val="none"/>
        </w:rPr>
        <w:t xml:space="preserve">项目名称：</w:t>
      </w:r>
      <w:r>
        <w:rPr>
          <w:rFonts w:hint="eastAsia"/>
          <w:bCs/>
          <w:color w:val="000000"/>
          <w:sz w:val="32"/>
          <w:szCs w:val="36"/>
          <w:highlight w:val="none"/>
        </w:rPr>
        <w:t xml:space="preserve">2026年常州市市属公园园艺景观提升工程</w:t>
      </w:r>
      <w:r>
        <w:rPr>
          <w:rFonts w:hint="eastAsia"/>
          <w:bCs/>
          <w:color w:val="000000"/>
          <w:sz w:val="32"/>
          <w:szCs w:val="36"/>
          <w:highlight w:val="none"/>
        </w:rPr>
      </w:r>
      <w:r/>
    </w:p>
    <w:p>
      <w:pPr>
        <w:ind w:left="2238" w:hanging="1600"/>
        <w:jc w:val="left"/>
        <w:spacing w:line="360" w:lineRule="auto"/>
        <w:tabs>
          <w:tab w:val="left" w:pos="3240" w:leader="none"/>
          <w:tab w:val="left" w:pos="3420" w:leader="none"/>
        </w:tabs>
        <w:rPr>
          <w:color w:val="000000"/>
          <w:sz w:val="32"/>
          <w:szCs w:val="32"/>
          <w:highlight w:val="none"/>
          <w14:ligatures w14:val="none"/>
        </w:rPr>
      </w:pPr>
      <w:r>
        <w:rPr>
          <w:bCs/>
          <w:color w:val="000000"/>
          <w:sz w:val="32"/>
          <w:szCs w:val="36"/>
          <w:highlight w:val="none"/>
        </w:rPr>
        <w:t xml:space="preserve">项目编号：</w:t>
      </w:r>
      <w:r>
        <w:rPr>
          <w:color w:val="000000"/>
          <w:sz w:val="32"/>
          <w:szCs w:val="32"/>
          <w:highlight w:val="none"/>
        </w:rPr>
        <w:t xml:space="preserve">JSZC-320400-ZCCZ-T2026-0029</w:t>
      </w:r>
      <w:r>
        <w:rPr>
          <w:color w:val="000000"/>
          <w:sz w:val="32"/>
          <w:szCs w:val="32"/>
          <w:highlight w:val="none"/>
        </w:rPr>
      </w:r>
      <w:r>
        <w:rPr>
          <w:color w:val="000000"/>
          <w:sz w:val="32"/>
          <w:szCs w:val="32"/>
          <w:highlight w:val="none"/>
        </w:rPr>
      </w:r>
    </w:p>
    <w:p>
      <w:pPr>
        <w:pStyle w:val="1288"/>
        <w:ind w:firstLine="640"/>
        <w:jc w:val="left"/>
        <w:spacing w:line="360" w:lineRule="auto"/>
        <w:tabs>
          <w:tab w:val="left" w:pos="3240" w:leader="none"/>
          <w:tab w:val="left" w:pos="3420" w:leader="none"/>
        </w:tabs>
        <w:rPr>
          <w:rFonts w:hint="eastAsia"/>
          <w:bCs/>
          <w:color w:val="000000"/>
          <w:sz w:val="32"/>
          <w:szCs w:val="36"/>
          <w:highlight w:val="none"/>
        </w:rPr>
      </w:pPr>
      <w:r>
        <w:rPr>
          <w:bCs/>
          <w:color w:val="000000"/>
          <w:sz w:val="32"/>
          <w:szCs w:val="36"/>
          <w:highlight w:val="none"/>
        </w:rPr>
        <w:t xml:space="preserve">采 购 人：</w:t>
      </w:r>
      <w:r>
        <w:rPr>
          <w:rFonts w:hint="eastAsia"/>
          <w:bCs/>
          <w:color w:val="000000"/>
          <w:sz w:val="32"/>
          <w:szCs w:val="36"/>
          <w:highlight w:val="none"/>
        </w:rPr>
        <w:t xml:space="preserve">常州市公园管理中心</w:t>
      </w:r>
      <w:r>
        <w:rPr>
          <w:rFonts w:hint="eastAsia"/>
          <w:bCs/>
          <w:color w:val="000000"/>
          <w:sz w:val="32"/>
          <w:szCs w:val="36"/>
          <w:highlight w:val="none"/>
        </w:rPr>
      </w:r>
      <w:r/>
    </w:p>
    <w:p>
      <w:pPr>
        <w:pStyle w:val="1288"/>
        <w:ind w:firstLine="640"/>
        <w:spacing w:line="360" w:lineRule="auto"/>
        <w:tabs>
          <w:tab w:val="left" w:pos="3240" w:leader="none"/>
          <w:tab w:val="left" w:pos="3420" w:leader="none"/>
        </w:tabs>
        <w:rPr>
          <w:rFonts w:hint="eastAsia"/>
          <w:bCs/>
          <w:color w:val="000000"/>
          <w:sz w:val="32"/>
          <w:szCs w:val="36"/>
          <w:highlight w:val="none"/>
        </w:rPr>
      </w:pPr>
      <w:r>
        <w:rPr>
          <w:rFonts w:hint="eastAsia"/>
          <w:bCs/>
          <w:color w:val="000000"/>
          <w:sz w:val="32"/>
          <w:szCs w:val="36"/>
          <w:highlight w:val="none"/>
        </w:rPr>
        <w:t xml:space="preserve">采购</w:t>
      </w:r>
      <w:r>
        <w:rPr>
          <w:bCs/>
          <w:color w:val="000000"/>
          <w:sz w:val="32"/>
          <w:szCs w:val="36"/>
          <w:highlight w:val="none"/>
        </w:rPr>
        <w:t xml:space="preserve">代理机构：</w:t>
      </w:r>
      <w:r>
        <w:rPr>
          <w:rFonts w:hint="eastAsia"/>
          <w:bCs/>
          <w:color w:val="000000"/>
          <w:sz w:val="32"/>
          <w:szCs w:val="36"/>
          <w:highlight w:val="none"/>
        </w:rPr>
        <w:t xml:space="preserve">常州中采招投标有限公司</w:t>
      </w:r>
      <w:r>
        <w:rPr>
          <w:bCs/>
          <w:color w:val="000000"/>
          <w:sz w:val="32"/>
          <w:szCs w:val="36"/>
          <w:highlight w:val="none"/>
        </w:rPr>
        <w:br w:type="page" w:clear="all"/>
      </w:r>
      <w:bookmarkStart w:id="0" w:name="_Toc99301278"/>
      <w:r>
        <w:rPr>
          <w:rFonts w:hint="eastAsia"/>
          <w:bCs/>
          <w:color w:val="000000"/>
          <w:sz w:val="32"/>
          <w:szCs w:val="36"/>
          <w:highlight w:val="none"/>
        </w:rPr>
      </w:r>
      <w:r/>
    </w:p>
    <w:p>
      <w:pPr>
        <w:pStyle w:val="1288"/>
        <w:jc w:val="center"/>
        <w:spacing w:line="360" w:lineRule="auto"/>
        <w:tabs>
          <w:tab w:val="left" w:pos="3240" w:leader="none"/>
          <w:tab w:val="left" w:pos="3420" w:leader="none"/>
        </w:tabs>
        <w:rPr>
          <w:b/>
          <w:bCs/>
          <w:color w:val="000000"/>
          <w:sz w:val="44"/>
          <w:highlight w:val="none"/>
        </w:rPr>
      </w:pPr>
      <w:r>
        <w:rPr>
          <w:b/>
          <w:color w:val="000000"/>
          <w:sz w:val="36"/>
          <w:szCs w:val="36"/>
          <w:highlight w:val="none"/>
        </w:rPr>
        <w:t xml:space="preserve">目      录</w:t>
      </w:r>
      <w:bookmarkEnd w:id="0"/>
      <w:r>
        <w:rPr>
          <w:b/>
          <w:bCs/>
          <w:color w:val="000000"/>
          <w:sz w:val="44"/>
          <w:highlight w:val="none"/>
        </w:rPr>
      </w:r>
      <w:r/>
    </w:p>
    <w:p>
      <w:pPr>
        <w:pStyle w:val="1288"/>
        <w:rPr>
          <w:rFonts w:hint="eastAsia"/>
          <w:color w:val="000000"/>
          <w:highlight w:val="none"/>
        </w:rPr>
      </w:pPr>
      <w:r>
        <w:rPr>
          <w:rFonts w:hint="eastAsia"/>
          <w:color w:val="000000"/>
          <w:highlight w:val="none"/>
        </w:rPr>
      </w:r>
      <w:r/>
    </w:p>
    <w:p>
      <w:pPr>
        <w:pStyle w:val="1288"/>
        <w:rPr>
          <w:color w:val="000000"/>
          <w:highlight w:val="none"/>
        </w:rPr>
      </w:pPr>
      <w:r>
        <w:rPr>
          <w:color w:val="000000"/>
          <w:highlight w:val="none"/>
        </w:rPr>
      </w:r>
      <w:r/>
    </w:p>
    <w:p>
      <w:pPr>
        <w:pStyle w:val="1311"/>
        <w:tabs>
          <w:tab w:val="left" w:pos="1050" w:leader="none"/>
          <w:tab w:val="right" w:pos="8937" w:leader="dot"/>
        </w:tabs>
        <w:rPr>
          <w:rFonts w:ascii="Calibri" w:hAnsi="Calibri"/>
          <w:b w:val="0"/>
          <w:color w:val="000000"/>
          <w:sz w:val="21"/>
          <w:szCs w:val="22"/>
          <w:highlight w:val="none"/>
        </w:rPr>
      </w:pPr>
      <w:r>
        <w:rPr>
          <w:rFonts w:ascii="黑体" w:hAnsi="黑体" w:eastAsia="黑体"/>
          <w:b w:val="0"/>
          <w:color w:val="000000"/>
          <w:sz w:val="28"/>
          <w:szCs w:val="28"/>
          <w:highlight w:val="none"/>
        </w:rPr>
        <w:fldChar w:fldCharType="begin"/>
      </w:r>
      <w:r>
        <w:rPr>
          <w:rFonts w:ascii="黑体" w:hAnsi="黑体" w:eastAsia="黑体"/>
          <w:b w:val="0"/>
          <w:color w:val="000000"/>
          <w:sz w:val="28"/>
          <w:szCs w:val="28"/>
          <w:highlight w:val="none"/>
        </w:rPr>
        <w:instrText xml:space="preserve"> TOC \o "1-1" \h \z \u </w:instrText>
      </w:r>
      <w:r>
        <w:rPr>
          <w:rFonts w:ascii="黑体" w:hAnsi="黑体" w:eastAsia="黑体"/>
          <w:b w:val="0"/>
          <w:color w:val="000000"/>
          <w:sz w:val="28"/>
          <w:szCs w:val="28"/>
          <w:highlight w:val="none"/>
        </w:rPr>
        <w:fldChar w:fldCharType="separate"/>
      </w:r>
      <w:r>
        <w:rPr>
          <w:rStyle w:val="1323"/>
          <w:color w:val="000000"/>
          <w:highlight w:val="none"/>
        </w:rPr>
        <w:fldChar w:fldCharType="begin"/>
      </w:r>
      <w:r>
        <w:rPr>
          <w:rStyle w:val="1323"/>
          <w:color w:val="000000"/>
          <w:highlight w:val="none"/>
        </w:rPr>
        <w:instrText xml:space="preserve"> </w:instrText>
      </w:r>
      <w:r>
        <w:rPr>
          <w:color w:val="000000"/>
          <w:highlight w:val="none"/>
        </w:rPr>
        <w:instrText xml:space="preserve">HYPERLINK \l "_Toc195013378"</w:instrText>
      </w:r>
      <w:r>
        <w:rPr>
          <w:rStyle w:val="1323"/>
          <w:color w:val="000000"/>
          <w:highlight w:val="none"/>
        </w:rPr>
        <w:instrText xml:space="preserve"> </w:instrText>
      </w:r>
      <w:r>
        <w:rPr>
          <w:rStyle w:val="1323"/>
          <w:color w:val="000000"/>
          <w:highlight w:val="none"/>
        </w:rPr>
        <w:fldChar w:fldCharType="separate"/>
      </w:r>
      <w:r>
        <w:rPr>
          <w:rStyle w:val="1323"/>
          <w:rFonts w:hint="eastAsia"/>
          <w:color w:val="000000"/>
          <w:highlight w:val="none"/>
        </w:rPr>
        <w:t xml:space="preserve">第一章</w:t>
      </w:r>
      <w:r>
        <w:rPr>
          <w:rStyle w:val="1323"/>
          <w:color w:val="000000"/>
          <w:highlight w:val="none"/>
        </w:rPr>
        <w:t xml:space="preserve">   </w:t>
      </w:r>
      <w:r>
        <w:rPr>
          <w:rStyle w:val="1323"/>
          <w:rFonts w:hint="eastAsia"/>
          <w:color w:val="000000"/>
          <w:highlight w:val="none"/>
        </w:rPr>
        <w:t xml:space="preserve">谈判邀请</w:t>
      </w:r>
      <w:r>
        <w:rPr>
          <w:color w:val="000000"/>
          <w:highlight w:val="none"/>
        </w:rPr>
        <w:tab/>
      </w:r>
      <w:r>
        <w:rPr>
          <w:color w:val="000000"/>
          <w:highlight w:val="none"/>
        </w:rPr>
        <w:fldChar w:fldCharType="begin"/>
      </w:r>
      <w:r>
        <w:rPr>
          <w:color w:val="000000"/>
          <w:highlight w:val="none"/>
        </w:rPr>
        <w:instrText xml:space="preserve"> PAGEREF _Toc195013378 \h </w:instrText>
      </w:r>
      <w:r>
        <w:rPr>
          <w:color w:val="000000"/>
          <w:highlight w:val="none"/>
        </w:rPr>
        <w:fldChar w:fldCharType="separate"/>
      </w:r>
      <w:r>
        <w:rPr>
          <w:color w:val="000000"/>
          <w:highlight w:val="none"/>
        </w:rPr>
        <w:t xml:space="preserve">1</w:t>
      </w:r>
      <w:r>
        <w:rPr>
          <w:color w:val="000000"/>
          <w:highlight w:val="none"/>
        </w:rPr>
        <w:fldChar w:fldCharType="end"/>
      </w:r>
      <w:r>
        <w:rPr>
          <w:rStyle w:val="1323"/>
          <w:color w:val="000000"/>
          <w:highlight w:val="none"/>
        </w:rPr>
        <w:fldChar w:fldCharType="end"/>
      </w:r>
      <w:r>
        <w:rPr>
          <w:rFonts w:ascii="Calibri" w:hAnsi="Calibri"/>
          <w:b w:val="0"/>
          <w:color w:val="000000"/>
          <w:sz w:val="21"/>
          <w:szCs w:val="22"/>
          <w:highlight w:val="none"/>
        </w:rPr>
      </w:r>
      <w:r/>
    </w:p>
    <w:p>
      <w:pPr>
        <w:pStyle w:val="1311"/>
        <w:tabs>
          <w:tab w:val="left" w:pos="1050" w:leader="none"/>
          <w:tab w:val="right" w:pos="8937" w:leader="dot"/>
        </w:tabs>
        <w:rPr>
          <w:rFonts w:ascii="Calibri" w:hAnsi="Calibri"/>
          <w:b w:val="0"/>
          <w:color w:val="000000"/>
          <w:sz w:val="21"/>
          <w:szCs w:val="22"/>
          <w:highlight w:val="none"/>
        </w:rPr>
      </w:pPr>
      <w:r>
        <w:rPr>
          <w:rStyle w:val="1323"/>
          <w:color w:val="000000"/>
          <w:highlight w:val="none"/>
        </w:rPr>
        <w:fldChar w:fldCharType="begin"/>
      </w:r>
      <w:r>
        <w:rPr>
          <w:rStyle w:val="1323"/>
          <w:color w:val="000000"/>
          <w:highlight w:val="none"/>
        </w:rPr>
        <w:instrText xml:space="preserve"> </w:instrText>
      </w:r>
      <w:r>
        <w:rPr>
          <w:color w:val="000000"/>
          <w:highlight w:val="none"/>
        </w:rPr>
        <w:instrText xml:space="preserve">HYPERLINK \l "_Toc195013379"</w:instrText>
      </w:r>
      <w:r>
        <w:rPr>
          <w:rStyle w:val="1323"/>
          <w:color w:val="000000"/>
          <w:highlight w:val="none"/>
        </w:rPr>
        <w:instrText xml:space="preserve"> </w:instrText>
      </w:r>
      <w:r>
        <w:rPr>
          <w:rStyle w:val="1323"/>
          <w:color w:val="000000"/>
          <w:highlight w:val="none"/>
        </w:rPr>
        <w:fldChar w:fldCharType="separate"/>
      </w:r>
      <w:r>
        <w:rPr>
          <w:rStyle w:val="1323"/>
          <w:rFonts w:hint="eastAsia"/>
          <w:color w:val="000000"/>
          <w:highlight w:val="none"/>
        </w:rPr>
        <w:t xml:space="preserve">第二章</w:t>
      </w:r>
      <w:r>
        <w:rPr>
          <w:rStyle w:val="1323"/>
          <w:color w:val="000000"/>
          <w:highlight w:val="none"/>
        </w:rPr>
        <w:t xml:space="preserve">   </w:t>
      </w:r>
      <w:r>
        <w:rPr>
          <w:rStyle w:val="1323"/>
          <w:rFonts w:hint="eastAsia"/>
          <w:color w:val="000000"/>
          <w:highlight w:val="none"/>
        </w:rPr>
        <w:t xml:space="preserve">供应商须知</w:t>
      </w:r>
      <w:r>
        <w:rPr>
          <w:color w:val="000000"/>
          <w:highlight w:val="none"/>
        </w:rPr>
        <w:tab/>
      </w:r>
      <w:r>
        <w:rPr>
          <w:color w:val="000000"/>
          <w:highlight w:val="none"/>
        </w:rPr>
        <w:fldChar w:fldCharType="begin"/>
      </w:r>
      <w:r>
        <w:rPr>
          <w:color w:val="000000"/>
          <w:highlight w:val="none"/>
        </w:rPr>
        <w:instrText xml:space="preserve"> PAGEREF _Toc195013379 \h </w:instrText>
      </w:r>
      <w:r>
        <w:rPr>
          <w:color w:val="000000"/>
          <w:highlight w:val="none"/>
        </w:rPr>
        <w:fldChar w:fldCharType="separate"/>
      </w:r>
      <w:r>
        <w:rPr>
          <w:color w:val="000000"/>
          <w:highlight w:val="none"/>
        </w:rPr>
        <w:t xml:space="preserve">6</w:t>
      </w:r>
      <w:r>
        <w:rPr>
          <w:color w:val="000000"/>
          <w:highlight w:val="none"/>
        </w:rPr>
        <w:fldChar w:fldCharType="end"/>
      </w:r>
      <w:r>
        <w:rPr>
          <w:rStyle w:val="1323"/>
          <w:color w:val="000000"/>
          <w:highlight w:val="none"/>
        </w:rPr>
        <w:fldChar w:fldCharType="end"/>
      </w:r>
      <w:r>
        <w:rPr>
          <w:rFonts w:ascii="Calibri" w:hAnsi="Calibri"/>
          <w:b w:val="0"/>
          <w:color w:val="000000"/>
          <w:sz w:val="21"/>
          <w:szCs w:val="22"/>
          <w:highlight w:val="none"/>
        </w:rPr>
      </w:r>
      <w:r/>
    </w:p>
    <w:p>
      <w:pPr>
        <w:pStyle w:val="1311"/>
        <w:tabs>
          <w:tab w:val="left" w:pos="1050" w:leader="none"/>
          <w:tab w:val="right" w:pos="8937" w:leader="dot"/>
        </w:tabs>
        <w:rPr>
          <w:rFonts w:ascii="Calibri" w:hAnsi="Calibri"/>
          <w:b w:val="0"/>
          <w:color w:val="000000"/>
          <w:sz w:val="21"/>
          <w:szCs w:val="22"/>
          <w:highlight w:val="none"/>
        </w:rPr>
      </w:pPr>
      <w:r>
        <w:rPr>
          <w:rStyle w:val="1323"/>
          <w:color w:val="000000"/>
          <w:highlight w:val="none"/>
        </w:rPr>
        <w:fldChar w:fldCharType="begin"/>
      </w:r>
      <w:r>
        <w:rPr>
          <w:rStyle w:val="1323"/>
          <w:color w:val="000000"/>
          <w:highlight w:val="none"/>
        </w:rPr>
        <w:instrText xml:space="preserve"> </w:instrText>
      </w:r>
      <w:r>
        <w:rPr>
          <w:color w:val="000000"/>
          <w:highlight w:val="none"/>
        </w:rPr>
        <w:instrText xml:space="preserve">HYPERLINK \l "_Toc195013380"</w:instrText>
      </w:r>
      <w:r>
        <w:rPr>
          <w:rStyle w:val="1323"/>
          <w:color w:val="000000"/>
          <w:highlight w:val="none"/>
        </w:rPr>
        <w:instrText xml:space="preserve"> </w:instrText>
      </w:r>
      <w:r>
        <w:rPr>
          <w:rStyle w:val="1323"/>
          <w:color w:val="000000"/>
          <w:highlight w:val="none"/>
        </w:rPr>
        <w:fldChar w:fldCharType="separate"/>
      </w:r>
      <w:r>
        <w:rPr>
          <w:rStyle w:val="1323"/>
          <w:rFonts w:hint="eastAsia"/>
          <w:color w:val="000000"/>
          <w:highlight w:val="none"/>
        </w:rPr>
        <w:t xml:space="preserve">第三章</w:t>
      </w:r>
      <w:r>
        <w:rPr>
          <w:rStyle w:val="1323"/>
          <w:color w:val="000000"/>
          <w:highlight w:val="none"/>
        </w:rPr>
        <w:t xml:space="preserve">   </w:t>
      </w:r>
      <w:r>
        <w:rPr>
          <w:rStyle w:val="1323"/>
          <w:rFonts w:hint="eastAsia"/>
          <w:color w:val="000000"/>
          <w:highlight w:val="none"/>
        </w:rPr>
        <w:t xml:space="preserve">评审程序和评定成交的标准</w:t>
      </w:r>
      <w:r>
        <w:rPr>
          <w:color w:val="000000"/>
          <w:highlight w:val="none"/>
        </w:rPr>
        <w:tab/>
      </w:r>
      <w:r>
        <w:rPr>
          <w:color w:val="000000"/>
          <w:highlight w:val="none"/>
        </w:rPr>
        <w:fldChar w:fldCharType="begin"/>
      </w:r>
      <w:r>
        <w:rPr>
          <w:color w:val="000000"/>
          <w:highlight w:val="none"/>
        </w:rPr>
        <w:instrText xml:space="preserve"> PAGEREF _Toc195013380 \h </w:instrText>
      </w:r>
      <w:r>
        <w:rPr>
          <w:color w:val="000000"/>
          <w:highlight w:val="none"/>
        </w:rPr>
        <w:fldChar w:fldCharType="separate"/>
      </w:r>
      <w:r>
        <w:rPr>
          <w:color w:val="000000"/>
          <w:highlight w:val="none"/>
        </w:rPr>
        <w:t xml:space="preserve">22</w:t>
      </w:r>
      <w:r>
        <w:rPr>
          <w:color w:val="000000"/>
          <w:highlight w:val="none"/>
        </w:rPr>
        <w:fldChar w:fldCharType="end"/>
      </w:r>
      <w:r>
        <w:rPr>
          <w:rStyle w:val="1323"/>
          <w:color w:val="000000"/>
          <w:highlight w:val="none"/>
        </w:rPr>
        <w:fldChar w:fldCharType="end"/>
      </w:r>
      <w:r>
        <w:rPr>
          <w:rFonts w:ascii="Calibri" w:hAnsi="Calibri"/>
          <w:b w:val="0"/>
          <w:color w:val="000000"/>
          <w:sz w:val="21"/>
          <w:szCs w:val="22"/>
          <w:highlight w:val="none"/>
        </w:rPr>
      </w:r>
      <w:r/>
    </w:p>
    <w:p>
      <w:pPr>
        <w:pStyle w:val="1311"/>
        <w:tabs>
          <w:tab w:val="left" w:pos="1050" w:leader="none"/>
          <w:tab w:val="right" w:pos="8937" w:leader="dot"/>
        </w:tabs>
        <w:rPr>
          <w:rFonts w:ascii="Calibri" w:hAnsi="Calibri"/>
          <w:b w:val="0"/>
          <w:color w:val="000000"/>
          <w:sz w:val="21"/>
          <w:szCs w:val="22"/>
          <w:highlight w:val="none"/>
        </w:rPr>
      </w:pPr>
      <w:r>
        <w:rPr>
          <w:rStyle w:val="1323"/>
          <w:color w:val="000000"/>
          <w:highlight w:val="none"/>
        </w:rPr>
        <w:fldChar w:fldCharType="begin"/>
      </w:r>
      <w:r>
        <w:rPr>
          <w:rStyle w:val="1323"/>
          <w:color w:val="000000"/>
          <w:highlight w:val="none"/>
        </w:rPr>
        <w:instrText xml:space="preserve"> </w:instrText>
      </w:r>
      <w:r>
        <w:rPr>
          <w:color w:val="000000"/>
          <w:highlight w:val="none"/>
        </w:rPr>
        <w:instrText xml:space="preserve">HYPERLINK \l "_Toc195013381"</w:instrText>
      </w:r>
      <w:r>
        <w:rPr>
          <w:rStyle w:val="1323"/>
          <w:color w:val="000000"/>
          <w:highlight w:val="none"/>
        </w:rPr>
        <w:instrText xml:space="preserve"> </w:instrText>
      </w:r>
      <w:r>
        <w:rPr>
          <w:rStyle w:val="1323"/>
          <w:color w:val="000000"/>
          <w:highlight w:val="none"/>
        </w:rPr>
        <w:fldChar w:fldCharType="separate"/>
      </w:r>
      <w:r>
        <w:rPr>
          <w:rStyle w:val="1323"/>
          <w:rFonts w:hint="eastAsia"/>
          <w:color w:val="000000"/>
          <w:highlight w:val="none"/>
        </w:rPr>
        <w:t xml:space="preserve">第四章</w:t>
      </w:r>
      <w:r>
        <w:rPr>
          <w:rStyle w:val="1323"/>
          <w:color w:val="000000"/>
          <w:highlight w:val="none"/>
        </w:rPr>
        <w:t xml:space="preserve">   </w:t>
      </w:r>
      <w:r>
        <w:rPr>
          <w:rStyle w:val="1323"/>
          <w:rFonts w:hint="eastAsia"/>
          <w:color w:val="000000"/>
          <w:highlight w:val="none"/>
        </w:rPr>
        <w:t xml:space="preserve">采购需求</w:t>
      </w:r>
      <w:r>
        <w:rPr>
          <w:color w:val="000000"/>
          <w:highlight w:val="none"/>
        </w:rPr>
        <w:tab/>
      </w:r>
      <w:r>
        <w:rPr>
          <w:color w:val="000000"/>
          <w:highlight w:val="none"/>
        </w:rPr>
        <w:fldChar w:fldCharType="begin"/>
      </w:r>
      <w:r>
        <w:rPr>
          <w:color w:val="000000"/>
          <w:highlight w:val="none"/>
        </w:rPr>
        <w:instrText xml:space="preserve"> PAGEREF _Toc195013381 \h </w:instrText>
      </w:r>
      <w:r>
        <w:rPr>
          <w:color w:val="000000"/>
          <w:highlight w:val="none"/>
        </w:rPr>
        <w:fldChar w:fldCharType="separate"/>
      </w:r>
      <w:r>
        <w:rPr>
          <w:color w:val="000000"/>
          <w:highlight w:val="none"/>
        </w:rPr>
        <w:t xml:space="preserve">30</w:t>
      </w:r>
      <w:r>
        <w:rPr>
          <w:color w:val="000000"/>
          <w:highlight w:val="none"/>
        </w:rPr>
        <w:fldChar w:fldCharType="end"/>
      </w:r>
      <w:r>
        <w:rPr>
          <w:rStyle w:val="1323"/>
          <w:color w:val="000000"/>
          <w:highlight w:val="none"/>
        </w:rPr>
        <w:fldChar w:fldCharType="end"/>
      </w:r>
      <w:r>
        <w:rPr>
          <w:rFonts w:ascii="Calibri" w:hAnsi="Calibri"/>
          <w:b w:val="0"/>
          <w:color w:val="000000"/>
          <w:sz w:val="21"/>
          <w:szCs w:val="22"/>
          <w:highlight w:val="none"/>
        </w:rPr>
      </w:r>
      <w:r/>
    </w:p>
    <w:p>
      <w:pPr>
        <w:pStyle w:val="1311"/>
        <w:tabs>
          <w:tab w:val="left" w:pos="1050" w:leader="none"/>
          <w:tab w:val="right" w:pos="8937" w:leader="dot"/>
        </w:tabs>
        <w:rPr>
          <w:rFonts w:hint="eastAsia" w:ascii="Calibri" w:hAnsi="Calibri"/>
          <w:b w:val="0"/>
          <w:color w:val="000000"/>
          <w:sz w:val="21"/>
          <w:szCs w:val="22"/>
          <w:highlight w:val="none"/>
        </w:rPr>
      </w:pPr>
      <w:r>
        <w:rPr>
          <w:rStyle w:val="1323"/>
          <w:color w:val="000000"/>
          <w:highlight w:val="none"/>
        </w:rPr>
        <w:fldChar w:fldCharType="begin"/>
      </w:r>
      <w:r>
        <w:rPr>
          <w:rStyle w:val="1323"/>
          <w:color w:val="000000"/>
          <w:highlight w:val="none"/>
        </w:rPr>
        <w:instrText xml:space="preserve"> </w:instrText>
      </w:r>
      <w:r>
        <w:rPr>
          <w:color w:val="000000"/>
          <w:highlight w:val="none"/>
        </w:rPr>
        <w:instrText xml:space="preserve">HYPERLINK \l "_Toc195013382"</w:instrText>
      </w:r>
      <w:r>
        <w:rPr>
          <w:rStyle w:val="1323"/>
          <w:color w:val="000000"/>
          <w:highlight w:val="none"/>
        </w:rPr>
        <w:instrText xml:space="preserve"> </w:instrText>
      </w:r>
      <w:r>
        <w:rPr>
          <w:rStyle w:val="1323"/>
          <w:color w:val="000000"/>
          <w:highlight w:val="none"/>
        </w:rPr>
        <w:fldChar w:fldCharType="separate"/>
      </w:r>
      <w:r>
        <w:rPr>
          <w:rStyle w:val="1323"/>
          <w:rFonts w:hint="eastAsia"/>
          <w:color w:val="000000"/>
          <w:highlight w:val="none"/>
        </w:rPr>
        <w:t xml:space="preserve">第五章</w:t>
      </w:r>
      <w:r>
        <w:rPr>
          <w:rStyle w:val="1323"/>
          <w:color w:val="000000"/>
          <w:highlight w:val="none"/>
        </w:rPr>
        <w:t xml:space="preserve">   </w:t>
      </w:r>
      <w:r>
        <w:rPr>
          <w:rStyle w:val="1323"/>
          <w:rFonts w:hint="eastAsia"/>
          <w:color w:val="000000"/>
          <w:highlight w:val="none"/>
        </w:rPr>
        <w:t xml:space="preserve">合同条款</w:t>
      </w:r>
      <w:r>
        <w:rPr>
          <w:color w:val="000000"/>
          <w:highlight w:val="none"/>
        </w:rPr>
        <w:tab/>
      </w:r>
      <w:r>
        <w:rPr>
          <w:rFonts w:hint="eastAsia"/>
          <w:color w:val="000000"/>
          <w:highlight w:val="none"/>
        </w:rPr>
        <w:t xml:space="preserve">3</w:t>
      </w:r>
      <w:r>
        <w:rPr>
          <w:rStyle w:val="1323"/>
          <w:color w:val="000000"/>
          <w:highlight w:val="none"/>
        </w:rPr>
        <w:fldChar w:fldCharType="end"/>
      </w:r>
      <w:r>
        <w:rPr>
          <w:rStyle w:val="1323"/>
          <w:rFonts w:hint="eastAsia"/>
          <w:color w:val="000000"/>
          <w:highlight w:val="none"/>
        </w:rPr>
        <w:t xml:space="preserve">5</w:t>
      </w:r>
      <w:r>
        <w:rPr>
          <w:rFonts w:hint="eastAsia" w:ascii="Calibri" w:hAnsi="Calibri"/>
          <w:b w:val="0"/>
          <w:color w:val="000000"/>
          <w:sz w:val="21"/>
          <w:szCs w:val="22"/>
          <w:highlight w:val="none"/>
        </w:rPr>
      </w:r>
      <w:r/>
    </w:p>
    <w:p>
      <w:pPr>
        <w:pStyle w:val="1311"/>
        <w:tabs>
          <w:tab w:val="left" w:pos="1050" w:leader="none"/>
          <w:tab w:val="right" w:pos="8937" w:leader="dot"/>
        </w:tabs>
        <w:rPr>
          <w:rFonts w:ascii="Calibri" w:hAnsi="Calibri"/>
          <w:b w:val="0"/>
          <w:color w:val="000000"/>
          <w:sz w:val="21"/>
          <w:szCs w:val="22"/>
          <w:highlight w:val="none"/>
        </w:rPr>
      </w:pPr>
      <w:r>
        <w:rPr>
          <w:rStyle w:val="1323"/>
          <w:color w:val="000000"/>
          <w:highlight w:val="none"/>
        </w:rPr>
        <w:fldChar w:fldCharType="begin"/>
      </w:r>
      <w:r>
        <w:rPr>
          <w:rStyle w:val="1323"/>
          <w:color w:val="000000"/>
          <w:highlight w:val="none"/>
        </w:rPr>
        <w:instrText xml:space="preserve"> </w:instrText>
      </w:r>
      <w:r>
        <w:rPr>
          <w:color w:val="000000"/>
          <w:highlight w:val="none"/>
        </w:rPr>
        <w:instrText xml:space="preserve">HYPERLINK \l "_Toc195013383"</w:instrText>
      </w:r>
      <w:r>
        <w:rPr>
          <w:rStyle w:val="1323"/>
          <w:color w:val="000000"/>
          <w:highlight w:val="none"/>
        </w:rPr>
        <w:instrText xml:space="preserve"> </w:instrText>
      </w:r>
      <w:r>
        <w:rPr>
          <w:rStyle w:val="1323"/>
          <w:color w:val="000000"/>
          <w:highlight w:val="none"/>
        </w:rPr>
        <w:fldChar w:fldCharType="separate"/>
      </w:r>
      <w:r>
        <w:rPr>
          <w:rStyle w:val="1323"/>
          <w:rFonts w:hint="eastAsia"/>
          <w:color w:val="000000"/>
          <w:highlight w:val="none"/>
        </w:rPr>
        <w:t xml:space="preserve">第六章</w:t>
      </w:r>
      <w:r>
        <w:rPr>
          <w:rStyle w:val="1323"/>
          <w:color w:val="000000"/>
          <w:highlight w:val="none"/>
        </w:rPr>
        <w:t xml:space="preserve">   </w:t>
      </w:r>
      <w:r>
        <w:rPr>
          <w:rStyle w:val="1323"/>
          <w:rFonts w:hint="eastAsia"/>
          <w:color w:val="000000"/>
          <w:highlight w:val="none"/>
        </w:rPr>
        <w:t xml:space="preserve">响应文件格式</w:t>
      </w:r>
      <w:r>
        <w:rPr>
          <w:color w:val="000000"/>
          <w:highlight w:val="none"/>
        </w:rPr>
        <w:tab/>
      </w:r>
      <w:r>
        <w:rPr>
          <w:color w:val="000000"/>
          <w:highlight w:val="none"/>
        </w:rPr>
        <w:fldChar w:fldCharType="begin"/>
      </w:r>
      <w:r>
        <w:rPr>
          <w:color w:val="000000"/>
          <w:highlight w:val="none"/>
        </w:rPr>
        <w:instrText xml:space="preserve"> PAGEREF _Toc195013383 \h </w:instrText>
      </w:r>
      <w:r>
        <w:rPr>
          <w:color w:val="000000"/>
          <w:highlight w:val="none"/>
        </w:rPr>
        <w:fldChar w:fldCharType="separate"/>
      </w:r>
      <w:r>
        <w:rPr>
          <w:color w:val="000000"/>
          <w:highlight w:val="none"/>
        </w:rPr>
        <w:t xml:space="preserve">55</w:t>
      </w:r>
      <w:r>
        <w:rPr>
          <w:color w:val="000000"/>
          <w:highlight w:val="none"/>
        </w:rPr>
        <w:fldChar w:fldCharType="end"/>
      </w:r>
      <w:r>
        <w:rPr>
          <w:rStyle w:val="1323"/>
          <w:color w:val="000000"/>
          <w:highlight w:val="none"/>
        </w:rPr>
        <w:fldChar w:fldCharType="end"/>
      </w:r>
      <w:r>
        <w:rPr>
          <w:rFonts w:ascii="Calibri" w:hAnsi="Calibri"/>
          <w:b w:val="0"/>
          <w:color w:val="000000"/>
          <w:sz w:val="21"/>
          <w:szCs w:val="22"/>
          <w:highlight w:val="none"/>
        </w:rPr>
      </w:r>
      <w:r/>
    </w:p>
    <w:p>
      <w:pPr>
        <w:pStyle w:val="1311"/>
        <w:spacing w:line="360" w:lineRule="auto"/>
        <w:tabs>
          <w:tab w:val="left" w:pos="1050" w:leader="none"/>
          <w:tab w:val="right" w:pos="8937" w:leader="dot"/>
        </w:tabs>
        <w:rPr>
          <w:rFonts w:ascii="Times New Roman" w:hAnsi="Times New Roman"/>
          <w:b w:val="0"/>
          <w:color w:val="000000"/>
          <w:highlight w:val="none"/>
        </w:rPr>
      </w:pPr>
      <w:r>
        <w:rPr>
          <w:rFonts w:ascii="黑体" w:hAnsi="黑体" w:eastAsia="黑体"/>
          <w:b w:val="0"/>
          <w:color w:val="000000"/>
          <w:sz w:val="28"/>
          <w:szCs w:val="28"/>
          <w:highlight w:val="none"/>
        </w:rPr>
        <w:fldChar w:fldCharType="end"/>
      </w:r>
      <w:r>
        <w:rPr>
          <w:rFonts w:ascii="Times New Roman" w:hAnsi="Times New Roman"/>
          <w:b w:val="0"/>
          <w:color w:val="000000"/>
          <w:highlight w:val="none"/>
        </w:rPr>
      </w:r>
      <w:r/>
    </w:p>
    <w:p>
      <w:pPr>
        <w:pStyle w:val="1288"/>
        <w:jc w:val="left"/>
        <w:widowControl/>
        <w:rPr>
          <w:b/>
          <w:color w:val="000000"/>
          <w:sz w:val="36"/>
          <w:szCs w:val="36"/>
          <w:highlight w:val="none"/>
        </w:rPr>
        <w:sectPr>
          <w:headerReference w:type="default" r:id="rId9"/>
          <w:footnotePr/>
          <w:endnotePr/>
          <w:type w:val="nextPage"/>
          <w:pgSz w:w="11907" w:h="16840" w:orient="portrait"/>
          <w:pgMar w:top="1418" w:right="1559" w:bottom="1418" w:left="1560" w:header="851" w:footer="851" w:gutter="0"/>
          <w:cols w:num="1" w:sep="0" w:space="1701" w:equalWidth="1"/>
          <w:docGrid w:linePitch="360"/>
          <w:titlePg/>
        </w:sectPr>
      </w:pPr>
      <w:r>
        <w:rPr>
          <w:b/>
          <w:color w:val="000000"/>
          <w:sz w:val="36"/>
          <w:szCs w:val="36"/>
          <w:highlight w:val="none"/>
        </w:rPr>
      </w:r>
      <w:r/>
    </w:p>
    <w:p>
      <w:pPr>
        <w:pStyle w:val="1327"/>
        <w:rPr>
          <w:color w:val="000000"/>
          <w:highlight w:val="none"/>
        </w:rPr>
      </w:pPr>
      <w:r>
        <w:rPr>
          <w:color w:val="000000"/>
          <w:highlight w:val="none"/>
        </w:rPr>
      </w:r>
      <w:r/>
    </w:p>
    <w:p>
      <w:pPr>
        <w:pStyle w:val="1288"/>
        <w:jc w:val="center"/>
        <w:spacing w:line="360" w:lineRule="auto"/>
        <w:rPr>
          <w:b/>
          <w:color w:val="000000"/>
          <w:sz w:val="36"/>
          <w:szCs w:val="36"/>
          <w:highlight w:val="none"/>
        </w:rPr>
        <w:outlineLvl w:val="0"/>
      </w:pPr>
      <w:r/>
      <w:bookmarkStart w:id="1" w:name="_Toc195013378"/>
      <w:r>
        <w:rPr>
          <w:b/>
          <w:color w:val="000000"/>
          <w:sz w:val="36"/>
          <w:szCs w:val="36"/>
          <w:highlight w:val="none"/>
        </w:rPr>
        <w:t xml:space="preserve">第一章   谈判邀请</w:t>
      </w:r>
      <w:bookmarkEnd w:id="1"/>
      <w:r>
        <w:rPr>
          <w:b/>
          <w:color w:val="000000"/>
          <w:sz w:val="36"/>
          <w:szCs w:val="36"/>
          <w:highlight w:val="none"/>
        </w:rPr>
      </w:r>
      <w:r/>
    </w:p>
    <w:p>
      <w:pPr>
        <w:pStyle w:val="1290"/>
        <w:jc w:val="left"/>
        <w:spacing w:before="0" w:line="360" w:lineRule="auto"/>
        <w:rPr>
          <w:rFonts w:ascii="Times New Roman" w:hAnsi="Times New Roman" w:eastAsia="宋体"/>
          <w:color w:val="000000"/>
          <w:sz w:val="24"/>
          <w:szCs w:val="24"/>
          <w:highlight w:val="none"/>
        </w:rPr>
      </w:pPr>
      <w:r/>
      <w:bookmarkStart w:id="2" w:name="_Toc28359079"/>
      <w:r/>
      <w:bookmarkStart w:id="3" w:name="_Toc35393790"/>
      <w:r/>
      <w:bookmarkStart w:id="4" w:name="_Toc35393621"/>
      <w:r/>
      <w:bookmarkStart w:id="5" w:name="_Toc28359002"/>
      <w:r/>
      <w:bookmarkStart w:id="6" w:name="_Hlk24379207"/>
      <w:r>
        <w:rPr>
          <w:rFonts w:ascii="Times New Roman" w:hAnsi="Times New Roman" w:eastAsia="宋体"/>
          <w:color w:val="000000"/>
          <w:sz w:val="24"/>
          <w:szCs w:val="24"/>
          <w:highlight w:val="none"/>
        </w:rPr>
        <w:t xml:space="preserve">一、项目基本情况</w:t>
      </w:r>
      <w:bookmarkEnd w:id="2"/>
      <w:r/>
      <w:bookmarkEnd w:id="3"/>
      <w:r/>
      <w:bookmarkEnd w:id="4"/>
      <w:r/>
      <w:bookmarkEnd w:id="5"/>
      <w:r>
        <w:rPr>
          <w:rFonts w:ascii="Times New Roman" w:hAnsi="Times New Roman" w:eastAsia="宋体"/>
          <w:color w:val="000000"/>
          <w:sz w:val="24"/>
          <w:szCs w:val="24"/>
          <w:highlight w:val="none"/>
        </w:rPr>
      </w:r>
      <w:r/>
    </w:p>
    <w:p>
      <w:pPr>
        <w:ind w:firstLine="480"/>
        <w:spacing w:line="360" w:lineRule="auto"/>
        <w:rPr>
          <w:rFonts w:hint="eastAsia" w:ascii="宋体" w:hAnsi="宋体" w:cs="宋体"/>
          <w:color w:val="000000"/>
          <w:sz w:val="24"/>
          <w:szCs w:val="24"/>
          <w:highlight w:val="none"/>
          <w14:ligatures w14:val="none"/>
        </w:rPr>
      </w:pPr>
      <w:r>
        <w:rPr>
          <w:rFonts w:hint="eastAsia" w:ascii="宋体" w:hAnsi="宋体" w:cs="宋体"/>
          <w:color w:val="000000"/>
          <w:sz w:val="24"/>
          <w:highlight w:val="none"/>
        </w:rPr>
        <w:t xml:space="preserve">1.项目编号</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t xml:space="preserve">JSZC-320400-ZCCZ-T2026-0029</w:t>
      </w:r>
      <w:r>
        <w:rPr>
          <w:rFonts w:hint="eastAsia" w:ascii="宋体" w:hAnsi="宋体" w:cs="宋体"/>
          <w:color w:val="000000"/>
          <w:sz w:val="24"/>
          <w:szCs w:val="24"/>
          <w:highlight w:val="none"/>
        </w:rPr>
      </w:r>
      <w:r>
        <w:rPr>
          <w:rFonts w:hint="eastAsia" w:ascii="宋体" w:hAnsi="宋体" w:cs="宋体"/>
          <w:color w:val="000000"/>
          <w:sz w:val="24"/>
          <w:szCs w:val="24"/>
          <w:highlight w:val="none"/>
        </w:rPr>
      </w:r>
    </w:p>
    <w:p>
      <w:pPr>
        <w:pStyle w:val="1288"/>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2.项目名称</w:t>
      </w:r>
      <w:bookmarkEnd w:id="6"/>
      <w:r>
        <w:rPr>
          <w:rFonts w:hint="eastAsia" w:ascii="宋体" w:hAnsi="宋体" w:cs="宋体"/>
          <w:color w:val="000000"/>
          <w:sz w:val="24"/>
          <w:highlight w:val="none"/>
        </w:rPr>
        <w:t xml:space="preserve">：2026年常州市市属公园园艺景观提升工程</w:t>
      </w:r>
      <w:r>
        <w:rPr>
          <w:rFonts w:hint="eastAsia" w:ascii="宋体" w:hAnsi="宋体" w:cs="宋体"/>
          <w:color w:val="000000"/>
          <w:sz w:val="24"/>
          <w:highlight w:val="none"/>
        </w:rPr>
      </w:r>
      <w:r/>
    </w:p>
    <w:p>
      <w:pPr>
        <w:pStyle w:val="1288"/>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w:t>
      </w:r>
      <w:r>
        <w:rPr>
          <w:color w:val="000000"/>
          <w:sz w:val="24"/>
          <w:highlight w:val="none"/>
        </w:rPr>
        <w:t xml:space="preserve">采购方式：竞争性谈判</w:t>
      </w:r>
      <w:r>
        <w:rPr>
          <w:rFonts w:hint="eastAsia" w:ascii="宋体" w:hAnsi="宋体" w:cs="宋体"/>
          <w:color w:val="000000"/>
          <w:sz w:val="24"/>
          <w:highlight w:val="none"/>
        </w:rPr>
      </w:r>
      <w:r/>
    </w:p>
    <w:p>
      <w:pPr>
        <w:pStyle w:val="1288"/>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4.项目预算金额：1</w:t>
      </w:r>
      <w:r>
        <w:rPr>
          <w:rFonts w:hint="eastAsia" w:ascii="宋体" w:hAnsi="宋体" w:cs="宋体"/>
          <w:color w:val="000000"/>
          <w:sz w:val="24"/>
          <w:highlight w:val="none"/>
          <w:lang w:val="en-US" w:eastAsia="zh-CN"/>
        </w:rPr>
        <w:t xml:space="preserve">16.6</w:t>
      </w:r>
      <w:r>
        <w:rPr>
          <w:rFonts w:hint="eastAsia" w:ascii="宋体" w:hAnsi="宋体" w:cs="宋体"/>
          <w:color w:val="000000"/>
          <w:sz w:val="24"/>
          <w:highlight w:val="none"/>
        </w:rPr>
        <w:t xml:space="preserve">万元</w:t>
      </w:r>
      <w:r>
        <w:rPr>
          <w:rFonts w:hint="eastAsia" w:ascii="宋体" w:hAnsi="宋体" w:cs="宋体"/>
          <w:color w:val="000000"/>
          <w:sz w:val="24"/>
          <w:highlight w:val="none"/>
        </w:rPr>
      </w:r>
      <w:r/>
    </w:p>
    <w:p>
      <w:pPr>
        <w:pStyle w:val="1288"/>
        <w:ind w:firstLine="480"/>
        <w:spacing w:line="360" w:lineRule="auto"/>
        <w:rPr>
          <w:rFonts w:hint="eastAsia" w:ascii="宋体" w:hAnsi="宋体" w:eastAsia="宋体"/>
          <w:color w:val="000000"/>
          <w:sz w:val="24"/>
          <w:highlight w:val="none"/>
          <w:lang w:val="en-US" w:eastAsia="zh-CN"/>
        </w:rPr>
      </w:pPr>
      <w:r>
        <w:rPr>
          <w:rFonts w:hint="eastAsia" w:ascii="宋体" w:hAnsi="宋体" w:cs="宋体"/>
          <w:color w:val="000000"/>
          <w:sz w:val="24"/>
          <w:highlight w:val="none"/>
        </w:rPr>
        <w:t xml:space="preserve">5.最高限价：</w:t>
      </w:r>
      <w:r>
        <w:rPr>
          <w:rFonts w:hint="eastAsia" w:ascii="宋体" w:hAnsi="宋体" w:cs="宋体"/>
          <w:color w:val="000000"/>
          <w:sz w:val="24"/>
          <w:highlight w:val="none"/>
          <w:lang w:val="en-US" w:eastAsia="zh-CN"/>
        </w:rPr>
        <w:t xml:space="preserve">1165748.98</w:t>
      </w:r>
      <w:r>
        <w:rPr>
          <w:rFonts w:hint="eastAsia" w:ascii="宋体" w:hAnsi="宋体" w:cs="宋体"/>
          <w:color w:val="000000"/>
          <w:sz w:val="24"/>
          <w:highlight w:val="none"/>
        </w:rPr>
        <w:t xml:space="preserve">元，</w:t>
      </w:r>
      <w:r>
        <w:rPr>
          <w:rFonts w:hint="eastAsia" w:ascii="宋体" w:hAnsi="宋体"/>
          <w:color w:val="000000"/>
          <w:sz w:val="24"/>
          <w:highlight w:val="none"/>
        </w:rPr>
        <w:t xml:space="preserve">响应报价超过最高限价单价及总价的作无效投标处理</w:t>
      </w:r>
      <w:r>
        <w:rPr>
          <w:rFonts w:hint="eastAsia" w:ascii="宋体" w:hAnsi="宋体"/>
          <w:color w:val="000000"/>
          <w:sz w:val="24"/>
          <w:highlight w:val="none"/>
          <w:lang w:eastAsia="zh-CN"/>
        </w:rPr>
        <w:t xml:space="preserve">。</w:t>
      </w:r>
      <w:r>
        <w:rPr>
          <w:rFonts w:hint="eastAsia" w:ascii="宋体" w:hAnsi="宋体" w:eastAsia="宋体"/>
          <w:color w:val="000000"/>
          <w:sz w:val="24"/>
          <w:highlight w:val="none"/>
          <w:lang w:val="en-US" w:eastAsia="zh-CN"/>
        </w:rPr>
      </w:r>
      <w:r/>
    </w:p>
    <w:p>
      <w:pPr>
        <w:pStyle w:val="1288"/>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6.采购需求：本项目为2026年常州市市属公园园艺景观提升工程，实施地点为荆川公园、人民公园，实施内容包含绿化种植、土壤改良、硬质景观、配套设施、文化景观小品施工、垃圾清运等，包含但不限于设计图纸及工程量清单范围内所有内容及为实施以上永久工程而必须的临时工程的施工和缺陷修复，详见设计图纸和采购文件的有关内容。</w:t>
      </w:r>
      <w:r>
        <w:rPr>
          <w:rFonts w:hint="eastAsia" w:ascii="宋体" w:hAnsi="宋体" w:cs="宋体"/>
          <w:color w:val="000000"/>
          <w:sz w:val="24"/>
          <w:highlight w:val="none"/>
        </w:rPr>
      </w:r>
      <w:r/>
    </w:p>
    <w:p>
      <w:pPr>
        <w:pStyle w:val="1288"/>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7.合同履行期限：自收到采购人开工通知后50个日历天内完工并通过验收。</w:t>
      </w:r>
      <w:r>
        <w:rPr>
          <w:rFonts w:hint="eastAsia" w:ascii="宋体" w:hAnsi="宋体" w:cs="宋体"/>
          <w:color w:val="000000"/>
          <w:sz w:val="24"/>
          <w:highlight w:val="none"/>
        </w:rPr>
      </w:r>
      <w:r/>
    </w:p>
    <w:p>
      <w:pPr>
        <w:pStyle w:val="1288"/>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8.本项目是否接受联合体：□是  ■否。</w:t>
      </w:r>
      <w:r>
        <w:rPr>
          <w:rFonts w:hint="eastAsia" w:ascii="宋体" w:hAnsi="宋体" w:cs="宋体"/>
          <w:color w:val="000000"/>
          <w:sz w:val="24"/>
          <w:highlight w:val="none"/>
        </w:rPr>
      </w:r>
      <w:r/>
    </w:p>
    <w:p>
      <w:pPr>
        <w:pStyle w:val="1288"/>
        <w:ind w:firstLine="480"/>
        <w:spacing w:line="360" w:lineRule="auto"/>
        <w:rPr>
          <w:rFonts w:hint="eastAsia" w:ascii="宋体" w:hAnsi="宋体" w:cs="宋体"/>
          <w:color w:val="000000"/>
          <w:sz w:val="24"/>
          <w:highlight w:val="none"/>
        </w:rPr>
      </w:pPr>
      <w:r/>
      <w:bookmarkStart w:id="7" w:name="_Toc35393622"/>
      <w:r/>
      <w:bookmarkStart w:id="8" w:name="_Toc28359003"/>
      <w:r/>
      <w:bookmarkStart w:id="9" w:name="_Toc35393791"/>
      <w:r/>
      <w:bookmarkStart w:id="10" w:name="_Toc28359080"/>
      <w:r>
        <w:rPr>
          <w:rFonts w:hint="eastAsia" w:ascii="宋体" w:hAnsi="宋体" w:cs="宋体"/>
          <w:color w:val="000000"/>
          <w:sz w:val="24"/>
          <w:highlight w:val="none"/>
        </w:rPr>
        <w:t xml:space="preserve">9.本项目是否接受进口产品响应：□是  ■否。</w:t>
      </w:r>
      <w:r>
        <w:rPr>
          <w:rFonts w:hint="eastAsia" w:ascii="宋体" w:hAnsi="宋体" w:cs="宋体"/>
          <w:color w:val="000000"/>
          <w:sz w:val="24"/>
          <w:highlight w:val="none"/>
        </w:rPr>
      </w:r>
      <w:r/>
    </w:p>
    <w:p>
      <w:pPr>
        <w:pStyle w:val="1290"/>
        <w:jc w:val="left"/>
        <w:spacing w:before="0" w:line="360" w:lineRule="auto"/>
        <w:rPr>
          <w:rFonts w:ascii="Times New Roman" w:hAnsi="Times New Roman" w:eastAsia="宋体"/>
          <w:color w:val="000000"/>
          <w:sz w:val="24"/>
          <w:szCs w:val="24"/>
          <w:highlight w:val="none"/>
        </w:rPr>
      </w:pPr>
      <w:r>
        <w:rPr>
          <w:rFonts w:ascii="Times New Roman" w:hAnsi="Times New Roman" w:eastAsia="宋体"/>
          <w:color w:val="000000"/>
          <w:sz w:val="24"/>
          <w:szCs w:val="24"/>
          <w:highlight w:val="none"/>
        </w:rPr>
        <w:t xml:space="preserve">二、申请人的资格要求（须同时满足）</w:t>
      </w:r>
      <w:bookmarkEnd w:id="7"/>
      <w:r/>
      <w:bookmarkEnd w:id="8"/>
      <w:r/>
      <w:bookmarkEnd w:id="9"/>
      <w:r/>
      <w:bookmarkEnd w:id="10"/>
      <w:r>
        <w:rPr>
          <w:rFonts w:ascii="Times New Roman" w:hAnsi="Times New Roman" w:eastAsia="宋体"/>
          <w:color w:val="000000"/>
          <w:sz w:val="24"/>
          <w:szCs w:val="24"/>
          <w:highlight w:val="none"/>
        </w:rPr>
      </w:r>
      <w:r/>
    </w:p>
    <w:p>
      <w:pPr>
        <w:pStyle w:val="1288"/>
        <w:ind w:firstLine="480"/>
        <w:spacing w:line="360" w:lineRule="auto"/>
        <w:rPr>
          <w:rFonts w:hint="eastAsia" w:ascii="宋体" w:hAnsi="宋体" w:cs="宋体"/>
          <w:color w:val="000000"/>
          <w:sz w:val="24"/>
          <w:highlight w:val="none"/>
        </w:rPr>
      </w:pPr>
      <w:r/>
      <w:bookmarkStart w:id="11" w:name="_Toc28359004"/>
      <w:r/>
      <w:bookmarkStart w:id="12" w:name="_Toc28359081"/>
      <w:r>
        <w:rPr>
          <w:rFonts w:hint="eastAsia" w:ascii="宋体" w:hAnsi="宋体" w:cs="宋体"/>
          <w:color w:val="000000"/>
          <w:sz w:val="24"/>
          <w:highlight w:val="none"/>
        </w:rPr>
        <w:t xml:space="preserve">1.满足《中华人民共和国政府采购法》第二十二条规定以及下列情形：</w:t>
      </w:r>
      <w:r>
        <w:rPr>
          <w:rFonts w:hint="eastAsia" w:ascii="宋体" w:hAnsi="宋体" w:cs="宋体"/>
          <w:color w:val="000000"/>
          <w:sz w:val="24"/>
          <w:highlight w:val="none"/>
        </w:rPr>
      </w:r>
      <w:r/>
    </w:p>
    <w:p>
      <w:pPr>
        <w:pStyle w:val="1288"/>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1.1未被“信用中国”网站（WWW.creditchina.gov.cn）或“中国政府采购网”网站（www.ccgp.gov.cn）列入失信被执行人、重大税收违法案件当事人名单、政府采购严重失信行为记录名单；</w:t>
      </w:r>
      <w:r>
        <w:rPr>
          <w:rFonts w:hint="eastAsia" w:ascii="宋体" w:hAnsi="宋体" w:cs="宋体"/>
          <w:color w:val="000000"/>
          <w:sz w:val="24"/>
          <w:highlight w:val="none"/>
        </w:rPr>
      </w:r>
      <w:r/>
    </w:p>
    <w:p>
      <w:pPr>
        <w:pStyle w:val="1288"/>
        <w:ind w:firstLine="480"/>
        <w:spacing w:line="360" w:lineRule="auto"/>
        <w:rPr>
          <w:rFonts w:hint="eastAsia" w:ascii="宋体" w:hAnsi="宋体" w:cs="宋体"/>
          <w:color w:val="000000"/>
          <w:sz w:val="24"/>
          <w:highlight w:val="none"/>
        </w:rPr>
      </w:pPr>
      <w:r/>
      <w:bookmarkStart w:id="13" w:name="OLE_LINK12"/>
      <w:r/>
      <w:bookmarkStart w:id="14" w:name="OLE_LINK11"/>
      <w:r>
        <w:rPr>
          <w:rFonts w:hint="eastAsia" w:ascii="宋体" w:hAnsi="宋体" w:cs="宋体"/>
          <w:color w:val="000000"/>
          <w:sz w:val="24"/>
          <w:highlight w:val="none"/>
        </w:rPr>
        <w:t xml:space="preserve">1.2单位负责人为同一人或者存在直接控股、管理关系的不同供应商（包含法定代表人为同一个人的两个及两个以上法人，母公司、全资子公司及其控股公司），不得参加同一合同项下的政府采购活动。</w:t>
      </w:r>
      <w:bookmarkEnd w:id="13"/>
      <w:r/>
      <w:bookmarkEnd w:id="14"/>
      <w:r>
        <w:rPr>
          <w:rFonts w:hint="eastAsia" w:ascii="宋体" w:hAnsi="宋体" w:cs="宋体"/>
          <w:color w:val="000000"/>
          <w:sz w:val="24"/>
          <w:highlight w:val="none"/>
        </w:rPr>
      </w:r>
      <w:r/>
    </w:p>
    <w:p>
      <w:pPr>
        <w:pStyle w:val="1288"/>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2.落实政府采购政策需满足的资格要求：</w:t>
      </w:r>
      <w:r>
        <w:rPr>
          <w:rFonts w:hint="eastAsia" w:ascii="宋体" w:hAnsi="宋体" w:cs="宋体"/>
          <w:color w:val="000000"/>
          <w:sz w:val="24"/>
          <w:highlight w:val="none"/>
        </w:rPr>
      </w:r>
      <w:r/>
    </w:p>
    <w:p>
      <w:pPr>
        <w:pStyle w:val="1288"/>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2.1 中小企业政策</w:t>
      </w:r>
      <w:r>
        <w:rPr>
          <w:rFonts w:hint="eastAsia" w:ascii="宋体" w:hAnsi="宋体" w:cs="宋体"/>
          <w:color w:val="000000"/>
          <w:sz w:val="24"/>
          <w:highlight w:val="none"/>
        </w:rPr>
      </w:r>
      <w:r/>
    </w:p>
    <w:p>
      <w:pPr>
        <w:pStyle w:val="1288"/>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□本项目不专门面向中小企业预留采购份额。</w:t>
      </w:r>
      <w:r>
        <w:rPr>
          <w:rFonts w:hint="eastAsia" w:ascii="宋体" w:hAnsi="宋体" w:cs="宋体"/>
          <w:color w:val="000000"/>
          <w:sz w:val="24"/>
          <w:highlight w:val="none"/>
        </w:rPr>
      </w:r>
      <w:r/>
    </w:p>
    <w:p>
      <w:pPr>
        <w:pStyle w:val="1288"/>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■本项目专门面向  ■中小 ■小微企业  采购。即：提供的货物全部由符合政策要求的中小/小微企业制造、服务全部由符合政策要求的中小/小微企业承接。</w:t>
      </w:r>
      <w:r>
        <w:rPr>
          <w:rFonts w:hint="eastAsia" w:ascii="宋体" w:hAnsi="宋体" w:cs="宋体"/>
          <w:color w:val="000000"/>
          <w:sz w:val="24"/>
          <w:highlight w:val="none"/>
        </w:rPr>
      </w:r>
      <w:r/>
    </w:p>
    <w:p>
      <w:pPr>
        <w:pStyle w:val="1288"/>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□本项目预留部分采购项目预算专门面向中小企业采购。对于预留份额，提供的货物由符合政策要求的中小企业制造、服务由符合政策要求的中小企业承接。预留份额通过以下措施进行：__________________。</w:t>
      </w:r>
      <w:r>
        <w:rPr>
          <w:rFonts w:hint="eastAsia" w:ascii="宋体" w:hAnsi="宋体" w:cs="宋体"/>
          <w:color w:val="000000"/>
          <w:sz w:val="24"/>
          <w:highlight w:val="none"/>
        </w:rPr>
      </w:r>
      <w:r/>
    </w:p>
    <w:p>
      <w:pPr>
        <w:pStyle w:val="1288"/>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2.2 其它落实政府采购政策的资格要求：无。</w:t>
      </w:r>
      <w:r>
        <w:rPr>
          <w:rFonts w:hint="eastAsia" w:ascii="宋体" w:hAnsi="宋体" w:cs="宋体"/>
          <w:color w:val="000000"/>
          <w:sz w:val="24"/>
          <w:highlight w:val="none"/>
        </w:rPr>
      </w:r>
      <w:r/>
    </w:p>
    <w:p>
      <w:pPr>
        <w:pStyle w:val="1288"/>
        <w:ind w:firstLine="480"/>
        <w:spacing w:line="360" w:lineRule="auto"/>
        <w:rPr>
          <w:rFonts w:hint="eastAsia" w:ascii="宋体" w:hAnsi="宋体" w:cs="宋体"/>
          <w:i/>
          <w:iCs/>
          <w:color w:val="000000"/>
          <w:sz w:val="24"/>
          <w:highlight w:val="none"/>
          <w:u w:val="single"/>
        </w:rPr>
      </w:pPr>
      <w:r>
        <w:rPr>
          <w:rFonts w:hint="eastAsia" w:ascii="宋体" w:hAnsi="宋体" w:cs="宋体"/>
          <w:color w:val="000000"/>
          <w:sz w:val="24"/>
          <w:highlight w:val="none"/>
        </w:rPr>
        <w:t xml:space="preserve">3.本项目的特定资格要求：</w:t>
      </w:r>
      <w:r>
        <w:rPr>
          <w:rFonts w:hint="eastAsia" w:ascii="宋体" w:hAnsi="宋体" w:cs="宋体"/>
          <w:i/>
          <w:iCs/>
          <w:color w:val="000000"/>
          <w:sz w:val="24"/>
          <w:highlight w:val="none"/>
          <w:u w:val="single"/>
        </w:rPr>
      </w:r>
      <w:r/>
    </w:p>
    <w:p>
      <w:pPr>
        <w:pStyle w:val="1288"/>
        <w:ind w:firstLine="480"/>
        <w:spacing w:line="360" w:lineRule="auto"/>
        <w:tabs>
          <w:tab w:val="left" w:pos="900" w:leader="none"/>
          <w:tab w:val="left" w:pos="1134" w:leader="none"/>
          <w:tab w:val="left" w:pos="1589" w:leader="none"/>
          <w:tab w:val="left" w:pos="5521" w:leader="none"/>
        </w:tabs>
        <w:rPr>
          <w:rFonts w:hint="eastAsia" w:ascii="宋体" w:hAnsi="宋体" w:cs="宋体"/>
          <w:i/>
          <w:color w:val="000000"/>
          <w:sz w:val="24"/>
          <w:highlight w:val="none"/>
        </w:rPr>
      </w:pPr>
      <w:r>
        <w:rPr>
          <w:rFonts w:hint="eastAsia" w:ascii="宋体" w:hAnsi="宋体" w:cs="宋体"/>
          <w:color w:val="000000"/>
          <w:sz w:val="24"/>
          <w:highlight w:val="none"/>
        </w:rPr>
        <w:t xml:space="preserve">3.1本项目是否接受分支机构参与：□是 </w:t>
      </w:r>
      <w:r>
        <w:rPr>
          <w:rFonts w:hint="eastAsia" w:ascii="MS Gothic" w:hAnsi="MS Gothic" w:cs="MS Gothic"/>
          <w:color w:val="000000"/>
          <w:sz w:val="24"/>
          <w:highlight w:val="none"/>
        </w:rPr>
        <w:t xml:space="preserve">■</w:t>
      </w:r>
      <w:r>
        <w:rPr>
          <w:rFonts w:hint="eastAsia" w:ascii="宋体" w:hAnsi="宋体" w:cs="宋体"/>
          <w:color w:val="000000"/>
          <w:sz w:val="24"/>
          <w:highlight w:val="none"/>
        </w:rPr>
        <w:t xml:space="preserve">否；</w:t>
      </w:r>
      <w:r>
        <w:rPr>
          <w:rFonts w:hint="eastAsia" w:ascii="宋体" w:hAnsi="宋体" w:cs="宋体"/>
          <w:i/>
          <w:color w:val="000000"/>
          <w:sz w:val="24"/>
          <w:highlight w:val="none"/>
        </w:rPr>
      </w:r>
      <w:r/>
    </w:p>
    <w:p>
      <w:pPr>
        <w:pStyle w:val="1288"/>
        <w:ind w:firstLine="480"/>
        <w:spacing w:line="360" w:lineRule="auto"/>
        <w:tabs>
          <w:tab w:val="left" w:pos="900" w:leader="none"/>
          <w:tab w:val="left" w:pos="1134" w:leader="none"/>
          <w:tab w:val="left" w:pos="1589" w:leader="none"/>
          <w:tab w:val="left" w:pos="552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3.2本项目是否属于政府购买服务：</w:t>
      </w:r>
      <w:r>
        <w:rPr>
          <w:rFonts w:hint="eastAsia" w:ascii="宋体" w:hAnsi="宋体" w:cs="宋体"/>
          <w:color w:val="000000"/>
          <w:sz w:val="24"/>
          <w:highlight w:val="none"/>
        </w:rPr>
      </w:r>
      <w:r/>
    </w:p>
    <w:p>
      <w:pPr>
        <w:pStyle w:val="1288"/>
        <w:ind w:left="991" w:firstLine="2"/>
        <w:spacing w:line="360" w:lineRule="auto"/>
        <w:tabs>
          <w:tab w:val="left" w:pos="900" w:leader="none"/>
          <w:tab w:val="left" w:pos="1134" w:leader="none"/>
          <w:tab w:val="left" w:pos="1589" w:leader="none"/>
          <w:tab w:val="left" w:pos="552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■否</w:t>
      </w:r>
      <w:r>
        <w:rPr>
          <w:rFonts w:hint="eastAsia" w:ascii="宋体" w:hAnsi="宋体" w:cs="宋体"/>
          <w:color w:val="000000"/>
          <w:sz w:val="24"/>
          <w:highlight w:val="none"/>
        </w:rPr>
      </w:r>
      <w:r/>
    </w:p>
    <w:p>
      <w:pPr>
        <w:pStyle w:val="1288"/>
        <w:ind w:left="991" w:firstLine="2"/>
        <w:spacing w:line="360" w:lineRule="auto"/>
        <w:tabs>
          <w:tab w:val="left" w:pos="900" w:leader="none"/>
          <w:tab w:val="left" w:pos="1134" w:leader="none"/>
          <w:tab w:val="left" w:pos="1589" w:leader="none"/>
          <w:tab w:val="left" w:pos="552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□是，公益一类事业单位、使用事业编制且由财政拨款保障的群团组织，不得作为承接主体；</w:t>
      </w:r>
      <w:r>
        <w:rPr>
          <w:rFonts w:hint="eastAsia" w:ascii="宋体" w:hAnsi="宋体" w:cs="宋体"/>
          <w:color w:val="000000"/>
          <w:sz w:val="24"/>
          <w:highlight w:val="none"/>
        </w:rPr>
      </w:r>
      <w:r/>
    </w:p>
    <w:p>
      <w:pPr>
        <w:pStyle w:val="1288"/>
        <w:ind w:firstLine="480"/>
        <w:spacing w:line="360" w:lineRule="auto"/>
        <w:tabs>
          <w:tab w:val="left" w:pos="900" w:leader="none"/>
          <w:tab w:val="left" w:pos="1134" w:leader="none"/>
          <w:tab w:val="left" w:pos="1589" w:leader="none"/>
          <w:tab w:val="left" w:pos="552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3.3 其他特定资格要求：</w:t>
      </w:r>
      <w:r>
        <w:rPr>
          <w:rFonts w:hint="eastAsia" w:ascii="宋体" w:hAnsi="宋体" w:cs="宋体"/>
          <w:color w:val="000000"/>
          <w:sz w:val="24"/>
          <w:highlight w:val="none"/>
        </w:rPr>
      </w:r>
      <w:r/>
    </w:p>
    <w:p>
      <w:pPr>
        <w:pStyle w:val="1288"/>
        <w:ind w:firstLine="480"/>
        <w:spacing w:line="360" w:lineRule="auto"/>
        <w:tabs>
          <w:tab w:val="left" w:pos="900" w:leader="none"/>
          <w:tab w:val="left" w:pos="1134" w:leader="none"/>
          <w:tab w:val="left" w:pos="1589" w:leader="none"/>
          <w:tab w:val="left" w:pos="552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（1）具有市政公用工程施工总承包三级及以上资质证书</w:t>
      </w:r>
      <w:r>
        <w:rPr>
          <w:rFonts w:hint="eastAsia" w:ascii="宋体" w:hAnsi="宋体" w:cs="宋体"/>
          <w:color w:val="000000"/>
          <w:sz w:val="24"/>
          <w:highlight w:val="none"/>
        </w:rPr>
      </w:r>
      <w:r/>
    </w:p>
    <w:p>
      <w:pPr>
        <w:pStyle w:val="1288"/>
        <w:ind w:firstLine="480"/>
        <w:spacing w:line="360" w:lineRule="auto"/>
        <w:tabs>
          <w:tab w:val="left" w:pos="900" w:leader="none"/>
          <w:tab w:val="left" w:pos="1134" w:leader="none"/>
          <w:tab w:val="left" w:pos="1589" w:leader="none"/>
          <w:tab w:val="left" w:pos="552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（2）具有省级及以上建设行政主管部门颁发的在有效期内的《安全生产许可证》</w:t>
      </w:r>
      <w:r>
        <w:rPr>
          <w:rFonts w:hint="eastAsia" w:ascii="宋体" w:hAnsi="宋体" w:cs="宋体"/>
          <w:color w:val="000000"/>
          <w:sz w:val="24"/>
          <w:highlight w:val="none"/>
        </w:rPr>
      </w:r>
      <w:r/>
    </w:p>
    <w:p>
      <w:pPr>
        <w:pStyle w:val="1288"/>
        <w:ind w:firstLine="480"/>
        <w:spacing w:line="360" w:lineRule="auto"/>
        <w:tabs>
          <w:tab w:val="left" w:pos="900" w:leader="none"/>
          <w:tab w:val="left" w:pos="1134" w:leader="none"/>
          <w:tab w:val="left" w:pos="1589" w:leader="none"/>
          <w:tab w:val="left" w:pos="5521" w:leader="none"/>
        </w:tabs>
        <w:rPr>
          <w:rFonts w:ascii="宋体" w:hAnsi="宋体" w:cs="宋体"/>
          <w:color w:val="000000"/>
          <w:sz w:val="24"/>
          <w:highlight w:val="none"/>
        </w:rPr>
      </w:pPr>
      <w:r>
        <w:rPr>
          <w:rFonts w:hint="eastAsia" w:ascii="宋体" w:hAnsi="宋体" w:cs="宋体"/>
          <w:color w:val="000000"/>
          <w:sz w:val="24"/>
          <w:highlight w:val="none"/>
        </w:rPr>
        <w:t xml:space="preserve">（3）供应商拟派的项目负责人须具备市政公用</w:t>
      </w:r>
      <w:r>
        <w:rPr>
          <w:rFonts w:hint="eastAsia" w:ascii="宋体" w:hAnsi="宋体" w:cs="宋体"/>
          <w:color w:val="000000"/>
          <w:sz w:val="24"/>
          <w:highlight w:val="none"/>
          <w:lang w:val="zh-CN"/>
        </w:rPr>
        <w:t xml:space="preserve">工程二级及以上</w:t>
      </w:r>
      <w:r>
        <w:rPr>
          <w:rFonts w:hint="eastAsia" w:ascii="宋体" w:hAnsi="宋体" w:cs="宋体"/>
          <w:color w:val="000000"/>
          <w:sz w:val="24"/>
          <w:highlight w:val="none"/>
        </w:rPr>
        <w:t xml:space="preserve">的注册建造师证书及建设行政主管部门颁发的安全生产考核合格证（B证）</w:t>
      </w:r>
      <w:r>
        <w:rPr>
          <w:rFonts w:ascii="宋体" w:hAnsi="宋体" w:cs="宋体"/>
          <w:color w:val="000000"/>
          <w:sz w:val="24"/>
          <w:highlight w:val="none"/>
        </w:rPr>
      </w:r>
      <w:r/>
    </w:p>
    <w:p>
      <w:pPr>
        <w:pStyle w:val="1288"/>
        <w:ind w:firstLine="480"/>
        <w:spacing w:line="360" w:lineRule="auto"/>
        <w:tabs>
          <w:tab w:val="left" w:pos="900" w:leader="none"/>
          <w:tab w:val="left" w:pos="1134" w:leader="none"/>
          <w:tab w:val="left" w:pos="1589" w:leader="none"/>
          <w:tab w:val="left" w:pos="552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（4）提供供应商为项目负责人缴纳的近三个月中任意一个月（自开标之日起往前推算）的社保证明</w:t>
      </w:r>
      <w:r>
        <w:rPr>
          <w:rFonts w:hint="eastAsia" w:ascii="宋体" w:hAnsi="宋体" w:cs="宋体"/>
          <w:color w:val="000000"/>
          <w:sz w:val="24"/>
          <w:highlight w:val="none"/>
        </w:rPr>
      </w:r>
      <w:r/>
    </w:p>
    <w:p>
      <w:pPr>
        <w:pStyle w:val="1288"/>
        <w:jc w:val="left"/>
        <w:keepLines/>
        <w:keepNext/>
        <w:spacing w:line="360" w:lineRule="auto"/>
        <w:rPr>
          <w:b/>
          <w:color w:val="000000"/>
          <w:sz w:val="24"/>
          <w:highlight w:val="none"/>
        </w:rPr>
        <w:outlineLvl w:val="1"/>
      </w:pPr>
      <w:r/>
      <w:bookmarkEnd w:id="11"/>
      <w:r/>
      <w:bookmarkEnd w:id="12"/>
      <w:r/>
      <w:bookmarkStart w:id="15" w:name="_Toc28359005"/>
      <w:r/>
      <w:bookmarkStart w:id="16" w:name="_Toc28359082"/>
      <w:r/>
      <w:bookmarkStart w:id="17" w:name="_Toc35393624"/>
      <w:r/>
      <w:bookmarkStart w:id="18" w:name="_Toc35393793"/>
      <w:r>
        <w:rPr>
          <w:rFonts w:hint="eastAsia"/>
          <w:b/>
          <w:color w:val="000000"/>
          <w:sz w:val="24"/>
          <w:highlight w:val="none"/>
        </w:rPr>
        <w:t xml:space="preserve">三、获取采购文件</w:t>
      </w:r>
      <w:r>
        <w:rPr>
          <w:b/>
          <w:color w:val="000000"/>
          <w:sz w:val="24"/>
          <w:highlight w:val="none"/>
        </w:rPr>
      </w:r>
      <w:r/>
    </w:p>
    <w:p>
      <w:pPr>
        <w:pStyle w:val="1288"/>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1.时间：自谈判文件公告发布之日起3个工作日 </w:t>
      </w:r>
      <w:r>
        <w:rPr>
          <w:rFonts w:hint="eastAsia" w:ascii="宋体" w:hAnsi="宋体"/>
          <w:color w:val="000000"/>
          <w:sz w:val="24"/>
          <w:highlight w:val="none"/>
        </w:rPr>
      </w:r>
      <w:r/>
    </w:p>
    <w:p>
      <w:pPr>
        <w:pStyle w:val="1288"/>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2.地点：</w:t>
      </w:r>
      <w:r>
        <w:rPr>
          <w:rFonts w:hint="eastAsia" w:ascii="微软雅黑" w:hAnsi="微软雅黑"/>
          <w:color w:val="000000"/>
          <w:sz w:val="24"/>
          <w:highlight w:val="none"/>
        </w:rPr>
        <w:t xml:space="preserve">“苏采云”政府采购一体化平台</w:t>
      </w:r>
      <w:r>
        <w:rPr>
          <w:rFonts w:hint="eastAsia" w:ascii="宋体" w:hAnsi="宋体"/>
          <w:color w:val="000000"/>
          <w:sz w:val="24"/>
          <w:highlight w:val="none"/>
        </w:rPr>
      </w:r>
      <w:r/>
    </w:p>
    <w:p>
      <w:pPr>
        <w:pStyle w:val="1288"/>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3.方式：供应商持CA数字认证证书登录“苏采云”（网址：http://jszfcg.jsczt.cn/jszc/login）获取电子版谈判文件。</w:t>
      </w:r>
      <w:r>
        <w:rPr>
          <w:rFonts w:hint="eastAsia" w:ascii="宋体" w:hAnsi="宋体"/>
          <w:color w:val="000000"/>
          <w:sz w:val="24"/>
          <w:highlight w:val="none"/>
        </w:rPr>
      </w:r>
      <w:r/>
    </w:p>
    <w:p>
      <w:pPr>
        <w:pStyle w:val="1288"/>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4.售价：0元。</w:t>
      </w:r>
      <w:r>
        <w:rPr>
          <w:rFonts w:hint="eastAsia" w:ascii="宋体" w:hAnsi="宋体"/>
          <w:color w:val="000000"/>
          <w:sz w:val="24"/>
          <w:highlight w:val="none"/>
        </w:rPr>
      </w:r>
      <w:r/>
    </w:p>
    <w:p>
      <w:pPr>
        <w:pStyle w:val="1290"/>
        <w:jc w:val="left"/>
        <w:spacing w:before="0" w:line="360" w:lineRule="auto"/>
        <w:widowControl/>
        <w:rPr>
          <w:rFonts w:ascii="Times New Roman" w:hAnsi="Times New Roman" w:eastAsia="宋体"/>
          <w:color w:val="000000"/>
          <w:sz w:val="24"/>
          <w:szCs w:val="24"/>
          <w:highlight w:val="none"/>
        </w:rPr>
      </w:pPr>
      <w:r>
        <w:rPr>
          <w:rFonts w:ascii="Times New Roman" w:hAnsi="Times New Roman" w:eastAsia="宋体"/>
          <w:color w:val="000000"/>
          <w:sz w:val="24"/>
          <w:szCs w:val="24"/>
          <w:highlight w:val="none"/>
        </w:rPr>
        <w:t xml:space="preserve">四、</w:t>
      </w:r>
      <w:bookmarkEnd w:id="15"/>
      <w:r/>
      <w:bookmarkEnd w:id="16"/>
      <w:r/>
      <w:bookmarkEnd w:id="17"/>
      <w:r/>
      <w:bookmarkEnd w:id="18"/>
      <w:r>
        <w:rPr>
          <w:rFonts w:ascii="Times New Roman" w:hAnsi="Times New Roman" w:eastAsia="宋体"/>
          <w:color w:val="000000"/>
          <w:sz w:val="24"/>
          <w:szCs w:val="24"/>
          <w:highlight w:val="none"/>
        </w:rPr>
        <w:t xml:space="preserve">响应文件提交</w:t>
      </w:r>
      <w:r>
        <w:rPr>
          <w:rFonts w:ascii="Times New Roman" w:hAnsi="Times New Roman" w:eastAsia="宋体"/>
          <w:color w:val="000000"/>
          <w:sz w:val="24"/>
          <w:szCs w:val="24"/>
          <w:highlight w:val="none"/>
        </w:rPr>
      </w:r>
      <w:r/>
    </w:p>
    <w:p>
      <w:pPr>
        <w:pStyle w:val="1288"/>
        <w:ind w:firstLine="480"/>
        <w:spacing w:line="360" w:lineRule="auto"/>
        <w:rPr>
          <w:rFonts w:ascii="黑体" w:hAnsi="黑体" w:eastAsia="黑体"/>
          <w:color w:val="000000"/>
          <w:sz w:val="24"/>
          <w:highlight w:val="none"/>
        </w:rPr>
      </w:pPr>
      <w:r/>
      <w:bookmarkStart w:id="19" w:name="_Toc35393795"/>
      <w:r/>
      <w:bookmarkStart w:id="20" w:name="_Toc35393626"/>
      <w:r>
        <w:rPr>
          <w:rFonts w:hint="eastAsia" w:ascii="宋体" w:hAnsi="宋体"/>
          <w:color w:val="000000"/>
          <w:sz w:val="24"/>
          <w:highlight w:val="none"/>
        </w:rPr>
        <w:t xml:space="preserve">截止时间：</w:t>
      </w:r>
      <w:r>
        <w:rPr>
          <w:rFonts w:ascii="宋体" w:hAnsi="宋体"/>
          <w:bCs/>
          <w:color w:val="000000"/>
          <w:sz w:val="24"/>
          <w:highlight w:val="none"/>
          <w:u w:val="single"/>
        </w:rPr>
        <w:t xml:space="preserve">20</w:t>
      </w:r>
      <w:r>
        <w:rPr>
          <w:rFonts w:hint="eastAsia" w:ascii="宋体" w:hAnsi="宋体"/>
          <w:bCs/>
          <w:color w:val="000000"/>
          <w:sz w:val="24"/>
          <w:highlight w:val="none"/>
          <w:u w:val="single"/>
        </w:rPr>
        <w:t xml:space="preserve">26</w:t>
      </w:r>
      <w:r>
        <w:rPr>
          <w:rFonts w:ascii="宋体" w:hAnsi="宋体"/>
          <w:bCs/>
          <w:color w:val="000000"/>
          <w:sz w:val="24"/>
          <w:highlight w:val="none"/>
          <w:u w:val="single"/>
        </w:rPr>
        <w:t xml:space="preserve">年</w:t>
      </w:r>
      <w:r>
        <w:rPr>
          <w:rFonts w:hint="eastAsia" w:ascii="宋体" w:hAnsi="宋体"/>
          <w:bCs/>
          <w:color w:val="000000"/>
          <w:sz w:val="24"/>
          <w:highlight w:val="none"/>
          <w:u w:val="single"/>
          <w:lang w:val="en-US" w:eastAsia="zh-CN"/>
        </w:rPr>
        <w:t xml:space="preserve">9</w:t>
      </w:r>
      <w:r>
        <w:rPr>
          <w:rFonts w:ascii="宋体" w:hAnsi="宋体"/>
          <w:bCs/>
          <w:color w:val="000000"/>
          <w:sz w:val="24"/>
          <w:highlight w:val="none"/>
          <w:u w:val="single"/>
        </w:rPr>
        <w:t xml:space="preserve">月</w:t>
      </w:r>
      <w:r>
        <w:rPr>
          <w:rFonts w:hint="eastAsia" w:ascii="宋体" w:hAnsi="宋体"/>
          <w:bCs/>
          <w:color w:val="000000"/>
          <w:sz w:val="24"/>
          <w:highlight w:val="none"/>
          <w:u w:val="single"/>
          <w:lang w:val="en-US" w:eastAsia="zh-CN"/>
        </w:rPr>
        <w:t xml:space="preserve">2</w:t>
      </w:r>
      <w:r>
        <w:rPr>
          <w:rFonts w:hint="eastAsia" w:ascii="宋体" w:hAnsi="宋体"/>
          <w:bCs/>
          <w:color w:val="000000"/>
          <w:sz w:val="24"/>
          <w:highlight w:val="none"/>
          <w:u w:val="single"/>
          <w:lang w:val="en-US" w:eastAsia="zh-CN"/>
        </w:rPr>
        <w:t xml:space="preserve">4</w:t>
      </w:r>
      <w:r>
        <w:rPr>
          <w:rFonts w:ascii="宋体" w:hAnsi="宋体"/>
          <w:bCs/>
          <w:color w:val="000000"/>
          <w:sz w:val="24"/>
          <w:highlight w:val="none"/>
          <w:u w:val="single"/>
        </w:rPr>
        <w:t xml:space="preserve">日</w:t>
      </w:r>
      <w:r>
        <w:rPr>
          <w:rFonts w:hint="eastAsia" w:ascii="宋体" w:hAnsi="宋体"/>
          <w:bCs/>
          <w:color w:val="000000"/>
          <w:sz w:val="24"/>
          <w:highlight w:val="none"/>
          <w:u w:val="single"/>
          <w:lang w:val="en-US" w:eastAsia="zh-CN"/>
        </w:rPr>
        <w:t xml:space="preserve">0</w:t>
      </w:r>
      <w:r>
        <w:rPr>
          <w:rFonts w:hint="eastAsia" w:ascii="宋体" w:hAnsi="宋体"/>
          <w:bCs/>
          <w:color w:val="000000"/>
          <w:sz w:val="24"/>
          <w:highlight w:val="none"/>
          <w:u w:val="single"/>
          <w:lang w:val="en-US" w:eastAsia="zh-CN"/>
        </w:rPr>
        <w:t xml:space="preserve">9</w:t>
      </w:r>
      <w:r>
        <w:rPr>
          <w:rFonts w:ascii="宋体" w:hAnsi="宋体"/>
          <w:bCs/>
          <w:color w:val="000000"/>
          <w:sz w:val="24"/>
          <w:highlight w:val="none"/>
          <w:u w:val="single"/>
        </w:rPr>
        <w:t xml:space="preserve">时</w:t>
      </w:r>
      <w:r>
        <w:rPr>
          <w:rFonts w:hint="eastAsia" w:ascii="宋体" w:hAnsi="宋体"/>
          <w:bCs/>
          <w:color w:val="000000"/>
          <w:sz w:val="24"/>
          <w:highlight w:val="none"/>
          <w:u w:val="single"/>
          <w:lang w:val="en-US" w:eastAsia="zh-CN"/>
        </w:rPr>
        <w:t xml:space="preserve">3</w:t>
      </w:r>
      <w:r>
        <w:rPr>
          <w:rFonts w:hint="eastAsia" w:ascii="宋体" w:hAnsi="宋体"/>
          <w:bCs/>
          <w:color w:val="000000"/>
          <w:sz w:val="24"/>
          <w:highlight w:val="none"/>
          <w:u w:val="single"/>
          <w:lang w:val="en-US" w:eastAsia="zh-CN"/>
        </w:rPr>
        <w:t xml:space="preserve">0</w:t>
      </w:r>
      <w:r>
        <w:rPr>
          <w:rFonts w:ascii="宋体" w:hAnsi="宋体"/>
          <w:bCs/>
          <w:color w:val="000000"/>
          <w:sz w:val="24"/>
          <w:highlight w:val="none"/>
          <w:u w:val="single"/>
        </w:rPr>
        <w:t xml:space="preserve">分</w:t>
      </w:r>
      <w:r>
        <w:rPr>
          <w:rFonts w:hint="eastAsia" w:ascii="宋体" w:hAnsi="宋体"/>
          <w:bCs/>
          <w:color w:val="000000"/>
          <w:sz w:val="24"/>
          <w:highlight w:val="none"/>
        </w:rPr>
        <w:t xml:space="preserve">（北京时间）</w:t>
      </w:r>
      <w:r>
        <w:rPr>
          <w:rFonts w:ascii="黑体" w:hAnsi="黑体" w:eastAsia="黑体"/>
          <w:color w:val="000000"/>
          <w:sz w:val="24"/>
          <w:highlight w:val="none"/>
        </w:rPr>
      </w:r>
      <w:r/>
    </w:p>
    <w:p>
      <w:pPr>
        <w:pStyle w:val="1288"/>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地点：本项目采用不见面交易方式，无需到现场提交，供应商登录“苏采云”系统供应商端，通过系统在线提交电子响应文件。</w:t>
      </w:r>
      <w:r>
        <w:rPr>
          <w:rFonts w:hint="eastAsia" w:ascii="宋体" w:hAnsi="宋体"/>
          <w:color w:val="000000"/>
          <w:sz w:val="24"/>
          <w:highlight w:val="none"/>
        </w:rPr>
      </w:r>
      <w:r/>
    </w:p>
    <w:p>
      <w:pPr>
        <w:pStyle w:val="1290"/>
        <w:jc w:val="left"/>
        <w:spacing w:before="0" w:line="360" w:lineRule="auto"/>
        <w:rPr>
          <w:rFonts w:ascii="Times New Roman" w:hAnsi="Times New Roman" w:eastAsia="宋体"/>
          <w:color w:val="000000"/>
          <w:sz w:val="24"/>
          <w:szCs w:val="24"/>
          <w:highlight w:val="none"/>
        </w:rPr>
      </w:pPr>
      <w:r/>
      <w:bookmarkStart w:id="21" w:name="_Toc28359084"/>
      <w:r/>
      <w:bookmarkStart w:id="22" w:name="_Toc28359007"/>
      <w:r/>
      <w:bookmarkStart w:id="23" w:name="_Toc35393625"/>
      <w:r/>
      <w:bookmarkStart w:id="24" w:name="_Toc35393794"/>
      <w:r>
        <w:rPr>
          <w:rFonts w:ascii="Times New Roman" w:hAnsi="Times New Roman" w:eastAsia="宋体"/>
          <w:color w:val="000000"/>
          <w:sz w:val="24"/>
          <w:szCs w:val="24"/>
          <w:highlight w:val="none"/>
        </w:rPr>
        <w:t xml:space="preserve">五、</w:t>
      </w:r>
      <w:bookmarkEnd w:id="21"/>
      <w:r/>
      <w:bookmarkEnd w:id="22"/>
      <w:r/>
      <w:bookmarkEnd w:id="23"/>
      <w:r/>
      <w:bookmarkEnd w:id="24"/>
      <w:r>
        <w:rPr>
          <w:rFonts w:ascii="Times New Roman" w:hAnsi="Times New Roman" w:eastAsia="宋体"/>
          <w:color w:val="000000"/>
          <w:sz w:val="24"/>
          <w:szCs w:val="24"/>
          <w:highlight w:val="none"/>
        </w:rPr>
        <w:t xml:space="preserve">公告期限</w:t>
      </w:r>
      <w:r>
        <w:rPr>
          <w:rFonts w:ascii="Times New Roman" w:hAnsi="Times New Roman" w:eastAsia="宋体"/>
          <w:color w:val="000000"/>
          <w:sz w:val="24"/>
          <w:szCs w:val="24"/>
          <w:highlight w:val="none"/>
        </w:rPr>
      </w:r>
      <w:r/>
    </w:p>
    <w:p>
      <w:pPr>
        <w:pStyle w:val="1288"/>
        <w:ind w:firstLine="480"/>
        <w:spacing w:line="360" w:lineRule="auto"/>
        <w:rPr>
          <w:color w:val="000000"/>
          <w:sz w:val="24"/>
          <w:highlight w:val="none"/>
        </w:rPr>
      </w:pPr>
      <w:r>
        <w:rPr>
          <w:color w:val="000000"/>
          <w:sz w:val="24"/>
          <w:highlight w:val="none"/>
        </w:rPr>
        <w:t xml:space="preserve">自本公告发布之日起</w:t>
      </w:r>
      <w:r>
        <w:rPr>
          <w:rFonts w:hint="eastAsia"/>
          <w:color w:val="000000"/>
          <w:sz w:val="24"/>
          <w:highlight w:val="none"/>
          <w:lang w:val="en-US" w:eastAsia="zh-CN"/>
        </w:rPr>
        <w:t xml:space="preserve">5</w:t>
      </w:r>
      <w:r>
        <w:rPr>
          <w:color w:val="000000"/>
          <w:sz w:val="24"/>
          <w:highlight w:val="none"/>
        </w:rPr>
        <w:t xml:space="preserve">个工作日。</w:t>
      </w:r>
      <w:r>
        <w:rPr>
          <w:color w:val="000000"/>
          <w:sz w:val="24"/>
          <w:highlight w:val="none"/>
        </w:rPr>
      </w:r>
      <w:r/>
    </w:p>
    <w:p>
      <w:pPr>
        <w:pStyle w:val="1290"/>
        <w:jc w:val="left"/>
        <w:spacing w:before="0" w:line="360" w:lineRule="auto"/>
        <w:rPr>
          <w:rFonts w:hint="eastAsia" w:ascii="Times New Roman" w:hAnsi="Times New Roman" w:eastAsia="宋体"/>
          <w:color w:val="000000"/>
          <w:sz w:val="24"/>
          <w:szCs w:val="24"/>
          <w:highlight w:val="none"/>
        </w:rPr>
      </w:pPr>
      <w:r>
        <w:rPr>
          <w:rFonts w:ascii="Times New Roman" w:hAnsi="Times New Roman" w:eastAsia="宋体"/>
          <w:color w:val="000000"/>
          <w:sz w:val="24"/>
          <w:szCs w:val="24"/>
          <w:highlight w:val="none"/>
        </w:rPr>
        <w:t xml:space="preserve">六、其他补充事宜</w:t>
      </w:r>
      <w:bookmarkEnd w:id="19"/>
      <w:r/>
      <w:bookmarkEnd w:id="20"/>
      <w:r>
        <w:rPr>
          <w:rFonts w:hint="eastAsia" w:ascii="Times New Roman" w:hAnsi="Times New Roman" w:eastAsia="宋体"/>
          <w:color w:val="000000"/>
          <w:sz w:val="24"/>
          <w:szCs w:val="24"/>
          <w:highlight w:val="none"/>
        </w:rPr>
      </w:r>
      <w:r/>
    </w:p>
    <w:p>
      <w:pPr>
        <w:pStyle w:val="1288"/>
        <w:ind w:firstLine="480"/>
        <w:spacing w:line="360" w:lineRule="auto"/>
        <w:rPr>
          <w:rFonts w:hint="eastAsia" w:ascii="宋体" w:hAnsi="宋体"/>
          <w:color w:val="000000"/>
          <w:sz w:val="24"/>
          <w:highlight w:val="none"/>
        </w:rPr>
      </w:pPr>
      <w:r/>
      <w:bookmarkStart w:id="25" w:name="_Toc28359008"/>
      <w:r/>
      <w:bookmarkStart w:id="26" w:name="_Toc35393796"/>
      <w:r/>
      <w:bookmarkStart w:id="27" w:name="_Toc35393627"/>
      <w:r/>
      <w:bookmarkStart w:id="28" w:name="_Toc28359085"/>
      <w:r>
        <w:rPr>
          <w:rFonts w:hint="eastAsia" w:ascii="宋体" w:hAnsi="宋体"/>
          <w:color w:val="000000"/>
          <w:sz w:val="24"/>
          <w:highlight w:val="none"/>
        </w:rPr>
        <w:t xml:space="preserve">1.本项目采用“不见面”交易方式，请供应商认真学习常州市政府采购网发布的相关操作手册，办理CA认证证书、进行“苏采云”平台注册绑定，并认真核实数字认证证书情况确认是否符合本项目电子化采购流程要求。</w:t>
      </w:r>
      <w:r>
        <w:rPr>
          <w:rFonts w:hint="eastAsia" w:ascii="宋体" w:hAnsi="宋体"/>
          <w:color w:val="000000"/>
          <w:sz w:val="24"/>
          <w:highlight w:val="none"/>
        </w:rPr>
      </w:r>
      <w:r/>
    </w:p>
    <w:p>
      <w:pPr>
        <w:pStyle w:val="1288"/>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  技术支持服务热线   0519-85588210</w:t>
      </w:r>
      <w:r>
        <w:rPr>
          <w:rFonts w:hint="eastAsia" w:ascii="宋体" w:hAnsi="宋体"/>
          <w:color w:val="000000"/>
          <w:sz w:val="24"/>
          <w:highlight w:val="none"/>
        </w:rPr>
      </w:r>
      <w:r/>
    </w:p>
    <w:p>
      <w:pPr>
        <w:pStyle w:val="1288"/>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  CA认证证书办理联系电话   0519-85588120</w:t>
      </w:r>
      <w:r>
        <w:rPr>
          <w:rFonts w:hint="eastAsia" w:ascii="宋体" w:hAnsi="宋体"/>
          <w:color w:val="000000"/>
          <w:sz w:val="24"/>
          <w:highlight w:val="none"/>
        </w:rPr>
      </w:r>
      <w:r/>
    </w:p>
    <w:p>
      <w:pPr>
        <w:pStyle w:val="1288"/>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  1.1办理CA认证证书</w:t>
      </w:r>
      <w:r>
        <w:rPr>
          <w:rFonts w:hint="eastAsia" w:ascii="宋体" w:hAnsi="宋体"/>
          <w:color w:val="000000"/>
          <w:sz w:val="24"/>
          <w:highlight w:val="none"/>
        </w:rPr>
      </w:r>
      <w:r/>
    </w:p>
    <w:p>
      <w:pPr>
        <w:pStyle w:val="1288"/>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  供应商登录常州市政府采购网“下载中心”下载并查阅 “江苏省政府采购数字证书CA及电子签章办理指南”，按照程序要求办理。因供应商完成注册并办理CA证书需要一定时间,请提前办理好相关手续,逾期未成功下载谈判文件的责任由供应商自行承担。</w:t>
      </w:r>
      <w:r>
        <w:rPr>
          <w:rFonts w:hint="eastAsia" w:ascii="宋体" w:hAnsi="宋体"/>
          <w:color w:val="000000"/>
          <w:sz w:val="24"/>
          <w:highlight w:val="none"/>
        </w:rPr>
      </w:r>
      <w:r/>
    </w:p>
    <w:p>
      <w:pPr>
        <w:pStyle w:val="1288"/>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  1.2注册</w:t>
      </w:r>
      <w:r>
        <w:rPr>
          <w:rFonts w:hint="eastAsia" w:ascii="宋体" w:hAnsi="宋体"/>
          <w:color w:val="000000"/>
          <w:sz w:val="24"/>
          <w:highlight w:val="none"/>
        </w:rPr>
      </w:r>
      <w:r/>
    </w:p>
    <w:p>
      <w:pPr>
        <w:pStyle w:val="1288"/>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  供应商登录常州市政府采购网-下载中心-“苏采云”系统供应商操作手册”下载相关操作手册，查阅后进行自助注册。</w:t>
      </w:r>
      <w:r>
        <w:rPr>
          <w:rFonts w:hint="eastAsia" w:ascii="宋体" w:hAnsi="宋体"/>
          <w:color w:val="000000"/>
          <w:sz w:val="24"/>
          <w:highlight w:val="none"/>
        </w:rPr>
      </w:r>
      <w:r/>
    </w:p>
    <w:p>
      <w:pPr>
        <w:pStyle w:val="1288"/>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  1.3控件、客户端下载</w:t>
      </w:r>
      <w:r>
        <w:rPr>
          <w:rFonts w:hint="eastAsia" w:ascii="宋体" w:hAnsi="宋体"/>
          <w:color w:val="000000"/>
          <w:sz w:val="24"/>
          <w:highlight w:val="none"/>
        </w:rPr>
      </w:r>
      <w:r/>
    </w:p>
    <w:p>
      <w:pPr>
        <w:pStyle w:val="1288"/>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  供应商登录“苏采云”“驱动中心”下载相关控件和客户端。</w:t>
      </w:r>
      <w:r>
        <w:rPr>
          <w:rFonts w:hint="eastAsia" w:ascii="宋体" w:hAnsi="宋体"/>
          <w:color w:val="000000"/>
          <w:sz w:val="24"/>
          <w:highlight w:val="none"/>
        </w:rPr>
      </w:r>
      <w:r/>
    </w:p>
    <w:p>
      <w:pPr>
        <w:pStyle w:val="1288"/>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  1.4 获取电子谈</w:t>
      </w:r>
      <w:bookmarkStart w:id="29" w:name="OLE_LINK14"/>
      <w:r>
        <w:rPr>
          <w:rFonts w:hint="eastAsia" w:ascii="宋体" w:hAnsi="宋体"/>
          <w:color w:val="000000"/>
          <w:sz w:val="24"/>
          <w:highlight w:val="none"/>
        </w:rPr>
        <w:t xml:space="preserve">判</w:t>
      </w:r>
      <w:bookmarkEnd w:id="29"/>
      <w:r>
        <w:rPr>
          <w:rFonts w:hint="eastAsia" w:ascii="宋体" w:hAnsi="宋体"/>
          <w:color w:val="000000"/>
          <w:sz w:val="24"/>
          <w:highlight w:val="none"/>
        </w:rPr>
        <w:t xml:space="preserve">文件</w:t>
      </w:r>
      <w:r>
        <w:rPr>
          <w:rFonts w:hint="eastAsia" w:ascii="宋体" w:hAnsi="宋体"/>
          <w:color w:val="000000"/>
          <w:sz w:val="24"/>
          <w:highlight w:val="none"/>
        </w:rPr>
      </w:r>
      <w:r/>
    </w:p>
    <w:p>
      <w:pPr>
        <w:pStyle w:val="1288"/>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  供应商持CA数字认证证书登录“苏采云”获取电子判文件。未在规定期限内通过“苏采云”获取判文件的响应无效。</w:t>
      </w:r>
      <w:r>
        <w:rPr>
          <w:rFonts w:hint="eastAsia" w:ascii="宋体" w:hAnsi="宋体"/>
          <w:color w:val="000000"/>
          <w:sz w:val="24"/>
          <w:highlight w:val="none"/>
        </w:rPr>
      </w:r>
      <w:r/>
    </w:p>
    <w:p>
      <w:pPr>
        <w:pStyle w:val="1288"/>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  1.5编制电子响应文件</w:t>
      </w:r>
      <w:r>
        <w:rPr>
          <w:rFonts w:hint="eastAsia" w:ascii="宋体" w:hAnsi="宋体"/>
          <w:color w:val="000000"/>
          <w:sz w:val="24"/>
          <w:highlight w:val="none"/>
        </w:rPr>
      </w:r>
      <w:r/>
    </w:p>
    <w:p>
      <w:pPr>
        <w:pStyle w:val="1288"/>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  供应商必须通过“苏采云”投标（响应）文件制作客户端”制作并使用CA证书加密上传响应文件，除上述方式之外，不接受供应商以纸质文件以及其他任何方式提交的响应文件。如无法按照要求在电子响应文件中加盖电子签章和加密，请及时通过技术支持服务热线联系技术人员。</w:t>
      </w:r>
      <w:r>
        <w:rPr>
          <w:rFonts w:hint="eastAsia" w:ascii="宋体" w:hAnsi="宋体"/>
          <w:color w:val="000000"/>
          <w:sz w:val="24"/>
          <w:highlight w:val="none"/>
        </w:rPr>
      </w:r>
      <w:r/>
    </w:p>
    <w:p>
      <w:pPr>
        <w:pStyle w:val="1288"/>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  1.6提交电子响应文件</w:t>
      </w:r>
      <w:r>
        <w:rPr>
          <w:rFonts w:hint="eastAsia" w:ascii="宋体" w:hAnsi="宋体"/>
          <w:color w:val="000000"/>
          <w:sz w:val="24"/>
          <w:highlight w:val="none"/>
        </w:rPr>
      </w:r>
      <w:r/>
    </w:p>
    <w:p>
      <w:pPr>
        <w:pStyle w:val="1288"/>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  供应商应于响应截止时间（开启）前在“苏采云”提交电子响应文件，上传电子响应文件过程中请保持与互联网的连接畅通。</w:t>
      </w:r>
      <w:r>
        <w:rPr>
          <w:rFonts w:hint="eastAsia" w:ascii="宋体" w:hAnsi="宋体"/>
          <w:color w:val="000000"/>
          <w:sz w:val="24"/>
          <w:highlight w:val="none"/>
        </w:rPr>
      </w:r>
      <w:r/>
    </w:p>
    <w:p>
      <w:pPr>
        <w:pStyle w:val="1288"/>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  1.7电子开标</w:t>
      </w:r>
      <w:r>
        <w:rPr>
          <w:rFonts w:hint="eastAsia" w:ascii="宋体" w:hAnsi="宋体"/>
          <w:color w:val="000000"/>
          <w:sz w:val="24"/>
          <w:highlight w:val="none"/>
        </w:rPr>
      </w:r>
      <w:r/>
    </w:p>
    <w:p>
      <w:pPr>
        <w:pStyle w:val="1288"/>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  供应商使用CA认证证书登录“苏采云”进行电子化不见面开标。</w:t>
      </w:r>
      <w:r>
        <w:rPr>
          <w:rFonts w:hint="eastAsia" w:ascii="宋体" w:hAnsi="宋体"/>
          <w:color w:val="000000"/>
          <w:sz w:val="24"/>
          <w:highlight w:val="none"/>
        </w:rPr>
      </w:r>
      <w:r/>
    </w:p>
    <w:p>
      <w:pPr>
        <w:pStyle w:val="1288"/>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  1.8注意事项</w:t>
      </w:r>
      <w:r>
        <w:rPr>
          <w:rFonts w:hint="eastAsia" w:ascii="宋体" w:hAnsi="宋体"/>
          <w:color w:val="000000"/>
          <w:sz w:val="24"/>
          <w:highlight w:val="none"/>
        </w:rPr>
      </w:r>
      <w:r/>
    </w:p>
    <w:p>
      <w:pPr>
        <w:pStyle w:val="1288"/>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  1）有关本次采购的事项若存在变动或修改，敬请及时关注常州市政府采购网发布的更正公告。</w:t>
      </w:r>
      <w:r>
        <w:rPr>
          <w:rFonts w:hint="eastAsia" w:ascii="宋体" w:hAnsi="宋体"/>
          <w:color w:val="000000"/>
          <w:sz w:val="24"/>
          <w:highlight w:val="none"/>
        </w:rPr>
      </w:r>
      <w:r/>
    </w:p>
    <w:p>
      <w:pPr>
        <w:pStyle w:val="1288"/>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  2）供应商须在开标前使用“验证CA”功能验证本地计算机的控件环境是否正常（电脑需配备摄像头、音响和麦克风，用于保障不见面交易能够完成相关视频对话），并且在开评标过程中不可随意更换电脑，必须使用验证成功的电脑进行操作，否则造成相应后果由供应商自行承担。</w:t>
      </w:r>
      <w:r>
        <w:rPr>
          <w:rFonts w:hint="eastAsia" w:ascii="宋体" w:hAnsi="宋体"/>
          <w:color w:val="000000"/>
          <w:sz w:val="24"/>
          <w:highlight w:val="none"/>
        </w:rPr>
      </w:r>
      <w:r/>
    </w:p>
    <w:p>
      <w:pPr>
        <w:pStyle w:val="1288"/>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  3）如潜在供应商未按上述要求操作，将自行承担所产生的风险。</w:t>
      </w:r>
      <w:r>
        <w:rPr>
          <w:rFonts w:hint="eastAsia" w:ascii="宋体" w:hAnsi="宋体"/>
          <w:color w:val="000000"/>
          <w:sz w:val="24"/>
          <w:highlight w:val="none"/>
        </w:rPr>
      </w:r>
      <w:r/>
    </w:p>
    <w:p>
      <w:pPr>
        <w:pStyle w:val="1288"/>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  2.关于常州市政府采购供应商信用管理</w:t>
      </w:r>
      <w:r>
        <w:rPr>
          <w:rFonts w:hint="eastAsia" w:ascii="宋体" w:hAnsi="宋体"/>
          <w:color w:val="000000"/>
          <w:sz w:val="24"/>
          <w:highlight w:val="none"/>
        </w:rPr>
      </w:r>
      <w:r/>
    </w:p>
    <w:p>
      <w:pPr>
        <w:pStyle w:val="1288"/>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  2.1为了维护政府采购市场秩序，规范供应商的政府采购行为，促进供应商诚信经营和公平竞争，参加政府采购活动获取谈判文件的供应商，应当履行以下诚信义务:</w:t>
      </w:r>
      <w:r>
        <w:rPr>
          <w:rFonts w:hint="eastAsia" w:ascii="宋体" w:hAnsi="宋体"/>
          <w:color w:val="000000"/>
          <w:sz w:val="24"/>
          <w:highlight w:val="none"/>
        </w:rPr>
      </w:r>
      <w:r/>
    </w:p>
    <w:p>
      <w:pPr>
        <w:pStyle w:val="1288"/>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  1）自觉遵守政府采购法律法规，维护政府采购市场秩序和公平竞争环境，接受财政部门的监督检查；</w:t>
      </w:r>
      <w:r>
        <w:rPr>
          <w:rFonts w:hint="eastAsia" w:ascii="宋体" w:hAnsi="宋体"/>
          <w:color w:val="000000"/>
          <w:sz w:val="24"/>
          <w:highlight w:val="none"/>
        </w:rPr>
      </w:r>
      <w:r/>
    </w:p>
    <w:p>
      <w:pPr>
        <w:pStyle w:val="1288"/>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  2）诚信参与政府采购活动，依法履行政府采购合同和政府采购活动中的各项承诺，为采购人提供符合谈判文件规定的货物、工程和服务；</w:t>
      </w:r>
      <w:r>
        <w:rPr>
          <w:rFonts w:hint="eastAsia" w:ascii="宋体" w:hAnsi="宋体"/>
          <w:color w:val="000000"/>
          <w:sz w:val="24"/>
          <w:highlight w:val="none"/>
        </w:rPr>
      </w:r>
      <w:r/>
    </w:p>
    <w:p>
      <w:pPr>
        <w:pStyle w:val="1288"/>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  3）保守在政府采购活动中获悉的国家秘密和他人商业秘密；</w:t>
      </w:r>
      <w:r>
        <w:rPr>
          <w:rFonts w:hint="eastAsia" w:ascii="宋体" w:hAnsi="宋体"/>
          <w:color w:val="000000"/>
          <w:sz w:val="24"/>
          <w:highlight w:val="none"/>
        </w:rPr>
      </w:r>
      <w:r/>
    </w:p>
    <w:p>
      <w:pPr>
        <w:pStyle w:val="1288"/>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  4）法律法规规定的其他诚信义务。</w:t>
      </w:r>
      <w:r>
        <w:rPr>
          <w:rFonts w:hint="eastAsia" w:ascii="宋体" w:hAnsi="宋体"/>
          <w:color w:val="000000"/>
          <w:sz w:val="24"/>
          <w:highlight w:val="none"/>
        </w:rPr>
      </w:r>
      <w:r/>
    </w:p>
    <w:p>
      <w:pPr>
        <w:pStyle w:val="1288"/>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  2.2供应商在参与政府采购活动中失信行为具体详见《常州市政府采购供应商信用管理暂行办法》。</w:t>
      </w:r>
      <w:r>
        <w:rPr>
          <w:rFonts w:hint="eastAsia" w:ascii="宋体" w:hAnsi="宋体"/>
          <w:color w:val="000000"/>
          <w:sz w:val="24"/>
          <w:highlight w:val="none"/>
        </w:rPr>
      </w:r>
      <w:r/>
    </w:p>
    <w:p>
      <w:pPr>
        <w:pStyle w:val="1288"/>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  2.3供应商在参与政府采购活动中失信行为惩戒相关规定具体详见第二章响应须知。</w:t>
      </w:r>
      <w:r>
        <w:rPr>
          <w:rFonts w:hint="eastAsia" w:ascii="宋体" w:hAnsi="宋体"/>
          <w:color w:val="000000"/>
          <w:sz w:val="24"/>
          <w:highlight w:val="none"/>
        </w:rPr>
      </w:r>
      <w:r/>
    </w:p>
    <w:p>
      <w:pPr>
        <w:pStyle w:val="1288"/>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  3.关于常州市中小企业政府采购信用融资：</w:t>
      </w:r>
      <w:r>
        <w:rPr>
          <w:rFonts w:hint="eastAsia" w:ascii="宋体" w:hAnsi="宋体"/>
          <w:color w:val="000000"/>
          <w:sz w:val="24"/>
          <w:highlight w:val="none"/>
        </w:rPr>
      </w:r>
      <w:r/>
    </w:p>
    <w:p>
      <w:pPr>
        <w:pStyle w:val="1288"/>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  根据《常州市财政局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rPr>
          <w:rFonts w:hint="eastAsia" w:ascii="宋体" w:hAnsi="宋体"/>
          <w:color w:val="000000"/>
          <w:sz w:val="24"/>
          <w:highlight w:val="none"/>
        </w:rPr>
      </w:r>
      <w:r/>
    </w:p>
    <w:p>
      <w:pPr>
        <w:pStyle w:val="1290"/>
        <w:jc w:val="left"/>
        <w:spacing w:before="0" w:line="360" w:lineRule="auto"/>
        <w:rPr>
          <w:rFonts w:ascii="Times New Roman" w:hAnsi="Times New Roman" w:eastAsia="宋体"/>
          <w:color w:val="000000"/>
          <w:sz w:val="24"/>
          <w:szCs w:val="24"/>
          <w:highlight w:val="none"/>
        </w:rPr>
      </w:pPr>
      <w:r>
        <w:rPr>
          <w:rFonts w:hint="eastAsia" w:ascii="Times New Roman" w:hAnsi="Times New Roman" w:eastAsia="宋体"/>
          <w:color w:val="000000"/>
          <w:sz w:val="24"/>
          <w:szCs w:val="24"/>
          <w:highlight w:val="none"/>
        </w:rPr>
        <w:t xml:space="preserve">六</w:t>
      </w:r>
      <w:r>
        <w:rPr>
          <w:rFonts w:ascii="Times New Roman" w:hAnsi="Times New Roman" w:eastAsia="宋体"/>
          <w:color w:val="000000"/>
          <w:sz w:val="24"/>
          <w:szCs w:val="24"/>
          <w:highlight w:val="none"/>
        </w:rPr>
        <w:t xml:space="preserve">、对本次采购提出询问，请按以下方式联系。</w:t>
      </w:r>
      <w:bookmarkEnd w:id="25"/>
      <w:r/>
      <w:bookmarkEnd w:id="26"/>
      <w:r/>
      <w:bookmarkEnd w:id="27"/>
      <w:r/>
      <w:bookmarkEnd w:id="28"/>
      <w:r>
        <w:rPr>
          <w:rFonts w:ascii="Times New Roman" w:hAnsi="Times New Roman" w:eastAsia="宋体"/>
          <w:color w:val="000000"/>
          <w:sz w:val="24"/>
          <w:szCs w:val="24"/>
          <w:highlight w:val="none"/>
        </w:rPr>
      </w:r>
      <w:r/>
    </w:p>
    <w:p>
      <w:pPr>
        <w:pStyle w:val="1288"/>
        <w:ind w:firstLine="723"/>
        <w:jc w:val="left"/>
        <w:spacing w:line="360" w:lineRule="auto"/>
        <w:widowControl/>
        <w:rPr>
          <w:rFonts w:hint="eastAsia" w:ascii="宋体" w:hAnsi="宋体" w:cs="宋体"/>
          <w:b/>
          <w:color w:val="000000"/>
          <w:sz w:val="24"/>
          <w:highlight w:val="none"/>
        </w:rPr>
      </w:pPr>
      <w:r/>
      <w:bookmarkStart w:id="30" w:name="_Toc28359009"/>
      <w:r/>
      <w:bookmarkStart w:id="31" w:name="_Toc28359086"/>
      <w:r>
        <w:rPr>
          <w:rFonts w:hint="eastAsia" w:ascii="宋体" w:hAnsi="宋体" w:cs="宋体"/>
          <w:b/>
          <w:color w:val="000000"/>
          <w:sz w:val="24"/>
          <w:highlight w:val="none"/>
        </w:rPr>
        <w:t xml:space="preserve">1.采购人信息</w:t>
      </w:r>
      <w:r>
        <w:rPr>
          <w:rFonts w:hint="eastAsia" w:ascii="宋体" w:hAnsi="宋体" w:cs="宋体"/>
          <w:b/>
          <w:color w:val="000000"/>
          <w:sz w:val="24"/>
          <w:highlight w:val="none"/>
        </w:rPr>
      </w:r>
      <w:r/>
    </w:p>
    <w:p>
      <w:pPr>
        <w:pStyle w:val="1288"/>
        <w:ind w:firstLine="72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名  称：常州市公园管理中心</w:t>
      </w:r>
      <w:r>
        <w:rPr>
          <w:rFonts w:hint="eastAsia" w:ascii="宋体" w:hAnsi="宋体" w:cs="宋体"/>
          <w:color w:val="000000"/>
          <w:sz w:val="24"/>
          <w:highlight w:val="none"/>
        </w:rPr>
      </w:r>
      <w:r/>
    </w:p>
    <w:p>
      <w:pPr>
        <w:pStyle w:val="1288"/>
        <w:ind w:firstLine="720"/>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地  址：常州市天宁区青龙街道竹林北路231号</w:t>
      </w:r>
      <w:r>
        <w:rPr>
          <w:rFonts w:ascii="宋体" w:hAnsi="宋体" w:cs="宋体"/>
          <w:color w:val="000000"/>
          <w:sz w:val="24"/>
          <w:highlight w:val="none"/>
        </w:rPr>
      </w:r>
      <w:r/>
    </w:p>
    <w:p>
      <w:pPr>
        <w:pStyle w:val="1288"/>
        <w:ind w:firstLine="720"/>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联系方式：0519-88586379</w:t>
      </w:r>
      <w:r>
        <w:rPr>
          <w:rFonts w:ascii="宋体" w:hAnsi="宋体" w:cs="宋体"/>
          <w:color w:val="000000"/>
          <w:sz w:val="24"/>
          <w:highlight w:val="none"/>
        </w:rPr>
      </w:r>
      <w:r/>
    </w:p>
    <w:p>
      <w:pPr>
        <w:pStyle w:val="1288"/>
        <w:ind w:left="1080" w:hanging="301"/>
        <w:jc w:val="left"/>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r>
      <w:r/>
    </w:p>
    <w:p>
      <w:pPr>
        <w:pStyle w:val="1288"/>
        <w:ind w:left="1080" w:hanging="301"/>
        <w:jc w:val="left"/>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2.采购代理机构信息</w:t>
      </w:r>
      <w:bookmarkEnd w:id="30"/>
      <w:r/>
      <w:bookmarkEnd w:id="31"/>
      <w:r>
        <w:rPr>
          <w:rFonts w:hint="eastAsia" w:ascii="宋体" w:hAnsi="宋体" w:cs="宋体"/>
          <w:b/>
          <w:color w:val="000000"/>
          <w:sz w:val="24"/>
          <w:highlight w:val="none"/>
        </w:rPr>
      </w:r>
      <w:r/>
    </w:p>
    <w:p>
      <w:pPr>
        <w:pStyle w:val="1288"/>
        <w:ind w:left="1079" w:hanging="300"/>
        <w:jc w:val="left"/>
        <w:spacing w:line="360" w:lineRule="auto"/>
        <w:rPr>
          <w:rFonts w:hint="eastAsia" w:ascii="宋体" w:hAnsi="宋体" w:cs="宋体"/>
          <w:color w:val="000000"/>
          <w:sz w:val="24"/>
          <w:highlight w:val="none"/>
        </w:rPr>
      </w:pPr>
      <w:r/>
      <w:bookmarkStart w:id="32" w:name="_Toc28359087"/>
      <w:r/>
      <w:bookmarkStart w:id="33" w:name="_Toc28359010"/>
      <w:r>
        <w:rPr>
          <w:rFonts w:hint="eastAsia" w:ascii="宋体" w:hAnsi="宋体" w:cs="宋体"/>
          <w:color w:val="000000"/>
          <w:sz w:val="24"/>
          <w:highlight w:val="none"/>
        </w:rPr>
        <w:t xml:space="preserve">名  称：常州中采招投标有限公司</w:t>
      </w:r>
      <w:r>
        <w:rPr>
          <w:rFonts w:hint="eastAsia" w:ascii="宋体" w:hAnsi="宋体" w:cs="宋体"/>
          <w:color w:val="000000"/>
          <w:sz w:val="24"/>
          <w:highlight w:val="none"/>
        </w:rPr>
      </w:r>
      <w:r/>
    </w:p>
    <w:p>
      <w:pPr>
        <w:pStyle w:val="1288"/>
        <w:ind w:left="1079" w:hanging="30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地  址：钟楼区玉龙南路280号常州大数据产业园2号楼19楼1903室</w:t>
      </w:r>
      <w:r>
        <w:rPr>
          <w:rFonts w:hint="eastAsia" w:ascii="宋体" w:hAnsi="宋体" w:cs="宋体"/>
          <w:color w:val="000000"/>
          <w:sz w:val="24"/>
          <w:highlight w:val="none"/>
        </w:rPr>
      </w:r>
      <w:r/>
    </w:p>
    <w:p>
      <w:pPr>
        <w:pStyle w:val="1288"/>
        <w:ind w:left="1079" w:hanging="30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联系方式：0519-86661066</w:t>
      </w:r>
      <w:r>
        <w:rPr>
          <w:rFonts w:hint="eastAsia" w:ascii="宋体" w:hAnsi="宋体" w:cs="宋体"/>
          <w:color w:val="000000"/>
          <w:sz w:val="24"/>
          <w:highlight w:val="none"/>
        </w:rPr>
      </w:r>
      <w:r/>
    </w:p>
    <w:p>
      <w:pPr>
        <w:pStyle w:val="1288"/>
        <w:ind w:left="1079" w:hanging="30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1288"/>
        <w:ind w:firstLine="723"/>
        <w:spacing w:line="360" w:lineRule="auto"/>
        <w:rPr>
          <w:rFonts w:hint="eastAsia" w:ascii="宋体" w:hAnsi="宋体" w:cs="宋体"/>
          <w:b/>
          <w:color w:val="000000"/>
          <w:sz w:val="24"/>
          <w:highlight w:val="none"/>
          <w:u w:val="single"/>
        </w:rPr>
      </w:pPr>
      <w:r>
        <w:rPr>
          <w:rFonts w:hint="eastAsia" w:ascii="宋体" w:hAnsi="宋体" w:cs="宋体"/>
          <w:b/>
          <w:color w:val="000000"/>
          <w:sz w:val="24"/>
          <w:highlight w:val="none"/>
        </w:rPr>
        <w:t xml:space="preserve">3.项目联系方式</w:t>
      </w:r>
      <w:bookmarkEnd w:id="32"/>
      <w:r/>
      <w:bookmarkEnd w:id="33"/>
      <w:r>
        <w:rPr>
          <w:rFonts w:hint="eastAsia" w:ascii="宋体" w:hAnsi="宋体" w:cs="宋体"/>
          <w:b/>
          <w:color w:val="000000"/>
          <w:sz w:val="24"/>
          <w:highlight w:val="none"/>
          <w:u w:val="single"/>
        </w:rPr>
      </w:r>
      <w:r/>
    </w:p>
    <w:p>
      <w:pPr>
        <w:pStyle w:val="1303"/>
        <w:ind w:firstLine="720"/>
        <w:spacing w:line="360" w:lineRule="auto"/>
        <w:rPr>
          <w:rFonts w:hAnsi="宋体" w:cs="宋体"/>
          <w:color w:val="000000"/>
          <w:sz w:val="24"/>
          <w:szCs w:val="24"/>
          <w:highlight w:val="none"/>
        </w:rPr>
      </w:pPr>
      <w:r>
        <w:rPr>
          <w:rFonts w:hAnsi="宋体" w:cs="宋体"/>
          <w:color w:val="000000"/>
          <w:sz w:val="24"/>
          <w:szCs w:val="24"/>
          <w:highlight w:val="none"/>
        </w:rPr>
        <w:t xml:space="preserve">项目联系人：蒋女士</w:t>
      </w:r>
      <w:r>
        <w:rPr>
          <w:rFonts w:hAnsi="宋体" w:cs="宋体"/>
          <w:color w:val="000000"/>
          <w:sz w:val="24"/>
          <w:szCs w:val="24"/>
          <w:highlight w:val="none"/>
        </w:rPr>
      </w:r>
      <w:r/>
    </w:p>
    <w:p>
      <w:pPr>
        <w:pStyle w:val="1303"/>
        <w:ind w:firstLine="720"/>
        <w:spacing w:line="360" w:lineRule="auto"/>
        <w:rPr>
          <w:rFonts w:ascii="Times New Roman" w:hAnsi="Times New Roman"/>
          <w:color w:val="000000"/>
          <w:sz w:val="24"/>
          <w:szCs w:val="24"/>
          <w:highlight w:val="none"/>
        </w:rPr>
      </w:pPr>
      <w:r>
        <w:rPr>
          <w:rFonts w:hAnsi="宋体" w:cs="宋体"/>
          <w:color w:val="000000"/>
          <w:sz w:val="24"/>
          <w:szCs w:val="24"/>
          <w:highlight w:val="none"/>
        </w:rPr>
        <w:t xml:space="preserve">电      话：0519-86661067</w:t>
      </w:r>
      <w:r>
        <w:rPr>
          <w:rFonts w:ascii="Times New Roman" w:hAnsi="Times New Roman"/>
          <w:color w:val="000000"/>
          <w:sz w:val="24"/>
          <w:szCs w:val="24"/>
          <w:highlight w:val="none"/>
        </w:rPr>
      </w:r>
      <w:r/>
    </w:p>
    <w:p>
      <w:pPr>
        <w:pStyle w:val="1288"/>
        <w:ind w:firstLine="5880"/>
        <w:jc w:val="right"/>
        <w:spacing w:line="360" w:lineRule="auto"/>
        <w:rPr>
          <w:color w:val="000000"/>
          <w:sz w:val="24"/>
          <w:highlight w:val="none"/>
        </w:rPr>
      </w:pPr>
      <w:r>
        <w:rPr>
          <w:color w:val="000000"/>
          <w:sz w:val="24"/>
          <w:highlight w:val="none"/>
        </w:rPr>
      </w:r>
      <w:r/>
    </w:p>
    <w:p>
      <w:pPr>
        <w:pStyle w:val="1288"/>
        <w:jc w:val="center"/>
        <w:spacing w:line="360" w:lineRule="auto"/>
        <w:rPr>
          <w:b/>
          <w:color w:val="000000"/>
          <w:sz w:val="32"/>
          <w:szCs w:val="32"/>
          <w:highlight w:val="none"/>
        </w:rPr>
        <w:outlineLvl w:val="0"/>
      </w:pPr>
      <w:r/>
      <w:bookmarkStart w:id="34" w:name="_Toc195842950"/>
      <w:r/>
      <w:bookmarkStart w:id="35" w:name="_Toc305158928"/>
      <w:r/>
      <w:bookmarkStart w:id="36" w:name="_Toc353825548"/>
      <w:r/>
      <w:bookmarkStart w:id="37" w:name="_Toc264969275"/>
      <w:r/>
      <w:bookmarkStart w:id="38" w:name="_Toc127161488"/>
      <w:r/>
      <w:bookmarkStart w:id="39" w:name="_Toc305158854"/>
      <w:r/>
      <w:bookmarkStart w:id="40" w:name="_Toc127151777"/>
      <w:r/>
      <w:bookmarkStart w:id="41" w:name="_Toc353873938"/>
      <w:r/>
      <w:bookmarkStart w:id="42" w:name="_Toc226965856"/>
      <w:r/>
      <w:bookmarkStart w:id="43" w:name="_Toc265228423"/>
      <w:r/>
      <w:bookmarkStart w:id="44" w:name="_Toc512937850"/>
      <w:r/>
      <w:bookmarkStart w:id="45" w:name="_Toc150774783"/>
      <w:r>
        <w:rPr>
          <w:b/>
          <w:color w:val="000000"/>
          <w:sz w:val="36"/>
          <w:szCs w:val="36"/>
          <w:highlight w:val="none"/>
        </w:rPr>
        <w:br w:type="page" w:clear="all"/>
      </w:r>
      <w:bookmarkStart w:id="46" w:name="_Toc195013379"/>
      <w:r>
        <w:rPr>
          <w:b/>
          <w:color w:val="000000"/>
          <w:sz w:val="36"/>
          <w:szCs w:val="36"/>
          <w:highlight w:val="none"/>
        </w:rPr>
        <w:t xml:space="preserve">第二章   供应商须知</w:t>
      </w:r>
      <w:bookmarkEnd w:id="34"/>
      <w:r/>
      <w:bookmarkEnd w:id="35"/>
      <w:r/>
      <w:bookmarkEnd w:id="36"/>
      <w:r/>
      <w:bookmarkEnd w:id="37"/>
      <w:r/>
      <w:bookmarkEnd w:id="38"/>
      <w:r/>
      <w:bookmarkEnd w:id="39"/>
      <w:r/>
      <w:bookmarkEnd w:id="40"/>
      <w:r/>
      <w:bookmarkEnd w:id="41"/>
      <w:r/>
      <w:bookmarkEnd w:id="42"/>
      <w:r/>
      <w:bookmarkEnd w:id="43"/>
      <w:r/>
      <w:bookmarkEnd w:id="44"/>
      <w:r/>
      <w:bookmarkEnd w:id="45"/>
      <w:r/>
      <w:bookmarkEnd w:id="46"/>
      <w:r>
        <w:rPr>
          <w:b/>
          <w:color w:val="000000"/>
          <w:sz w:val="32"/>
          <w:szCs w:val="32"/>
          <w:highlight w:val="none"/>
        </w:rPr>
      </w:r>
      <w:r/>
    </w:p>
    <w:p>
      <w:pPr>
        <w:pStyle w:val="1290"/>
        <w:spacing w:before="0" w:line="360" w:lineRule="auto"/>
        <w:tabs>
          <w:tab w:val="center" w:pos="4592" w:leader="none"/>
          <w:tab w:val="left" w:pos="7860" w:leader="none"/>
        </w:tabs>
        <w:rPr>
          <w:rFonts w:hint="eastAsia" w:ascii="宋体" w:hAnsi="宋体" w:eastAsia="宋体" w:cs="宋体"/>
          <w:color w:val="000000"/>
          <w:sz w:val="28"/>
          <w:szCs w:val="28"/>
          <w:highlight w:val="none"/>
        </w:rPr>
      </w:pPr>
      <w:r/>
      <w:bookmarkStart w:id="47" w:name="_Toc226965792"/>
      <w:r/>
      <w:bookmarkStart w:id="48" w:name="_Toc164229214"/>
      <w:r/>
      <w:bookmarkStart w:id="49" w:name="_Toc226337215"/>
      <w:r/>
      <w:bookmarkStart w:id="50" w:name="_Toc226965709"/>
      <w:r/>
      <w:bookmarkStart w:id="51" w:name="_Toc149720812"/>
      <w:r/>
      <w:bookmarkStart w:id="52" w:name="_Toc151190146"/>
      <w:r/>
      <w:bookmarkStart w:id="53" w:name="_Toc127151519"/>
      <w:r/>
      <w:bookmarkStart w:id="54" w:name="_Toc195842884"/>
      <w:r/>
      <w:bookmarkStart w:id="55" w:name="_Toc142311021"/>
      <w:r/>
      <w:bookmarkStart w:id="56" w:name="_Toc150774619"/>
      <w:r/>
      <w:bookmarkStart w:id="57" w:name="_Toc164351613"/>
      <w:r/>
      <w:bookmarkStart w:id="58" w:name="_Toc151193833"/>
      <w:r/>
      <w:bookmarkStart w:id="59" w:name="_Toc151193689"/>
      <w:r/>
      <w:bookmarkStart w:id="60" w:name="_Toc520356144"/>
      <w:r/>
      <w:bookmarkStart w:id="61" w:name="_Toc164229360"/>
      <w:r/>
      <w:bookmarkStart w:id="62" w:name="_Toc226309763"/>
      <w:r/>
      <w:bookmarkStart w:id="63" w:name="_Toc127161433"/>
      <w:r/>
      <w:bookmarkStart w:id="64" w:name="_Toc151193617"/>
      <w:r/>
      <w:bookmarkStart w:id="65" w:name="_Toc164608633"/>
      <w:r/>
      <w:bookmarkStart w:id="66" w:name="_Toc150480757"/>
      <w:r/>
      <w:bookmarkStart w:id="67" w:name="_Toc127151720"/>
      <w:r/>
      <w:bookmarkStart w:id="68" w:name="_Toc150509270"/>
      <w:r/>
      <w:bookmarkStart w:id="69" w:name="_Toc164608788"/>
      <w:r/>
      <w:bookmarkStart w:id="70" w:name="_Toc151193761"/>
      <w:r/>
      <w:bookmarkStart w:id="71" w:name="_Toc150774724"/>
      <w:r/>
      <w:bookmarkStart w:id="72" w:name="_Toc151193907"/>
      <w:r>
        <w:rPr>
          <w:rFonts w:hint="eastAsia" w:ascii="宋体" w:hAnsi="宋体" w:eastAsia="宋体" w:cs="宋体"/>
          <w:color w:val="000000"/>
          <w:sz w:val="28"/>
          <w:szCs w:val="28"/>
          <w:highlight w:val="none"/>
        </w:rPr>
        <w:t xml:space="preserve">供应商须知资料表</w:t>
      </w:r>
      <w:r>
        <w:rPr>
          <w:rFonts w:hint="eastAsia" w:ascii="宋体" w:hAnsi="宋体" w:eastAsia="宋体" w:cs="宋体"/>
          <w:color w:val="000000"/>
          <w:sz w:val="28"/>
          <w:szCs w:val="28"/>
          <w:highlight w:val="none"/>
        </w:rPr>
      </w:r>
      <w:r/>
    </w:p>
    <w:p>
      <w:pPr>
        <w:pStyle w:val="1288"/>
        <w:jc w:val="center"/>
        <w:rPr>
          <w:b/>
          <w:color w:val="000000"/>
          <w:sz w:val="28"/>
          <w:szCs w:val="28"/>
          <w:highlight w:val="none"/>
        </w:rPr>
      </w:pPr>
      <w:r>
        <w:rPr>
          <w:b/>
          <w:color w:val="000000"/>
          <w:sz w:val="28"/>
          <w:szCs w:val="28"/>
          <w:highlight w:val="none"/>
        </w:rPr>
      </w:r>
      <w:r/>
    </w:p>
    <w:p>
      <w:pPr>
        <w:pStyle w:val="1288"/>
        <w:ind w:firstLine="480"/>
        <w:spacing w:line="360" w:lineRule="auto"/>
        <w:rPr>
          <w:color w:val="000000"/>
          <w:sz w:val="24"/>
          <w:highlight w:val="none"/>
        </w:rPr>
      </w:pPr>
      <w:r>
        <w:rPr>
          <w:color w:val="000000"/>
          <w:sz w:val="24"/>
          <w:highlight w:val="none"/>
        </w:rPr>
        <w:t xml:space="preserve">本表是对供应商须知的具体补充和修改，如有矛盾，均以本资料表为准。标记“</w:t>
      </w:r>
      <w:r>
        <w:rPr>
          <w:rFonts w:hint="eastAsia" w:ascii="宋体" w:hAnsi="宋体" w:cs="宋体"/>
          <w:color w:val="000000"/>
          <w:sz w:val="24"/>
          <w:highlight w:val="none"/>
        </w:rPr>
        <w:t xml:space="preserve">■</w:t>
      </w:r>
      <w:r>
        <w:rPr>
          <w:color w:val="000000"/>
          <w:sz w:val="24"/>
          <w:highlight w:val="none"/>
        </w:rPr>
        <w:t xml:space="preserve">”的选项意为适用于本项目，标记“</w:t>
      </w:r>
      <w:r>
        <w:rPr>
          <w:rFonts w:hint="eastAsia"/>
          <w:color w:val="000000"/>
          <w:sz w:val="24"/>
          <w:highlight w:val="none"/>
        </w:rPr>
        <w:t xml:space="preserve">□</w:t>
      </w:r>
      <w:r>
        <w:rPr>
          <w:color w:val="000000"/>
          <w:sz w:val="24"/>
          <w:highlight w:val="none"/>
        </w:rPr>
        <w:t xml:space="preserve">”的选项意为不适用于本项目。</w:t>
      </w:r>
      <w:r>
        <w:rPr>
          <w:color w:val="000000"/>
          <w:sz w:val="24"/>
          <w:highlight w:val="none"/>
        </w:rPr>
      </w:r>
      <w:r/>
    </w:p>
    <w:tbl>
      <w:tblPr>
        <w:tblW w:w="994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2222"/>
        <w:gridCol w:w="6732"/>
      </w:tblGrid>
      <w:tr>
        <w:trPr>
          <w:trHeight w:val="594"/>
          <w:tblHeader/>
        </w:trPr>
        <w:tc>
          <w:tcPr>
            <w:tcW w:w="988" w:type="dxa"/>
            <w:vAlign w:val="center"/>
            <w:textDirection w:val="lrTb"/>
            <w:noWrap w:val="false"/>
          </w:tcPr>
          <w:p>
            <w:pPr>
              <w:pStyle w:val="1288"/>
              <w:jc w:val="center"/>
              <w:spacing w:line="360" w:lineRule="auto"/>
              <w:rPr>
                <w:rFonts w:hint="eastAsia" w:ascii="宋体" w:hAnsi="宋体" w:cs="宋体"/>
                <w:b/>
                <w:bCs/>
                <w:color w:val="000000"/>
                <w:sz w:val="24"/>
                <w:highlight w:val="none"/>
              </w:rPr>
            </w:pPr>
            <w:r>
              <w:rPr>
                <w:rFonts w:hint="eastAsia" w:ascii="宋体" w:hAnsi="宋体" w:cs="宋体"/>
                <w:b/>
                <w:color w:val="000000"/>
                <w:sz w:val="24"/>
                <w:highlight w:val="none"/>
              </w:rPr>
              <w:t xml:space="preserve">条款号</w:t>
            </w:r>
            <w:r>
              <w:rPr>
                <w:rFonts w:hint="eastAsia" w:ascii="宋体" w:hAnsi="宋体" w:cs="宋体"/>
                <w:b/>
                <w:bCs/>
                <w:color w:val="000000"/>
                <w:sz w:val="24"/>
                <w:highlight w:val="none"/>
              </w:rPr>
            </w:r>
            <w:r/>
          </w:p>
        </w:tc>
        <w:tc>
          <w:tcPr>
            <w:tcW w:w="2222" w:type="dxa"/>
            <w:vAlign w:val="center"/>
            <w:textDirection w:val="lrTb"/>
            <w:noWrap w:val="false"/>
          </w:tcPr>
          <w:p>
            <w:pPr>
              <w:pStyle w:val="1288"/>
              <w:jc w:val="center"/>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条目</w:t>
            </w:r>
            <w:r>
              <w:rPr>
                <w:rFonts w:hint="eastAsia" w:ascii="宋体" w:hAnsi="宋体" w:cs="宋体"/>
                <w:b/>
                <w:bCs/>
                <w:color w:val="000000"/>
                <w:sz w:val="24"/>
                <w:highlight w:val="none"/>
              </w:rPr>
            </w:r>
            <w:r/>
          </w:p>
        </w:tc>
        <w:tc>
          <w:tcPr>
            <w:tcW w:w="6732" w:type="dxa"/>
            <w:vAlign w:val="center"/>
            <w:textDirection w:val="lrTb"/>
            <w:noWrap w:val="false"/>
          </w:tcPr>
          <w:p>
            <w:pPr>
              <w:pStyle w:val="1288"/>
              <w:jc w:val="center"/>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内容</w:t>
            </w:r>
            <w:r>
              <w:rPr>
                <w:rFonts w:hint="eastAsia" w:ascii="宋体" w:hAnsi="宋体" w:cs="宋体"/>
                <w:b/>
                <w:bCs/>
                <w:color w:val="000000"/>
                <w:sz w:val="24"/>
                <w:highlight w:val="none"/>
              </w:rPr>
            </w:r>
            <w:r/>
          </w:p>
        </w:tc>
      </w:tr>
      <w:tr>
        <w:trPr>
          <w:trHeight w:val="20"/>
        </w:trPr>
        <w:tc>
          <w:tcPr>
            <w:tcW w:w="988" w:type="dxa"/>
            <w:vAlign w:val="center"/>
            <w:textDirection w:val="lrTb"/>
            <w:noWrap w:val="false"/>
          </w:tcPr>
          <w:p>
            <w:pPr>
              <w:pStyle w:val="1303"/>
              <w:jc w:val="center"/>
              <w:spacing w:line="360" w:lineRule="auto"/>
              <w:rPr>
                <w:rFonts w:hAnsi="宋体" w:cs="宋体"/>
                <w:color w:val="000000"/>
                <w:sz w:val="24"/>
                <w:szCs w:val="24"/>
                <w:highlight w:val="none"/>
              </w:rPr>
            </w:pPr>
            <w:r>
              <w:rPr>
                <w:rFonts w:hAnsi="宋体" w:cs="宋体"/>
                <w:color w:val="000000"/>
                <w:sz w:val="24"/>
                <w:szCs w:val="24"/>
                <w:highlight w:val="none"/>
              </w:rPr>
              <w:t xml:space="preserve">2.2</w:t>
            </w:r>
            <w:r>
              <w:rPr>
                <w:rFonts w:hAnsi="宋体" w:cs="宋体"/>
                <w:color w:val="000000"/>
                <w:sz w:val="24"/>
                <w:szCs w:val="24"/>
                <w:highlight w:val="none"/>
              </w:rPr>
            </w:r>
            <w:r/>
          </w:p>
        </w:tc>
        <w:tc>
          <w:tcPr>
            <w:tcW w:w="2222" w:type="dxa"/>
            <w:vAlign w:val="center"/>
            <w:textDirection w:val="lrTb"/>
            <w:noWrap w:val="false"/>
          </w:tcPr>
          <w:p>
            <w:pPr>
              <w:pStyle w:val="1288"/>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项目属性</w:t>
            </w:r>
            <w:r>
              <w:rPr>
                <w:rFonts w:hint="eastAsia" w:ascii="宋体" w:hAnsi="宋体" w:cs="宋体"/>
                <w:color w:val="000000"/>
                <w:sz w:val="24"/>
                <w:highlight w:val="none"/>
              </w:rPr>
            </w:r>
            <w:r/>
          </w:p>
        </w:tc>
        <w:tc>
          <w:tcPr>
            <w:tcW w:w="6732" w:type="dxa"/>
            <w:vAlign w:val="center"/>
            <w:textDirection w:val="lrTb"/>
            <w:noWrap w:val="false"/>
          </w:tcPr>
          <w:p>
            <w:pPr>
              <w:pStyle w:val="1288"/>
              <w:jc w:val="left"/>
              <w:rPr>
                <w:color w:val="000000"/>
                <w:sz w:val="24"/>
                <w:highlight w:val="none"/>
              </w:rPr>
            </w:pPr>
            <w:r>
              <w:rPr>
                <w:color w:val="000000"/>
                <w:sz w:val="24"/>
                <w:highlight w:val="none"/>
              </w:rPr>
              <w:t xml:space="preserve">项目属性：</w:t>
            </w:r>
            <w:r>
              <w:rPr>
                <w:color w:val="000000"/>
                <w:sz w:val="24"/>
                <w:highlight w:val="none"/>
              </w:rPr>
            </w:r>
            <w:r/>
          </w:p>
          <w:p>
            <w:pPr>
              <w:pStyle w:val="1288"/>
              <w:jc w:val="left"/>
              <w:rPr>
                <w:color w:val="000000"/>
                <w:sz w:val="24"/>
                <w:highlight w:val="none"/>
              </w:rPr>
            </w:pPr>
            <w:r>
              <w:rPr>
                <w:rFonts w:hint="eastAsia"/>
                <w:color w:val="000000"/>
                <w:sz w:val="24"/>
                <w:highlight w:val="none"/>
              </w:rPr>
              <w:t xml:space="preserve">□</w:t>
            </w:r>
            <w:r>
              <w:rPr>
                <w:color w:val="000000"/>
                <w:sz w:val="24"/>
                <w:highlight w:val="none"/>
              </w:rPr>
              <w:t xml:space="preserve">服务</w:t>
            </w:r>
            <w:r>
              <w:rPr>
                <w:color w:val="000000"/>
                <w:sz w:val="24"/>
                <w:highlight w:val="none"/>
              </w:rPr>
            </w:r>
            <w:r/>
          </w:p>
          <w:p>
            <w:pPr>
              <w:pStyle w:val="1288"/>
              <w:jc w:val="left"/>
              <w:rPr>
                <w:color w:val="000000"/>
                <w:sz w:val="24"/>
                <w:highlight w:val="none"/>
              </w:rPr>
            </w:pPr>
            <w:r>
              <w:rPr>
                <w:rFonts w:hint="eastAsia"/>
                <w:color w:val="000000"/>
                <w:sz w:val="24"/>
                <w:highlight w:val="none"/>
              </w:rPr>
              <w:t xml:space="preserve">□</w:t>
            </w:r>
            <w:r>
              <w:rPr>
                <w:color w:val="000000"/>
                <w:sz w:val="24"/>
                <w:highlight w:val="none"/>
              </w:rPr>
              <w:t xml:space="preserve">货物</w:t>
            </w:r>
            <w:r>
              <w:rPr>
                <w:color w:val="000000"/>
                <w:sz w:val="24"/>
                <w:highlight w:val="none"/>
              </w:rPr>
            </w:r>
            <w:r/>
          </w:p>
          <w:p>
            <w:pPr>
              <w:pStyle w:val="1288"/>
              <w:jc w:val="left"/>
              <w:spacing w:line="360" w:lineRule="auto"/>
              <w:rPr>
                <w:rFonts w:hint="eastAsia" w:ascii="宋体" w:hAnsi="宋体" w:cs="宋体"/>
                <w:color w:val="000000"/>
                <w:sz w:val="24"/>
                <w:highlight w:val="none"/>
              </w:rPr>
            </w:pPr>
            <w:r>
              <w:rPr>
                <w:rFonts w:hint="eastAsia" w:ascii="MS Gothic" w:hAnsi="MS Gothic" w:eastAsia="MS Gothic" w:cs="MS Gothic"/>
                <w:color w:val="000000"/>
                <w:highlight w:val="none"/>
              </w:rPr>
              <w:t xml:space="preserve">■</w:t>
            </w:r>
            <w:r>
              <w:rPr>
                <w:rFonts w:hint="eastAsia"/>
                <w:color w:val="000000"/>
                <w:sz w:val="24"/>
                <w:highlight w:val="none"/>
              </w:rPr>
              <w:t xml:space="preserve">工程</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303"/>
              <w:jc w:val="center"/>
              <w:spacing w:line="360" w:lineRule="auto"/>
              <w:rPr>
                <w:rFonts w:hAnsi="宋体" w:cs="宋体"/>
                <w:color w:val="000000"/>
                <w:sz w:val="24"/>
                <w:szCs w:val="24"/>
                <w:highlight w:val="none"/>
              </w:rPr>
            </w:pPr>
            <w:r>
              <w:rPr>
                <w:rFonts w:hAnsi="宋体" w:cs="宋体"/>
                <w:color w:val="000000"/>
                <w:sz w:val="24"/>
                <w:szCs w:val="24"/>
                <w:highlight w:val="none"/>
              </w:rPr>
              <w:t xml:space="preserve">2.3</w:t>
            </w:r>
            <w:r>
              <w:rPr>
                <w:rFonts w:hAnsi="宋体" w:cs="宋体"/>
                <w:color w:val="000000"/>
                <w:sz w:val="24"/>
                <w:szCs w:val="24"/>
                <w:highlight w:val="none"/>
              </w:rPr>
            </w:r>
            <w:r/>
          </w:p>
        </w:tc>
        <w:tc>
          <w:tcPr>
            <w:tcW w:w="2222" w:type="dxa"/>
            <w:vAlign w:val="center"/>
            <w:textDirection w:val="lrTb"/>
            <w:noWrap w:val="false"/>
          </w:tcPr>
          <w:p>
            <w:pPr>
              <w:pStyle w:val="1288"/>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科研仪器设备</w:t>
            </w:r>
            <w:r>
              <w:rPr>
                <w:rFonts w:hint="eastAsia" w:ascii="宋体" w:hAnsi="宋体" w:cs="宋体"/>
                <w:color w:val="000000"/>
                <w:sz w:val="24"/>
                <w:highlight w:val="none"/>
              </w:rPr>
            </w:r>
            <w:r/>
          </w:p>
        </w:tc>
        <w:tc>
          <w:tcPr>
            <w:tcW w:w="6732" w:type="dxa"/>
            <w:vAlign w:val="center"/>
            <w:textDirection w:val="lrTb"/>
            <w:noWrap w:val="false"/>
          </w:tcPr>
          <w:p>
            <w:pPr>
              <w:pStyle w:val="1288"/>
              <w:jc w:val="left"/>
              <w:rPr>
                <w:rFonts w:hint="eastAsia"/>
                <w:color w:val="000000"/>
                <w:sz w:val="24"/>
                <w:highlight w:val="none"/>
              </w:rPr>
            </w:pPr>
            <w:r>
              <w:rPr>
                <w:rFonts w:hint="eastAsia"/>
                <w:color w:val="000000"/>
                <w:sz w:val="24"/>
                <w:highlight w:val="none"/>
              </w:rPr>
              <w:t xml:space="preserve">是否属于科研仪器设备采购项目：</w:t>
            </w:r>
            <w:r>
              <w:rPr>
                <w:rFonts w:hint="eastAsia"/>
                <w:color w:val="000000"/>
                <w:sz w:val="24"/>
                <w:highlight w:val="none"/>
              </w:rPr>
            </w:r>
            <w:r/>
          </w:p>
          <w:p>
            <w:pPr>
              <w:pStyle w:val="1288"/>
              <w:jc w:val="left"/>
              <w:rPr>
                <w:rFonts w:hint="eastAsia"/>
                <w:color w:val="000000"/>
                <w:sz w:val="24"/>
                <w:highlight w:val="none"/>
              </w:rPr>
            </w:pPr>
            <w:r>
              <w:rPr>
                <w:rFonts w:hint="eastAsia"/>
                <w:color w:val="000000"/>
                <w:sz w:val="24"/>
                <w:highlight w:val="none"/>
              </w:rPr>
              <w:t xml:space="preserve">□是</w:t>
            </w:r>
            <w:r>
              <w:rPr>
                <w:rFonts w:hint="eastAsia"/>
                <w:color w:val="000000"/>
                <w:sz w:val="24"/>
                <w:highlight w:val="none"/>
              </w:rPr>
            </w:r>
            <w:r/>
          </w:p>
          <w:p>
            <w:pPr>
              <w:pStyle w:val="1288"/>
              <w:jc w:val="left"/>
              <w:rPr>
                <w:rFonts w:hint="eastAsia" w:ascii="宋体" w:hAnsi="宋体" w:cs="宋体"/>
                <w:color w:val="000000"/>
                <w:sz w:val="24"/>
                <w:highlight w:val="none"/>
              </w:rPr>
            </w:pPr>
            <w:r>
              <w:rPr>
                <w:rFonts w:hint="eastAsia"/>
                <w:color w:val="000000"/>
                <w:sz w:val="24"/>
                <w:highlight w:val="none"/>
              </w:rPr>
              <w:t xml:space="preserve">■否</w:t>
            </w:r>
            <w:r>
              <w:rPr>
                <w:rFonts w:hint="eastAsia" w:ascii="宋体" w:hAnsi="宋体" w:cs="宋体"/>
                <w:color w:val="000000"/>
                <w:sz w:val="24"/>
                <w:highlight w:val="none"/>
              </w:rPr>
            </w:r>
            <w:r/>
          </w:p>
        </w:tc>
      </w:tr>
      <w:tr>
        <w:trPr>
          <w:trHeight w:val="906"/>
        </w:trPr>
        <w:tc>
          <w:tcPr>
            <w:tcW w:w="988" w:type="dxa"/>
            <w:vAlign w:val="center"/>
            <w:textDirection w:val="lrTb"/>
            <w:noWrap w:val="false"/>
          </w:tcPr>
          <w:p>
            <w:pPr>
              <w:pStyle w:val="1303"/>
              <w:jc w:val="center"/>
              <w:spacing w:line="360" w:lineRule="auto"/>
              <w:rPr>
                <w:rFonts w:hAnsi="宋体" w:cs="宋体"/>
                <w:color w:val="000000"/>
                <w:sz w:val="24"/>
                <w:szCs w:val="24"/>
                <w:highlight w:val="none"/>
              </w:rPr>
            </w:pPr>
            <w:r>
              <w:rPr>
                <w:rFonts w:hAnsi="宋体" w:cs="宋体"/>
                <w:color w:val="000000"/>
                <w:sz w:val="24"/>
                <w:szCs w:val="24"/>
                <w:highlight w:val="none"/>
              </w:rPr>
              <w:t xml:space="preserve">3.2.5</w:t>
            </w:r>
            <w:r>
              <w:rPr>
                <w:rFonts w:hAnsi="宋体" w:cs="宋体"/>
                <w:color w:val="000000"/>
                <w:sz w:val="24"/>
                <w:szCs w:val="24"/>
                <w:highlight w:val="none"/>
              </w:rPr>
            </w:r>
            <w:r/>
          </w:p>
        </w:tc>
        <w:tc>
          <w:tcPr>
            <w:tcW w:w="2222" w:type="dxa"/>
            <w:vAlign w:val="center"/>
            <w:textDirection w:val="lrTb"/>
            <w:noWrap w:val="false"/>
          </w:tcPr>
          <w:p>
            <w:pPr>
              <w:pStyle w:val="1288"/>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标的所属行业</w:t>
            </w:r>
            <w:r>
              <w:rPr>
                <w:rFonts w:hint="eastAsia" w:ascii="宋体" w:hAnsi="宋体" w:cs="宋体"/>
                <w:color w:val="000000"/>
                <w:sz w:val="24"/>
                <w:highlight w:val="none"/>
              </w:rPr>
            </w:r>
            <w:r/>
          </w:p>
        </w:tc>
        <w:tc>
          <w:tcPr>
            <w:tcW w:w="6732" w:type="dxa"/>
            <w:vAlign w:val="center"/>
            <w:textDirection w:val="lrTb"/>
            <w:noWrap w:val="false"/>
          </w:tcPr>
          <w:p>
            <w:pPr>
              <w:pStyle w:val="1288"/>
              <w:jc w:val="left"/>
              <w:spacing w:line="360" w:lineRule="auto"/>
              <w:rPr>
                <w:rFonts w:hint="eastAsia"/>
                <w:color w:val="000000"/>
                <w:sz w:val="24"/>
                <w:highlight w:val="none"/>
              </w:rPr>
            </w:pPr>
            <w:r>
              <w:rPr>
                <w:rFonts w:hint="eastAsia"/>
                <w:color w:val="000000"/>
                <w:sz w:val="24"/>
                <w:highlight w:val="none"/>
              </w:rPr>
              <w:t xml:space="preserve">本项目采购标的对应的中小企业划分标准所属行业：建筑业</w:t>
            </w:r>
            <w:r>
              <w:rPr>
                <w:rFonts w:hint="eastAsia"/>
                <w:color w:val="000000"/>
                <w:sz w:val="24"/>
                <w:highlight w:val="none"/>
              </w:rPr>
            </w:r>
            <w:r/>
          </w:p>
          <w:p>
            <w:pPr>
              <w:pStyle w:val="1301"/>
              <w:ind w:firstLine="0"/>
              <w:rPr>
                <w:rFonts w:hint="eastAsia"/>
                <w:color w:val="000000"/>
                <w:highlight w:val="none"/>
              </w:rPr>
            </w:pPr>
            <w:r>
              <w:rPr>
                <w:rFonts w:hint="eastAsia"/>
                <w:color w:val="000000"/>
                <w:highlight w:val="none"/>
                <w:u w:val="single"/>
              </w:rPr>
              <w:t xml:space="preserve">（《关于印发中小企业划型标准规定的通知》工信部联企业【2011】300号）。在填写时请正确选择中小企业声明函类型（货物、服务或工程），如填写错误或未填报则会导致资格审查不通过（专门面向中小企业采购）或报价不作相应扣除。</w:t>
            </w:r>
            <w:r>
              <w:rPr>
                <w:rFonts w:hint="eastAsia"/>
                <w:color w:val="000000"/>
                <w:highlight w:val="none"/>
              </w:rPr>
            </w:r>
            <w:r/>
          </w:p>
        </w:tc>
      </w:tr>
      <w:tr>
        <w:trPr>
          <w:trHeight w:val="906"/>
        </w:trPr>
        <w:tc>
          <w:tcPr>
            <w:tcW w:w="988" w:type="dxa"/>
            <w:vAlign w:val="center"/>
            <w:textDirection w:val="lrTb"/>
            <w:noWrap w:val="false"/>
          </w:tcPr>
          <w:p>
            <w:pPr>
              <w:pStyle w:val="1303"/>
              <w:jc w:val="center"/>
              <w:spacing w:line="360" w:lineRule="auto"/>
              <w:rPr>
                <w:rFonts w:hAnsi="宋体" w:cs="宋体"/>
                <w:color w:val="000000"/>
                <w:sz w:val="24"/>
                <w:szCs w:val="24"/>
                <w:highlight w:val="none"/>
              </w:rPr>
            </w:pPr>
            <w:r>
              <w:rPr>
                <w:rFonts w:hAnsi="宋体" w:cs="宋体"/>
                <w:color w:val="000000"/>
                <w:sz w:val="24"/>
                <w:szCs w:val="24"/>
                <w:highlight w:val="none"/>
              </w:rPr>
              <w:t xml:space="preserve">3.3.11</w:t>
            </w:r>
            <w:r>
              <w:rPr>
                <w:rFonts w:hAnsi="宋体" w:cs="宋体"/>
                <w:color w:val="000000"/>
                <w:sz w:val="24"/>
                <w:szCs w:val="24"/>
                <w:highlight w:val="none"/>
              </w:rPr>
            </w:r>
            <w:r/>
          </w:p>
        </w:tc>
        <w:tc>
          <w:tcPr>
            <w:tcW w:w="2222" w:type="dxa"/>
            <w:vAlign w:val="center"/>
            <w:textDirection w:val="lrTb"/>
            <w:noWrap w:val="false"/>
          </w:tcPr>
          <w:p>
            <w:pPr>
              <w:pStyle w:val="1288"/>
              <w:jc w:val="center"/>
              <w:rPr>
                <w:rFonts w:hint="eastAsia" w:ascii="宋体" w:hAnsi="宋体" w:cs="宋体"/>
                <w:color w:val="000000"/>
                <w:sz w:val="24"/>
                <w:highlight w:val="none"/>
              </w:rPr>
            </w:pPr>
            <w:r>
              <w:rPr>
                <w:rFonts w:hint="eastAsia"/>
                <w:color w:val="000000"/>
                <w:sz w:val="24"/>
                <w:highlight w:val="none"/>
              </w:rPr>
              <w:t xml:space="preserve">本国产品政策支持</w:t>
            </w:r>
            <w:r>
              <w:rPr>
                <w:rFonts w:hint="eastAsia" w:ascii="宋体" w:hAnsi="宋体" w:cs="宋体"/>
                <w:color w:val="000000"/>
                <w:sz w:val="24"/>
                <w:highlight w:val="none"/>
              </w:rPr>
            </w:r>
            <w:r/>
          </w:p>
        </w:tc>
        <w:tc>
          <w:tcPr>
            <w:tcW w:w="6732" w:type="dxa"/>
            <w:vAlign w:val="center"/>
            <w:textDirection w:val="lrTb"/>
            <w:noWrap w:val="false"/>
          </w:tcPr>
          <w:p>
            <w:pPr>
              <w:pStyle w:val="1288"/>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关于对采购本国产品给予政策支持，本项目：</w:t>
            </w:r>
            <w:r>
              <w:rPr>
                <w:rFonts w:hint="eastAsia" w:ascii="宋体" w:hAnsi="宋体" w:cs="宋体"/>
                <w:color w:val="000000"/>
                <w:sz w:val="24"/>
                <w:highlight w:val="none"/>
              </w:rPr>
              <w:fldChar w:fldCharType="begin"/>
            </w:r>
            <w:r>
              <w:rPr>
                <w:rFonts w:hint="eastAsia" w:ascii="宋体" w:hAnsi="宋体" w:cs="宋体"/>
                <w:color w:val="000000"/>
                <w:sz w:val="24"/>
                <w:highlight w:val="none"/>
              </w:rPr>
              <w:instrText xml:space="preserve"> eq \o \ac(□)</w:instrText>
            </w:r>
            <w:r>
              <w:rPr>
                <w:rFonts w:hint="eastAsia" w:ascii="宋体" w:hAnsi="宋体" w:cs="宋体"/>
                <w:color w:val="000000"/>
                <w:sz w:val="24"/>
                <w:highlight w:val="none"/>
              </w:rPr>
              <w:fldChar w:fldCharType="end"/>
            </w:r>
            <w:r>
              <w:rPr>
                <w:rFonts w:hint="eastAsia" w:ascii="宋体" w:hAnsi="宋体" w:cs="宋体"/>
                <w:color w:val="000000"/>
                <w:sz w:val="24"/>
                <w:highlight w:val="none"/>
              </w:rPr>
              <w:t xml:space="preserve">适用 ■不适用。</w:t>
            </w:r>
            <w:r>
              <w:rPr>
                <w:rFonts w:hint="eastAsia" w:ascii="宋体" w:hAnsi="宋体" w:cs="宋体"/>
                <w:color w:val="000000"/>
                <w:sz w:val="24"/>
                <w:highlight w:val="none"/>
              </w:rPr>
            </w:r>
            <w:r/>
          </w:p>
          <w:p>
            <w:pPr>
              <w:pStyle w:val="1288"/>
              <w:jc w:val="left"/>
              <w:spacing w:line="360" w:lineRule="auto"/>
              <w:rPr>
                <w:rFonts w:hint="eastAsia" w:ascii="宋体" w:hAnsi="宋体"/>
                <w:color w:val="000000"/>
                <w:sz w:val="24"/>
                <w:highlight w:val="none"/>
                <w:u w:val="single"/>
              </w:rPr>
            </w:pPr>
            <w:r>
              <w:rPr>
                <w:rFonts w:hint="eastAsia" w:ascii="宋体" w:hAnsi="宋体" w:cs="宋体"/>
                <w:color w:val="000000"/>
                <w:sz w:val="24"/>
                <w:highlight w:val="none"/>
              </w:rPr>
              <w:t xml:space="preserve">在填写《关于符合本国产品标准的声明函》时，如未提供声明函、信息填写错误、未完整填报或不符合《关于在政府采购中实施本国产品标准及相关政策的通知》要求的，则会导致报价不作相应扣除。</w:t>
            </w:r>
            <w:r>
              <w:rPr>
                <w:rFonts w:hint="eastAsia" w:ascii="宋体" w:hAnsi="宋体"/>
                <w:color w:val="000000"/>
                <w:sz w:val="24"/>
                <w:highlight w:val="none"/>
                <w:u w:val="single"/>
              </w:rPr>
            </w:r>
            <w:r/>
          </w:p>
        </w:tc>
      </w:tr>
      <w:tr>
        <w:trPr>
          <w:trHeight w:val="721"/>
        </w:trPr>
        <w:tc>
          <w:tcPr>
            <w:tcW w:w="988" w:type="dxa"/>
            <w:vAlign w:val="center"/>
            <w:textDirection w:val="lrTb"/>
            <w:noWrap w:val="false"/>
          </w:tcPr>
          <w:p>
            <w:pPr>
              <w:pStyle w:val="1303"/>
              <w:jc w:val="center"/>
              <w:spacing w:line="360" w:lineRule="auto"/>
              <w:rPr>
                <w:rFonts w:hAnsi="宋体" w:cs="宋体"/>
                <w:color w:val="000000"/>
                <w:sz w:val="24"/>
                <w:szCs w:val="24"/>
                <w:highlight w:val="none"/>
              </w:rPr>
            </w:pPr>
            <w:r>
              <w:rPr>
                <w:rFonts w:hAnsi="宋体" w:cs="宋体"/>
                <w:color w:val="000000"/>
                <w:sz w:val="24"/>
                <w:szCs w:val="24"/>
                <w:highlight w:val="none"/>
              </w:rPr>
              <w:t xml:space="preserve">9.2</w:t>
            </w:r>
            <w:r>
              <w:rPr>
                <w:rFonts w:hAnsi="宋体" w:cs="宋体"/>
                <w:color w:val="000000"/>
                <w:sz w:val="24"/>
                <w:szCs w:val="24"/>
                <w:highlight w:val="none"/>
              </w:rPr>
            </w:r>
            <w:r/>
          </w:p>
        </w:tc>
        <w:tc>
          <w:tcPr>
            <w:tcW w:w="2222" w:type="dxa"/>
            <w:vAlign w:val="center"/>
            <w:textDirection w:val="lrTb"/>
            <w:noWrap w:val="false"/>
          </w:tcPr>
          <w:p>
            <w:pPr>
              <w:pStyle w:val="1288"/>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报价</w:t>
            </w:r>
            <w:r>
              <w:rPr>
                <w:rFonts w:hint="eastAsia" w:ascii="宋体" w:hAnsi="宋体" w:cs="宋体"/>
                <w:color w:val="000000"/>
                <w:sz w:val="24"/>
                <w:highlight w:val="none"/>
              </w:rPr>
            </w:r>
            <w:r/>
          </w:p>
        </w:tc>
        <w:tc>
          <w:tcPr>
            <w:tcW w:w="6732" w:type="dxa"/>
            <w:vAlign w:val="center"/>
            <w:textDirection w:val="lrTb"/>
            <w:noWrap w:val="false"/>
          </w:tcPr>
          <w:p>
            <w:pPr>
              <w:pStyle w:val="1288"/>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报价的特殊规定：</w:t>
            </w:r>
            <w:r>
              <w:rPr>
                <w:rFonts w:hint="eastAsia" w:ascii="宋体" w:hAnsi="宋体" w:cs="宋体"/>
                <w:color w:val="000000"/>
                <w:sz w:val="24"/>
                <w:highlight w:val="none"/>
              </w:rPr>
            </w:r>
            <w:r/>
          </w:p>
          <w:p>
            <w:pPr>
              <w:pStyle w:val="1288"/>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□无</w:t>
            </w:r>
            <w:r>
              <w:rPr>
                <w:rFonts w:hint="eastAsia" w:ascii="宋体" w:hAnsi="宋体" w:cs="宋体"/>
                <w:color w:val="000000"/>
                <w:sz w:val="24"/>
                <w:highlight w:val="none"/>
              </w:rPr>
            </w:r>
            <w:r/>
          </w:p>
          <w:p>
            <w:pPr>
              <w:pStyle w:val="1288"/>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有，具体情形：本项目共2轮报价（响应文件中的报价为第1轮），本项目响应报价为固定综合单价报价，供应商的报价不得高于最高限价，已标价工程量清单中任一分部分项工程响应单价不得超过最高限价相对应分部分项工程单价，否则作无效响应处理。</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303"/>
              <w:jc w:val="center"/>
              <w:spacing w:line="360" w:lineRule="auto"/>
              <w:rPr>
                <w:rFonts w:hAnsi="宋体" w:cs="宋体"/>
                <w:color w:val="000000"/>
                <w:sz w:val="24"/>
                <w:szCs w:val="24"/>
                <w:highlight w:val="none"/>
              </w:rPr>
            </w:pPr>
            <w:r>
              <w:rPr>
                <w:rFonts w:hAnsi="宋体" w:cs="宋体"/>
                <w:color w:val="000000"/>
                <w:sz w:val="24"/>
                <w:szCs w:val="24"/>
                <w:highlight w:val="none"/>
              </w:rPr>
              <w:t xml:space="preserve">10.1</w:t>
            </w:r>
            <w:r>
              <w:rPr>
                <w:rFonts w:hAnsi="宋体" w:cs="宋体"/>
                <w:color w:val="000000"/>
                <w:sz w:val="24"/>
                <w:szCs w:val="24"/>
                <w:highlight w:val="none"/>
              </w:rPr>
            </w:r>
            <w:r/>
          </w:p>
        </w:tc>
        <w:tc>
          <w:tcPr>
            <w:tcW w:w="2222" w:type="dxa"/>
            <w:vAlign w:val="center"/>
            <w:textDirection w:val="lrTb"/>
            <w:noWrap w:val="false"/>
          </w:tcPr>
          <w:p>
            <w:pPr>
              <w:pStyle w:val="1288"/>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保证金</w:t>
            </w:r>
            <w:r>
              <w:rPr>
                <w:rFonts w:hint="eastAsia" w:ascii="宋体" w:hAnsi="宋体" w:cs="宋体"/>
                <w:color w:val="000000"/>
                <w:sz w:val="24"/>
                <w:highlight w:val="none"/>
              </w:rPr>
            </w:r>
            <w:r/>
          </w:p>
        </w:tc>
        <w:tc>
          <w:tcPr>
            <w:tcW w:w="6732" w:type="dxa"/>
            <w:vAlign w:val="center"/>
            <w:textDirection w:val="lrTb"/>
            <w:noWrap w:val="false"/>
          </w:tcPr>
          <w:p>
            <w:pPr>
              <w:pStyle w:val="1303"/>
              <w:spacing w:line="360" w:lineRule="auto"/>
              <w:rPr>
                <w:rFonts w:hAnsi="宋体" w:cs="宋体"/>
                <w:color w:val="000000"/>
                <w:sz w:val="24"/>
                <w:szCs w:val="24"/>
                <w:highlight w:val="none"/>
              </w:rPr>
            </w:pPr>
            <w:r>
              <w:rPr>
                <w:rFonts w:hAnsi="宋体" w:cs="宋体"/>
                <w:color w:val="000000"/>
                <w:sz w:val="24"/>
                <w:szCs w:val="24"/>
                <w:highlight w:val="none"/>
              </w:rPr>
              <w:t xml:space="preserve">免收</w:t>
            </w:r>
            <w:r>
              <w:rPr>
                <w:rFonts w:hAnsi="宋体" w:cs="宋体"/>
                <w:color w:val="000000"/>
                <w:sz w:val="24"/>
                <w:szCs w:val="24"/>
                <w:highlight w:val="none"/>
              </w:rPr>
            </w:r>
            <w:r/>
          </w:p>
        </w:tc>
      </w:tr>
      <w:tr>
        <w:trPr>
          <w:trHeight w:val="20"/>
        </w:trPr>
        <w:tc>
          <w:tcPr>
            <w:tcW w:w="988" w:type="dxa"/>
            <w:vAlign w:val="center"/>
            <w:textDirection w:val="lrTb"/>
            <w:noWrap w:val="false"/>
          </w:tcPr>
          <w:p>
            <w:pPr>
              <w:pStyle w:val="1303"/>
              <w:jc w:val="center"/>
              <w:spacing w:line="360" w:lineRule="auto"/>
              <w:rPr>
                <w:rFonts w:hAnsi="宋体" w:cs="宋体"/>
                <w:color w:val="000000"/>
                <w:sz w:val="24"/>
                <w:szCs w:val="24"/>
                <w:highlight w:val="none"/>
              </w:rPr>
            </w:pPr>
            <w:r>
              <w:rPr>
                <w:rFonts w:hAnsi="宋体" w:cs="宋体"/>
                <w:color w:val="000000"/>
                <w:sz w:val="24"/>
                <w:szCs w:val="24"/>
                <w:highlight w:val="none"/>
              </w:rPr>
              <w:t xml:space="preserve">11.1</w:t>
            </w:r>
            <w:r>
              <w:rPr>
                <w:rFonts w:hAnsi="宋体" w:cs="宋体"/>
                <w:color w:val="000000"/>
                <w:sz w:val="24"/>
                <w:szCs w:val="24"/>
                <w:highlight w:val="none"/>
              </w:rPr>
            </w:r>
            <w:r/>
          </w:p>
        </w:tc>
        <w:tc>
          <w:tcPr>
            <w:tcW w:w="2222" w:type="dxa"/>
            <w:vAlign w:val="center"/>
            <w:textDirection w:val="lrTb"/>
            <w:noWrap w:val="false"/>
          </w:tcPr>
          <w:p>
            <w:pPr>
              <w:pStyle w:val="1288"/>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响应有效期</w:t>
            </w:r>
            <w:r>
              <w:rPr>
                <w:rFonts w:hint="eastAsia" w:ascii="宋体" w:hAnsi="宋体" w:cs="宋体"/>
                <w:color w:val="000000"/>
                <w:sz w:val="24"/>
                <w:highlight w:val="none"/>
              </w:rPr>
            </w:r>
            <w:r/>
          </w:p>
        </w:tc>
        <w:tc>
          <w:tcPr>
            <w:tcW w:w="6732" w:type="dxa"/>
            <w:vAlign w:val="center"/>
            <w:textDirection w:val="lrTb"/>
            <w:noWrap w:val="false"/>
          </w:tcPr>
          <w:p>
            <w:pPr>
              <w:pStyle w:val="1288"/>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自提交响应文件的截止之日起算60日历天。</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303"/>
              <w:jc w:val="center"/>
              <w:spacing w:line="360" w:lineRule="auto"/>
              <w:rPr>
                <w:rFonts w:hAnsi="宋体" w:cs="宋体"/>
                <w:color w:val="000000"/>
                <w:sz w:val="24"/>
                <w:szCs w:val="24"/>
                <w:highlight w:val="none"/>
              </w:rPr>
            </w:pPr>
            <w:r>
              <w:rPr>
                <w:rFonts w:hAnsi="宋体" w:cs="宋体"/>
                <w:color w:val="000000"/>
                <w:sz w:val="24"/>
                <w:szCs w:val="24"/>
                <w:highlight w:val="none"/>
              </w:rPr>
              <w:t xml:space="preserve">22.5</w:t>
            </w:r>
            <w:r>
              <w:rPr>
                <w:rFonts w:hAnsi="宋体" w:cs="宋体"/>
                <w:color w:val="000000"/>
                <w:sz w:val="24"/>
                <w:szCs w:val="24"/>
                <w:highlight w:val="none"/>
              </w:rPr>
            </w:r>
            <w:r/>
          </w:p>
        </w:tc>
        <w:tc>
          <w:tcPr>
            <w:tcW w:w="2222" w:type="dxa"/>
            <w:vAlign w:val="center"/>
            <w:textDirection w:val="lrTb"/>
            <w:noWrap w:val="false"/>
          </w:tcPr>
          <w:p>
            <w:pPr>
              <w:pStyle w:val="1288"/>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分包</w:t>
            </w:r>
            <w:r>
              <w:rPr>
                <w:rFonts w:hint="eastAsia" w:ascii="宋体" w:hAnsi="宋体" w:cs="宋体"/>
                <w:color w:val="000000"/>
                <w:sz w:val="24"/>
                <w:highlight w:val="none"/>
              </w:rPr>
            </w:r>
            <w:r/>
          </w:p>
        </w:tc>
        <w:tc>
          <w:tcPr>
            <w:tcW w:w="6732" w:type="dxa"/>
            <w:vAlign w:val="center"/>
            <w:textDirection w:val="lrTb"/>
            <w:noWrap w:val="false"/>
          </w:tcPr>
          <w:p>
            <w:pPr>
              <w:pStyle w:val="1288"/>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本项目是否允许分包：</w:t>
            </w:r>
            <w:r>
              <w:rPr>
                <w:rFonts w:hint="eastAsia" w:ascii="宋体" w:hAnsi="宋体" w:cs="宋体"/>
                <w:color w:val="000000"/>
                <w:sz w:val="24"/>
                <w:highlight w:val="none"/>
              </w:rPr>
            </w:r>
            <w:r/>
          </w:p>
          <w:p>
            <w:pPr>
              <w:pStyle w:val="1288"/>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■不允许</w:t>
            </w:r>
            <w:r>
              <w:rPr>
                <w:rFonts w:hint="eastAsia" w:ascii="宋体" w:hAnsi="宋体" w:cs="宋体"/>
                <w:color w:val="000000"/>
                <w:sz w:val="24"/>
                <w:highlight w:val="none"/>
              </w:rPr>
            </w:r>
            <w:r/>
          </w:p>
          <w:p>
            <w:pPr>
              <w:pStyle w:val="1288"/>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□允许，具体要求：</w:t>
            </w:r>
            <w:r>
              <w:rPr>
                <w:rFonts w:hint="eastAsia" w:ascii="宋体" w:hAnsi="宋体" w:cs="宋体"/>
                <w:color w:val="000000"/>
                <w:sz w:val="24"/>
                <w:highlight w:val="none"/>
              </w:rPr>
            </w:r>
            <w:r/>
          </w:p>
          <w:p>
            <w:pPr>
              <w:pStyle w:val="1288"/>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（1）可以分包履行的具体内容：__________；</w:t>
            </w:r>
            <w:r>
              <w:rPr>
                <w:rFonts w:hint="eastAsia" w:ascii="宋体" w:hAnsi="宋体" w:cs="宋体"/>
                <w:color w:val="000000"/>
                <w:sz w:val="24"/>
                <w:highlight w:val="none"/>
              </w:rPr>
            </w:r>
            <w:r/>
          </w:p>
          <w:p>
            <w:pPr>
              <w:pStyle w:val="1288"/>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（2）允许分包的金额或者比例：__________；</w:t>
            </w:r>
            <w:r>
              <w:rPr>
                <w:rFonts w:hint="eastAsia" w:ascii="宋体" w:hAnsi="宋体" w:cs="宋体"/>
                <w:color w:val="000000"/>
                <w:sz w:val="24"/>
                <w:highlight w:val="none"/>
              </w:rPr>
            </w:r>
            <w:r/>
          </w:p>
          <w:p>
            <w:pPr>
              <w:pStyle w:val="1288"/>
              <w:jc w:val="left"/>
              <w:spacing w:line="360" w:lineRule="auto"/>
              <w:rPr>
                <w:rFonts w:hint="eastAsia" w:ascii="宋体" w:hAnsi="宋体" w:cs="宋体"/>
                <w:color w:val="000000"/>
                <w:sz w:val="24"/>
                <w:highlight w:val="none"/>
                <w:u w:val="single"/>
              </w:rPr>
            </w:pPr>
            <w:r>
              <w:rPr>
                <w:rFonts w:hint="eastAsia" w:ascii="宋体" w:hAnsi="宋体" w:cs="宋体"/>
                <w:color w:val="000000"/>
                <w:sz w:val="24"/>
                <w:highlight w:val="none"/>
              </w:rPr>
              <w:t xml:space="preserve">（3）其他要求：__________。</w:t>
            </w:r>
            <w:r>
              <w:rPr>
                <w:rFonts w:hint="eastAsia" w:ascii="宋体" w:hAnsi="宋体" w:cs="宋体"/>
                <w:color w:val="000000"/>
                <w:sz w:val="24"/>
                <w:highlight w:val="none"/>
                <w:u w:val="single"/>
              </w:rPr>
            </w:r>
            <w:r/>
          </w:p>
        </w:tc>
      </w:tr>
      <w:tr>
        <w:trPr>
          <w:trHeight w:val="20"/>
        </w:trPr>
        <w:tc>
          <w:tcPr>
            <w:tcW w:w="988" w:type="dxa"/>
            <w:vAlign w:val="center"/>
            <w:textDirection w:val="lrTb"/>
            <w:noWrap w:val="false"/>
          </w:tcPr>
          <w:p>
            <w:pPr>
              <w:pStyle w:val="1303"/>
              <w:jc w:val="center"/>
              <w:spacing w:line="360" w:lineRule="auto"/>
              <w:rPr>
                <w:rFonts w:hAnsi="宋体" w:cs="宋体"/>
                <w:color w:val="000000"/>
                <w:sz w:val="24"/>
                <w:szCs w:val="24"/>
                <w:highlight w:val="none"/>
              </w:rPr>
            </w:pPr>
            <w:r>
              <w:rPr>
                <w:rFonts w:hAnsi="宋体" w:cs="宋体"/>
                <w:color w:val="000000"/>
                <w:sz w:val="24"/>
                <w:szCs w:val="24"/>
                <w:highlight w:val="none"/>
              </w:rPr>
              <w:t xml:space="preserve">23.1.1</w:t>
            </w:r>
            <w:r>
              <w:rPr>
                <w:rFonts w:hAnsi="宋体" w:cs="宋体"/>
                <w:color w:val="000000"/>
                <w:sz w:val="24"/>
                <w:szCs w:val="24"/>
                <w:highlight w:val="none"/>
              </w:rPr>
            </w:r>
            <w:r/>
          </w:p>
        </w:tc>
        <w:tc>
          <w:tcPr>
            <w:tcW w:w="2222" w:type="dxa"/>
            <w:vAlign w:val="center"/>
            <w:textDirection w:val="lrTb"/>
            <w:noWrap w:val="false"/>
          </w:tcPr>
          <w:p>
            <w:pPr>
              <w:pStyle w:val="1288"/>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询问</w:t>
            </w:r>
            <w:r>
              <w:rPr>
                <w:rFonts w:hint="eastAsia" w:ascii="宋体" w:hAnsi="宋体" w:cs="宋体"/>
                <w:color w:val="000000"/>
                <w:sz w:val="24"/>
                <w:highlight w:val="none"/>
              </w:rPr>
            </w:r>
            <w:r/>
          </w:p>
        </w:tc>
        <w:tc>
          <w:tcPr>
            <w:tcW w:w="6732" w:type="dxa"/>
            <w:vAlign w:val="center"/>
            <w:textDirection w:val="lrTb"/>
            <w:noWrap w:val="false"/>
          </w:tcPr>
          <w:p>
            <w:pPr>
              <w:pStyle w:val="1288"/>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询问送达形式：</w:t>
            </w:r>
            <w:r>
              <w:rPr>
                <w:rFonts w:hint="eastAsia" w:ascii="宋体" w:hAnsi="宋体" w:cs="宋体"/>
                <w:color w:val="000000"/>
                <w:sz w:val="24"/>
                <w:highlight w:val="none"/>
                <w:u w:val="single"/>
              </w:rPr>
              <w:t xml:space="preserve">纸质书面送达</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303"/>
              <w:jc w:val="center"/>
              <w:spacing w:line="360" w:lineRule="auto"/>
              <w:rPr>
                <w:rFonts w:hAnsi="宋体" w:cs="宋体"/>
                <w:color w:val="000000"/>
                <w:sz w:val="24"/>
                <w:szCs w:val="24"/>
                <w:highlight w:val="none"/>
              </w:rPr>
            </w:pPr>
            <w:r>
              <w:rPr>
                <w:rFonts w:hAnsi="宋体" w:cs="宋体"/>
                <w:color w:val="000000"/>
                <w:sz w:val="24"/>
                <w:szCs w:val="24"/>
                <w:highlight w:val="none"/>
              </w:rPr>
              <w:t xml:space="preserve">23.3</w:t>
            </w:r>
            <w:r>
              <w:rPr>
                <w:rFonts w:hAnsi="宋体" w:cs="宋体"/>
                <w:color w:val="000000"/>
                <w:sz w:val="24"/>
                <w:szCs w:val="24"/>
                <w:highlight w:val="none"/>
              </w:rPr>
            </w:r>
            <w:r/>
          </w:p>
        </w:tc>
        <w:tc>
          <w:tcPr>
            <w:tcW w:w="2222" w:type="dxa"/>
            <w:vAlign w:val="center"/>
            <w:textDirection w:val="lrTb"/>
            <w:noWrap w:val="false"/>
          </w:tcPr>
          <w:p>
            <w:pPr>
              <w:pStyle w:val="1288"/>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联系方式</w:t>
            </w:r>
            <w:r>
              <w:rPr>
                <w:rFonts w:hint="eastAsia" w:ascii="宋体" w:hAnsi="宋体" w:cs="宋体"/>
                <w:color w:val="000000"/>
                <w:sz w:val="24"/>
                <w:highlight w:val="none"/>
              </w:rPr>
            </w:r>
            <w:r/>
          </w:p>
        </w:tc>
        <w:tc>
          <w:tcPr>
            <w:tcW w:w="6732" w:type="dxa"/>
            <w:vAlign w:val="center"/>
            <w:textDirection w:val="lrTb"/>
            <w:noWrap w:val="false"/>
          </w:tcPr>
          <w:p>
            <w:pPr>
              <w:pStyle w:val="1288"/>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接收询问和质疑的联系方式</w:t>
            </w:r>
            <w:r>
              <w:rPr>
                <w:rFonts w:hint="eastAsia" w:ascii="宋体" w:hAnsi="宋体" w:cs="宋体"/>
                <w:color w:val="000000"/>
                <w:sz w:val="24"/>
                <w:highlight w:val="none"/>
              </w:rPr>
            </w:r>
            <w:r/>
          </w:p>
          <w:p>
            <w:pPr>
              <w:pStyle w:val="1288"/>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联系部门：常州中采招投标有限公司；</w:t>
            </w:r>
            <w:r>
              <w:rPr>
                <w:rFonts w:hint="eastAsia" w:ascii="宋体" w:hAnsi="宋体" w:cs="宋体"/>
                <w:color w:val="000000"/>
                <w:sz w:val="24"/>
                <w:highlight w:val="none"/>
              </w:rPr>
            </w:r>
            <w:r/>
          </w:p>
          <w:p>
            <w:pPr>
              <w:pStyle w:val="1288"/>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联系电话：0519-86661066；</w:t>
            </w:r>
            <w:r>
              <w:rPr>
                <w:rFonts w:hint="eastAsia" w:ascii="宋体" w:hAnsi="宋体" w:cs="宋体"/>
                <w:color w:val="000000"/>
                <w:sz w:val="24"/>
                <w:highlight w:val="none"/>
              </w:rPr>
            </w:r>
            <w:r/>
          </w:p>
          <w:p>
            <w:pPr>
              <w:pStyle w:val="1288"/>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通讯地址：钟楼区玉龙南路280号常州大数据产业园2号楼19楼1903室。</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303"/>
              <w:jc w:val="center"/>
              <w:spacing w:line="360" w:lineRule="auto"/>
              <w:rPr>
                <w:rFonts w:hAnsi="宋体" w:cs="宋体"/>
                <w:color w:val="000000"/>
                <w:sz w:val="24"/>
                <w:szCs w:val="24"/>
                <w:highlight w:val="none"/>
              </w:rPr>
            </w:pPr>
            <w:r>
              <w:rPr>
                <w:rFonts w:hAnsi="宋体" w:cs="宋体"/>
                <w:color w:val="000000"/>
                <w:sz w:val="24"/>
                <w:szCs w:val="24"/>
                <w:highlight w:val="none"/>
              </w:rPr>
              <w:t xml:space="preserve">24.1</w:t>
            </w:r>
            <w:r>
              <w:rPr>
                <w:rFonts w:hAnsi="宋体" w:cs="宋体"/>
                <w:color w:val="000000"/>
                <w:sz w:val="24"/>
                <w:szCs w:val="24"/>
                <w:highlight w:val="none"/>
              </w:rPr>
            </w:r>
            <w:r/>
          </w:p>
        </w:tc>
        <w:tc>
          <w:tcPr>
            <w:tcW w:w="2222" w:type="dxa"/>
            <w:vAlign w:val="center"/>
            <w:textDirection w:val="lrTb"/>
            <w:noWrap w:val="false"/>
          </w:tcPr>
          <w:p>
            <w:pPr>
              <w:pStyle w:val="1288"/>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代理费</w:t>
            </w:r>
            <w:r>
              <w:rPr>
                <w:rFonts w:hint="eastAsia" w:ascii="宋体" w:hAnsi="宋体" w:cs="宋体"/>
                <w:color w:val="000000"/>
                <w:sz w:val="24"/>
                <w:highlight w:val="none"/>
              </w:rPr>
            </w:r>
            <w:r/>
          </w:p>
        </w:tc>
        <w:tc>
          <w:tcPr>
            <w:tcW w:w="6732" w:type="dxa"/>
            <w:vAlign w:val="center"/>
            <w:textDirection w:val="lrTb"/>
            <w:noWrap w:val="false"/>
          </w:tcPr>
          <w:p>
            <w:pPr>
              <w:pStyle w:val="1288"/>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收费对象：</w:t>
            </w:r>
            <w:r>
              <w:rPr>
                <w:rFonts w:hint="eastAsia" w:ascii="宋体" w:hAnsi="宋体" w:cs="宋体"/>
                <w:color w:val="000000"/>
                <w:sz w:val="24"/>
                <w:highlight w:val="none"/>
              </w:rPr>
            </w:r>
            <w:r/>
          </w:p>
          <w:p>
            <w:pPr>
              <w:pStyle w:val="1288"/>
              <w:jc w:val="left"/>
              <w:spacing w:line="360" w:lineRule="auto"/>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w:t>
            </w:r>
            <w:r>
              <w:rPr>
                <w:rFonts w:hint="eastAsia" w:ascii="宋体" w:hAnsi="宋体" w:eastAsia="宋体" w:cs="宋体"/>
                <w:color w:val="000000"/>
                <w:sz w:val="24"/>
                <w:highlight w:val="none"/>
                <w:lang w:val="en-US" w:eastAsia="zh-CN"/>
              </w:rPr>
              <w:t xml:space="preserve">采购人</w:t>
            </w:r>
            <w:r>
              <w:rPr>
                <w:rFonts w:hint="eastAsia" w:ascii="宋体" w:hAnsi="宋体" w:eastAsia="宋体" w:cs="宋体"/>
                <w:color w:val="000000"/>
                <w:sz w:val="24"/>
                <w:highlight w:val="none"/>
                <w:lang w:eastAsia="zh-CN"/>
              </w:rPr>
            </w:r>
            <w:r/>
          </w:p>
          <w:p>
            <w:pPr>
              <w:pStyle w:val="1288"/>
              <w:ind w:left="360" w:hanging="360"/>
              <w:spacing w:line="360" w:lineRule="auto"/>
              <w:rPr>
                <w:rFonts w:hint="eastAsia" w:ascii="宋体" w:hAnsi="宋体" w:cs="宋体"/>
                <w:bCs/>
                <w:color w:val="000000"/>
                <w:sz w:val="24"/>
                <w:highlight w:val="none"/>
              </w:rPr>
            </w:pPr>
            <w:r>
              <w:rPr>
                <w:rFonts w:ascii="宋体" w:hAnsi="宋体" w:cs="宋体"/>
                <w:bCs/>
                <w:color w:val="000000"/>
                <w:sz w:val="24"/>
                <w:highlight w:val="none"/>
              </w:rPr>
              <w:t xml:space="preserve">1.</w:t>
            </w:r>
            <w:r>
              <w:rPr>
                <w:rFonts w:hint="eastAsia" w:ascii="宋体" w:hAnsi="宋体" w:cs="宋体"/>
                <w:bCs/>
                <w:color w:val="000000"/>
                <w:sz w:val="24"/>
                <w:highlight w:val="none"/>
              </w:rPr>
              <w:t xml:space="preserve">采购代理服务费收费标准为：</w:t>
            </w:r>
            <w:r>
              <w:rPr>
                <w:rFonts w:hint="eastAsia" w:ascii="宋体" w:hAnsi="宋体" w:cs="宋体"/>
                <w:bCs/>
                <w:color w:val="000000"/>
                <w:sz w:val="24"/>
                <w:highlight w:val="none"/>
              </w:rPr>
            </w:r>
            <w:r/>
          </w:p>
          <w:p>
            <w:pPr>
              <w:pStyle w:val="1288"/>
              <w:spacing w:line="360" w:lineRule="auto"/>
              <w:rPr>
                <w:rFonts w:hint="eastAsia" w:ascii="宋体" w:hAnsi="宋体" w:eastAsia="宋体" w:cs="宋体"/>
                <w:b/>
                <w:bCs/>
                <w:color w:val="000000"/>
                <w:sz w:val="24"/>
                <w:highlight w:val="none"/>
                <w:lang w:eastAsia="zh-CN"/>
              </w:rPr>
            </w:pPr>
            <w:r>
              <w:rPr>
                <w:rFonts w:hint="eastAsia" w:ascii="宋体" w:hAnsi="宋体" w:cs="宋体"/>
                <w:bCs/>
                <w:color w:val="000000"/>
                <w:sz w:val="24"/>
                <w:highlight w:val="none"/>
              </w:rPr>
              <w:t xml:space="preserve">（1）</w:t>
            </w:r>
            <w:r>
              <w:rPr>
                <w:rFonts w:hint="eastAsia" w:ascii="宋体" w:hAnsi="宋体" w:cs="宋体"/>
                <w:bCs/>
                <w:color w:val="000000"/>
                <w:sz w:val="24"/>
                <w:highlight w:val="none"/>
                <w:lang w:val="en-US" w:eastAsia="zh-CN"/>
              </w:rPr>
              <w:t xml:space="preserve">采购代理</w:t>
            </w:r>
            <w:r>
              <w:rPr>
                <w:rFonts w:hint="eastAsia" w:ascii="宋体" w:hAnsi="宋体" w:cs="宋体"/>
                <w:bCs/>
                <w:color w:val="000000"/>
                <w:sz w:val="24"/>
                <w:highlight w:val="none"/>
              </w:rPr>
              <w:t xml:space="preserve">服务费</w:t>
            </w:r>
            <w:r>
              <w:rPr>
                <w:rFonts w:hint="eastAsia" w:ascii="宋体" w:hAnsi="宋体" w:cs="宋体"/>
                <w:color w:val="000000"/>
                <w:sz w:val="24"/>
                <w:highlight w:val="none"/>
              </w:rPr>
              <w:t xml:space="preserve">由采购</w:t>
            </w:r>
            <w:r>
              <w:rPr>
                <w:rFonts w:hint="eastAsia" w:ascii="宋体" w:hAnsi="宋体" w:cs="宋体"/>
                <w:color w:val="000000"/>
                <w:sz w:val="24"/>
                <w:highlight w:val="none"/>
                <w:lang w:val="zh-CN"/>
              </w:rPr>
              <w:t xml:space="preserve">人</w:t>
            </w:r>
            <w:r>
              <w:rPr>
                <w:rFonts w:hint="eastAsia" w:ascii="宋体" w:hAnsi="宋体" w:cs="宋体"/>
                <w:color w:val="000000"/>
                <w:sz w:val="24"/>
                <w:highlight w:val="none"/>
              </w:rPr>
              <w:t xml:space="preserve">承担</w:t>
            </w:r>
            <w:r>
              <w:rPr>
                <w:rFonts w:hint="eastAsia" w:ascii="宋体" w:hAnsi="宋体" w:cs="宋体"/>
                <w:color w:val="000000"/>
                <w:sz w:val="24"/>
                <w:highlight w:val="none"/>
                <w:lang w:eastAsia="zh-CN"/>
              </w:rPr>
              <w:t xml:space="preserve">；</w:t>
            </w:r>
            <w:r>
              <w:rPr>
                <w:rFonts w:hint="eastAsia" w:ascii="宋体" w:hAnsi="宋体" w:eastAsia="宋体" w:cs="宋体"/>
                <w:b/>
                <w:bCs/>
                <w:color w:val="000000"/>
                <w:sz w:val="24"/>
                <w:highlight w:val="none"/>
                <w:lang w:eastAsia="zh-CN"/>
              </w:rPr>
            </w:r>
            <w:r/>
          </w:p>
          <w:p>
            <w:pPr>
              <w:pStyle w:val="1288"/>
              <w:spacing w:line="360" w:lineRule="auto"/>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（2）</w:t>
            </w:r>
            <w:r>
              <w:rPr>
                <w:rFonts w:hint="eastAsia" w:ascii="宋体" w:hAnsi="宋体" w:cs="宋体"/>
                <w:color w:val="000000"/>
                <w:sz w:val="24"/>
                <w:highlight w:val="none"/>
                <w:lang w:val="en-US" w:eastAsia="zh-CN"/>
              </w:rPr>
              <w:t xml:space="preserve">采购</w:t>
            </w:r>
            <w:r>
              <w:rPr>
                <w:rFonts w:hint="eastAsia" w:ascii="宋体" w:hAnsi="宋体" w:cs="宋体"/>
                <w:color w:val="000000"/>
                <w:sz w:val="24"/>
                <w:highlight w:val="none"/>
              </w:rPr>
              <w:t xml:space="preserve">代理服务收费</w:t>
            </w:r>
            <w:r>
              <w:rPr>
                <w:rFonts w:hint="eastAsia" w:ascii="宋体" w:hAnsi="宋体" w:cs="宋体"/>
                <w:color w:val="000000"/>
                <w:sz w:val="24"/>
                <w:highlight w:val="none"/>
                <w:lang w:val="en-US" w:eastAsia="zh-CN"/>
              </w:rPr>
              <w:t xml:space="preserve">标准</w:t>
            </w:r>
            <w:r>
              <w:rPr>
                <w:rFonts w:hint="eastAsia" w:ascii="宋体" w:hAnsi="宋体" w:cs="宋体"/>
                <w:color w:val="000000"/>
                <w:sz w:val="24"/>
                <w:highlight w:val="none"/>
              </w:rPr>
              <w:t xml:space="preserve">按</w:t>
            </w:r>
            <w:r>
              <w:rPr>
                <w:rFonts w:hint="eastAsia" w:ascii="宋体" w:hAnsi="宋体" w:cs="宋体"/>
                <w:color w:val="000000"/>
                <w:sz w:val="24"/>
                <w:highlight w:val="none"/>
                <w:lang w:val="en-US" w:eastAsia="zh-CN"/>
              </w:rPr>
              <w:t xml:space="preserve">下表</w:t>
            </w:r>
            <w:r>
              <w:rPr>
                <w:rFonts w:hint="eastAsia" w:ascii="宋体" w:hAnsi="宋体" w:cs="宋体"/>
                <w:color w:val="000000"/>
                <w:sz w:val="24"/>
                <w:highlight w:val="none"/>
              </w:rPr>
              <w:t xml:space="preserve">差额定率累进法计算后的70%收取</w:t>
            </w:r>
            <w:r>
              <w:rPr>
                <w:rFonts w:hint="eastAsia" w:ascii="宋体" w:hAnsi="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tbl>
            <w:tblPr>
              <w:tblpPr w:horzAnchor="page" w:tblpX="95" w:vertAnchor="text" w:tblpY="456" w:leftFromText="180" w:topFromText="0" w:rightFromText="180" w:bottomFromText="0"/>
              <w:tblW w:w="6516"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258"/>
              <w:gridCol w:w="3258"/>
            </w:tblGrid>
            <w:tr>
              <w:trPr>
                <w:trHeight w:val="1774"/>
              </w:trPr>
              <w:tc>
                <w:tcPr>
                  <w:tcW w:w="3258" w:type="dxa"/>
                  <w:vAlign w:val="top"/>
                  <w:textDirection w:val="lrTb"/>
                  <w:noWrap w:val="false"/>
                </w:tcPr>
                <w:p>
                  <w:pPr>
                    <w:pStyle w:val="1299"/>
                    <w:spacing w:line="240" w:lineRule="auto"/>
                    <w:tabs>
                      <w:tab w:val="left" w:pos="567" w:leader="none"/>
                    </w:tabs>
                    <w:rPr>
                      <w:rFonts w:hint="eastAsia"/>
                      <w:color w:val="000000"/>
                      <w:highlight w:val="none"/>
                    </w:rPr>
                  </w:pPr>
                  <w:r>
                    <w:rPr>
                      <w:rFonts w:hint="eastAsia"/>
                      <w:color w:val="000000"/>
                      <w:highlight w:val="none"/>
                    </w:rPr>
                  </w:r>
                  <w:r/>
                </w:p>
                <w:p>
                  <w:pPr>
                    <w:pStyle w:val="1299"/>
                    <w:spacing w:line="240" w:lineRule="auto"/>
                    <w:tabs>
                      <w:tab w:val="left" w:pos="567" w:leader="none"/>
                    </w:tabs>
                    <w:rPr>
                      <w:rFonts w:hint="eastAsia" w:cs="宋体"/>
                      <w:color w:val="000000"/>
                      <w:highlight w:val="none"/>
                    </w:rPr>
                  </w:pPr>
                  <w:r>
                    <w:rPr>
                      <w:rFonts w:hint="eastAsia" w:cs="宋体"/>
                      <w:color w:val="000000"/>
                      <w:highlight w:val="none"/>
                    </w:rPr>
                  </w:r>
                  <w:r/>
                </w:p>
                <w:p>
                  <w:pPr>
                    <w:pStyle w:val="1299"/>
                    <w:spacing w:line="240" w:lineRule="auto"/>
                    <w:tabs>
                      <w:tab w:val="left" w:pos="567" w:leader="none"/>
                    </w:tabs>
                    <w:rPr>
                      <w:rFonts w:hint="eastAsia" w:cs="宋体"/>
                      <w:color w:val="000000"/>
                      <w:highlight w:val="none"/>
                    </w:rPr>
                  </w:pPr>
                  <w:r>
                    <w:rPr>
                      <w:rFonts w:hint="eastAsia" w:cs="宋体"/>
                      <w:color w:val="000000"/>
                      <w:highlight w:val="none"/>
                    </w:rPr>
                  </w:r>
                  <w:r/>
                </w:p>
                <w:p>
                  <w:pPr>
                    <w:pStyle w:val="1299"/>
                    <w:spacing w:line="240" w:lineRule="auto"/>
                    <w:tabs>
                      <w:tab w:val="left" w:pos="567" w:leader="none"/>
                    </w:tabs>
                    <w:rPr>
                      <w:rFonts w:hint="eastAsia"/>
                      <w:color w:val="000000"/>
                      <w:highlight w:val="none"/>
                    </w:rPr>
                  </w:pPr>
                  <w:r>
                    <w:rPr>
                      <w:rFonts w:hint="eastAsia" w:cs="宋体"/>
                      <w:color w:val="000000"/>
                      <w:highlight w:val="none"/>
                    </w:rPr>
                    <w:t xml:space="preserve">中标金额（万元）</w:t>
                  </w:r>
                  <w:r>
                    <w:rPr>
                      <w:rFonts w:hint="eastAsia"/>
                      <w:color w:val="000000"/>
                      <w:highlight w:val="none"/>
                    </w:rPr>
                  </w:r>
                  <w:r/>
                </w:p>
                <w:p>
                  <w:pPr>
                    <w:pStyle w:val="1299"/>
                    <w:spacing w:line="240" w:lineRule="auto"/>
                    <w:tabs>
                      <w:tab w:val="left" w:pos="567" w:leader="none"/>
                    </w:tabs>
                    <w:rPr>
                      <w:rFonts w:hint="eastAsia"/>
                      <w:color w:val="000000"/>
                      <w:highlight w:val="none"/>
                    </w:rPr>
                  </w:pPr>
                  <w:r>
                    <w:rPr>
                      <w:rFonts w:hint="eastAsia"/>
                      <w:color w:val="000000"/>
                      <w:highlight w:val="none"/>
                    </w:rPr>
                  </w:r>
                  <w:r/>
                </w:p>
                <w:p>
                  <w:pPr>
                    <w:pStyle w:val="1299"/>
                    <w:spacing w:line="240" w:lineRule="auto"/>
                    <w:tabs>
                      <w:tab w:val="left" w:pos="567" w:leader="none"/>
                    </w:tabs>
                    <w:rPr>
                      <w:rFonts w:hint="eastAsia"/>
                      <w:color w:val="000000"/>
                      <w:highlight w:val="none"/>
                    </w:rPr>
                  </w:pPr>
                  <w:r>
                    <w:rPr>
                      <w:rFonts w:hint="eastAsia"/>
                      <w:color w:val="000000"/>
                      <w:highlight w:val="none"/>
                    </w:rPr>
                  </w:r>
                  <w:r/>
                </w:p>
                <w:p>
                  <w:pPr>
                    <w:pStyle w:val="1299"/>
                    <w:tabs>
                      <w:tab w:val="left" w:pos="567" w:leader="none"/>
                    </w:tabs>
                    <w:rPr>
                      <w:color w:val="000000"/>
                      <w:highlight w:val="none"/>
                    </w:rPr>
                  </w:pPr>
                  <w:r>
                    <w:rPr>
                      <w:rFonts w:hint="eastAsia"/>
                      <w:color w:val="000000"/>
                      <w:highlight w:val="none"/>
                    </w:rPr>
                    <w:t xml:space="preserve">               费率</w:t>
                  </w:r>
                  <w:r>
                    <w:rPr>
                      <w:color w:val="000000"/>
                      <w:highlight w:val="none"/>
                    </w:rPr>
                  </w:r>
                  <w:r/>
                </w:p>
              </w:tc>
              <w:tc>
                <w:tcPr>
                  <w:tcW w:w="3258" w:type="dxa"/>
                  <w:vAlign w:val="center"/>
                  <w:textDirection w:val="lrTb"/>
                  <w:noWrap w:val="false"/>
                </w:tcPr>
                <w:p>
                  <w:pPr>
                    <w:pStyle w:val="1299"/>
                    <w:jc w:val="center"/>
                    <w:tabs>
                      <w:tab w:val="left" w:pos="567" w:leader="none"/>
                    </w:tabs>
                    <w:rPr>
                      <w:rFonts w:hint="eastAsia"/>
                      <w:color w:val="000000"/>
                      <w:highlight w:val="none"/>
                    </w:rPr>
                  </w:pPr>
                  <w:r>
                    <w:rPr>
                      <w:rFonts w:hint="eastAsia"/>
                      <w:color w:val="000000"/>
                      <w:highlight w:val="none"/>
                    </w:rPr>
                    <w:t xml:space="preserve">工程</w:t>
                  </w:r>
                  <w:r>
                    <w:rPr>
                      <w:rFonts w:hint="eastAsia"/>
                      <w:color w:val="000000"/>
                      <w:highlight w:val="none"/>
                    </w:rPr>
                  </w:r>
                  <w:r/>
                </w:p>
              </w:tc>
            </w:tr>
            <w:tr>
              <w:trPr/>
              <w:tc>
                <w:tcPr>
                  <w:tcW w:w="3258" w:type="dxa"/>
                  <w:vAlign w:val="top"/>
                  <w:textDirection w:val="lrTb"/>
                  <w:noWrap w:val="false"/>
                </w:tcPr>
                <w:p>
                  <w:pPr>
                    <w:pStyle w:val="1299"/>
                    <w:jc w:val="center"/>
                    <w:tabs>
                      <w:tab w:val="left" w:pos="567" w:leader="none"/>
                    </w:tabs>
                    <w:rPr>
                      <w:color w:val="000000"/>
                      <w:highlight w:val="none"/>
                    </w:rPr>
                  </w:pPr>
                  <w:r>
                    <w:rPr>
                      <w:rFonts w:hint="eastAsia"/>
                      <w:color w:val="000000"/>
                      <w:highlight w:val="none"/>
                    </w:rPr>
                    <w:t xml:space="preserve">100万元以下</w:t>
                  </w:r>
                  <w:r>
                    <w:rPr>
                      <w:color w:val="000000"/>
                      <w:highlight w:val="none"/>
                    </w:rPr>
                  </w:r>
                  <w:r/>
                </w:p>
              </w:tc>
              <w:tc>
                <w:tcPr>
                  <w:tcW w:w="3258" w:type="dxa"/>
                  <w:vAlign w:val="top"/>
                  <w:textDirection w:val="lrTb"/>
                  <w:noWrap w:val="false"/>
                </w:tcPr>
                <w:p>
                  <w:pPr>
                    <w:pStyle w:val="1299"/>
                    <w:jc w:val="center"/>
                    <w:tabs>
                      <w:tab w:val="left" w:pos="567" w:leader="none"/>
                    </w:tabs>
                    <w:rPr>
                      <w:rFonts w:hint="eastAsia"/>
                      <w:color w:val="000000"/>
                      <w:highlight w:val="none"/>
                    </w:rPr>
                  </w:pPr>
                  <w:r>
                    <w:rPr>
                      <w:rFonts w:hint="eastAsia" w:cs="宋体"/>
                      <w:color w:val="000000"/>
                      <w:highlight w:val="none"/>
                    </w:rPr>
                    <w:t xml:space="preserve">1.00%</w:t>
                  </w:r>
                  <w:r>
                    <w:rPr>
                      <w:rFonts w:hint="eastAsia"/>
                      <w:color w:val="000000"/>
                      <w:highlight w:val="none"/>
                    </w:rPr>
                  </w:r>
                  <w:r/>
                </w:p>
              </w:tc>
            </w:tr>
            <w:tr>
              <w:trPr/>
              <w:tc>
                <w:tcPr>
                  <w:tcW w:w="3258" w:type="dxa"/>
                  <w:vAlign w:val="top"/>
                  <w:textDirection w:val="lrTb"/>
                  <w:noWrap w:val="false"/>
                </w:tcPr>
                <w:p>
                  <w:pPr>
                    <w:pStyle w:val="1299"/>
                    <w:jc w:val="center"/>
                    <w:tabs>
                      <w:tab w:val="left" w:pos="567" w:leader="none"/>
                    </w:tabs>
                    <w:rPr>
                      <w:color w:val="000000"/>
                      <w:highlight w:val="none"/>
                    </w:rPr>
                  </w:pPr>
                  <w:r>
                    <w:rPr>
                      <w:rFonts w:hint="eastAsia"/>
                      <w:color w:val="000000"/>
                      <w:highlight w:val="none"/>
                    </w:rPr>
                    <w:t xml:space="preserve">100-500</w:t>
                  </w:r>
                  <w:r>
                    <w:rPr>
                      <w:color w:val="000000"/>
                      <w:highlight w:val="none"/>
                    </w:rPr>
                  </w:r>
                  <w:r/>
                </w:p>
              </w:tc>
              <w:tc>
                <w:tcPr>
                  <w:tcW w:w="3258" w:type="dxa"/>
                  <w:vAlign w:val="top"/>
                  <w:textDirection w:val="lrTb"/>
                  <w:noWrap w:val="false"/>
                </w:tcPr>
                <w:p>
                  <w:pPr>
                    <w:pStyle w:val="1299"/>
                    <w:jc w:val="center"/>
                    <w:tabs>
                      <w:tab w:val="left" w:pos="567" w:leader="none"/>
                    </w:tabs>
                    <w:rPr>
                      <w:rFonts w:hint="eastAsia"/>
                      <w:color w:val="000000"/>
                      <w:highlight w:val="none"/>
                    </w:rPr>
                  </w:pPr>
                  <w:r>
                    <w:rPr>
                      <w:rFonts w:hint="eastAsia" w:cs="宋体"/>
                      <w:color w:val="000000"/>
                      <w:highlight w:val="none"/>
                    </w:rPr>
                    <w:t xml:space="preserve">0.70%</w:t>
                  </w:r>
                  <w:r>
                    <w:rPr>
                      <w:rFonts w:hint="eastAsia"/>
                      <w:color w:val="000000"/>
                      <w:highlight w:val="none"/>
                    </w:rPr>
                  </w:r>
                  <w:r/>
                </w:p>
              </w:tc>
            </w:tr>
          </w:tbl>
          <w:p>
            <w:pPr>
              <w:pStyle w:val="1299"/>
              <w:tabs>
                <w:tab w:val="left" w:pos="567" w:leader="none"/>
              </w:tabs>
              <w:rPr>
                <w:rFonts w:hint="eastAsia"/>
                <w:color w:val="000000"/>
                <w:highlight w:val="none"/>
              </w:rPr>
            </w:pPr>
            <w:r>
              <w:rPr>
                <w:rFonts w:hint="eastAsia"/>
                <w:color w:val="000000"/>
                <w:highlight w:val="none"/>
              </w:rPr>
            </w:r>
            <w:r/>
          </w:p>
          <w:p>
            <w:pPr>
              <w:pStyle w:val="1288"/>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（3）上述计算方法不足人民币3000元的，按人民币3000元收取。</w:t>
            </w:r>
            <w:r>
              <w:rPr>
                <w:rFonts w:hint="eastAsia" w:ascii="宋体" w:hAnsi="宋体" w:cs="宋体"/>
                <w:color w:val="000000"/>
                <w:sz w:val="24"/>
                <w:highlight w:val="none"/>
              </w:rPr>
            </w:r>
            <w:r/>
          </w:p>
          <w:p>
            <w:pPr>
              <w:pStyle w:val="1288"/>
              <w:spacing w:line="360" w:lineRule="auto"/>
              <w:tabs>
                <w:tab w:val="left" w:pos="510" w:leader="none"/>
                <w:tab w:val="left" w:pos="735" w:leader="none"/>
                <w:tab w:val="left" w:pos="945" w:leader="none"/>
                <w:tab w:val="left" w:pos="1129" w:leader="none"/>
                <w:tab w:val="left" w:pos="1155"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2.采购结束，采购代理机构向采购人递交全部采购资料后1</w:t>
            </w:r>
            <w:r>
              <w:rPr>
                <w:rFonts w:ascii="宋体" w:hAnsi="宋体" w:cs="宋体"/>
                <w:bCs/>
                <w:color w:val="000000"/>
                <w:sz w:val="24"/>
                <w:highlight w:val="none"/>
              </w:rPr>
              <w:t xml:space="preserve">0</w:t>
            </w:r>
            <w:r>
              <w:rPr>
                <w:rFonts w:hint="eastAsia" w:ascii="宋体" w:hAnsi="宋体" w:cs="宋体"/>
                <w:bCs/>
                <w:color w:val="000000"/>
                <w:sz w:val="24"/>
                <w:highlight w:val="none"/>
              </w:rPr>
              <w:t xml:space="preserve">个工作日内，采购人</w:t>
            </w:r>
            <w:r>
              <w:rPr>
                <w:rFonts w:hint="eastAsia" w:ascii="宋体" w:hAnsi="宋体" w:cs="宋体"/>
                <w:color w:val="000000"/>
                <w:sz w:val="24"/>
                <w:highlight w:val="none"/>
              </w:rPr>
              <w:t xml:space="preserve">将代理服务费付至采购代理机构收费账户。</w:t>
            </w:r>
            <w:r>
              <w:rPr>
                <w:rFonts w:hint="eastAsia" w:ascii="宋体" w:hAnsi="宋体" w:cs="宋体"/>
                <w:bCs/>
                <w:color w:val="000000"/>
                <w:sz w:val="24"/>
                <w:highlight w:val="none"/>
              </w:rPr>
            </w:r>
            <w:r/>
          </w:p>
          <w:p>
            <w:pPr>
              <w:pStyle w:val="1288"/>
              <w:spacing w:line="360" w:lineRule="auto"/>
              <w:tabs>
                <w:tab w:val="left" w:pos="510" w:leader="none"/>
                <w:tab w:val="left" w:pos="735" w:leader="none"/>
                <w:tab w:val="left" w:pos="945" w:leader="none"/>
                <w:tab w:val="left" w:pos="1129" w:leader="none"/>
                <w:tab w:val="left" w:pos="1155"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3.公司账户信息</w:t>
            </w:r>
            <w:r>
              <w:rPr>
                <w:rFonts w:hint="eastAsia" w:ascii="宋体" w:hAnsi="宋体" w:cs="宋体"/>
                <w:bCs/>
                <w:color w:val="000000"/>
                <w:sz w:val="24"/>
                <w:highlight w:val="none"/>
              </w:rPr>
            </w:r>
            <w:r/>
          </w:p>
          <w:p>
            <w:pPr>
              <w:pStyle w:val="1288"/>
              <w:spacing w:line="360" w:lineRule="auto"/>
              <w:tabs>
                <w:tab w:val="left" w:pos="510" w:leader="none"/>
                <w:tab w:val="left" w:pos="735" w:leader="none"/>
                <w:tab w:val="left" w:pos="945" w:leader="none"/>
                <w:tab w:val="left" w:pos="1129" w:leader="none"/>
                <w:tab w:val="left" w:pos="1155"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单位名称：常州中采招投标有限公司</w:t>
            </w:r>
            <w:r>
              <w:rPr>
                <w:rFonts w:hint="eastAsia" w:ascii="宋体" w:hAnsi="宋体" w:cs="宋体"/>
                <w:bCs/>
                <w:color w:val="000000"/>
                <w:sz w:val="24"/>
                <w:highlight w:val="none"/>
              </w:rPr>
            </w:r>
            <w:r/>
          </w:p>
          <w:p>
            <w:pPr>
              <w:pStyle w:val="1288"/>
              <w:spacing w:line="360" w:lineRule="auto"/>
              <w:tabs>
                <w:tab w:val="left" w:pos="510" w:leader="none"/>
                <w:tab w:val="left" w:pos="735" w:leader="none"/>
                <w:tab w:val="left" w:pos="945" w:leader="none"/>
                <w:tab w:val="left" w:pos="1129" w:leader="none"/>
                <w:tab w:val="left" w:pos="1155"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账  号：32050162970100001741</w:t>
            </w:r>
            <w:r>
              <w:rPr>
                <w:rFonts w:hint="eastAsia" w:ascii="宋体" w:hAnsi="宋体" w:cs="宋体"/>
                <w:bCs/>
                <w:color w:val="000000"/>
                <w:sz w:val="24"/>
                <w:highlight w:val="none"/>
              </w:rPr>
            </w:r>
            <w:r/>
          </w:p>
          <w:p>
            <w:pPr>
              <w:pStyle w:val="1288"/>
              <w:spacing w:line="360" w:lineRule="auto"/>
              <w:tabs>
                <w:tab w:val="left" w:pos="510" w:leader="none"/>
                <w:tab w:val="left" w:pos="735" w:leader="none"/>
                <w:tab w:val="left" w:pos="945" w:leader="none"/>
                <w:tab w:val="left" w:pos="1129" w:leader="none"/>
                <w:tab w:val="left" w:pos="1155"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开户行：建行常州惠民支行</w:t>
            </w:r>
            <w:r>
              <w:rPr>
                <w:rFonts w:hint="eastAsia" w:ascii="宋体" w:hAnsi="宋体" w:cs="宋体"/>
                <w:bCs/>
                <w:color w:val="000000"/>
                <w:sz w:val="24"/>
                <w:highlight w:val="none"/>
              </w:rPr>
            </w:r>
            <w:r/>
          </w:p>
        </w:tc>
      </w:tr>
    </w:tbl>
    <w:p>
      <w:pPr>
        <w:pStyle w:val="1288"/>
        <w:jc w:val="both"/>
        <w:spacing w:line="360" w:lineRule="auto"/>
        <w:tabs>
          <w:tab w:val="left" w:pos="5580" w:leader="none"/>
        </w:tabs>
        <w:rPr>
          <w:color w:val="000000"/>
          <w:sz w:val="24"/>
          <w:highlight w:val="none"/>
        </w:rPr>
        <w:sectPr>
          <w:footerReference w:type="default" r:id="rId15"/>
          <w:footerReference w:type="first" r:id="rId16"/>
          <w:footnotePr/>
          <w:endnotePr/>
          <w:type w:val="nextPage"/>
          <w:pgSz w:w="11907" w:h="16840" w:orient="portrait"/>
          <w:pgMar w:top="1418" w:right="1559" w:bottom="1418" w:left="1701" w:header="851" w:footer="851" w:gutter="0"/>
          <w:pgNumType w:start="1"/>
          <w:cols w:num="1" w:sep="0" w:space="1701" w:equalWidth="1"/>
          <w:docGrid w:linePitch="360"/>
          <w:titlePg/>
        </w:sectPr>
      </w:pPr>
      <w:r>
        <w:rPr>
          <w:color w:val="000000"/>
          <w:sz w:val="24"/>
          <w:highlight w:val="none"/>
        </w:rPr>
      </w:r>
      <w:r/>
    </w:p>
    <w:p>
      <w:pPr>
        <w:pStyle w:val="1288"/>
        <w:jc w:val="center"/>
        <w:spacing w:before="240" w:after="240"/>
        <w:rPr>
          <w:b/>
          <w:color w:val="000000"/>
          <w:sz w:val="28"/>
          <w:szCs w:val="28"/>
          <w:highlight w:val="none"/>
        </w:rPr>
      </w:pPr>
      <w:r/>
      <w:bookmarkStart w:id="73" w:name="_Toc127151517"/>
      <w:r/>
      <w:bookmarkStart w:id="74" w:name="_Toc195842882"/>
      <w:r/>
      <w:bookmarkStart w:id="75" w:name="_Toc305158785"/>
      <w:r/>
      <w:bookmarkStart w:id="76" w:name="_Toc142311019"/>
      <w:r/>
      <w:bookmarkStart w:id="77" w:name="_Toc305158859"/>
      <w:r/>
      <w:bookmarkStart w:id="78" w:name="_Toc353873932"/>
      <w:r/>
      <w:bookmarkStart w:id="79" w:name="_Toc353825542"/>
      <w:r/>
      <w:bookmarkStart w:id="80" w:name="_Toc226337213"/>
      <w:r/>
      <w:bookmarkStart w:id="81" w:name="_Toc150480755"/>
      <w:r/>
      <w:bookmarkStart w:id="82" w:name="_Toc226965790"/>
      <w:r/>
      <w:bookmarkStart w:id="83" w:name="_Toc150774722"/>
      <w:r/>
      <w:bookmarkStart w:id="84" w:name="_Toc353873662"/>
      <w:r/>
      <w:bookmarkStart w:id="85" w:name="_Toc264969207"/>
      <w:r/>
      <w:bookmarkStart w:id="86" w:name="_Toc265228355"/>
      <w:r>
        <w:rPr>
          <w:b/>
          <w:color w:val="000000"/>
          <w:sz w:val="28"/>
          <w:szCs w:val="28"/>
          <w:highlight w:val="none"/>
        </w:rPr>
        <w:t xml:space="preserve">供应商须知</w:t>
      </w:r>
      <w:bookmarkEnd w:id="73"/>
      <w:r/>
      <w:bookmarkEnd w:id="74"/>
      <w:r/>
      <w:bookmarkEnd w:id="75"/>
      <w:r/>
      <w:bookmarkEnd w:id="76"/>
      <w:r/>
      <w:bookmarkEnd w:id="77"/>
      <w:r/>
      <w:bookmarkEnd w:id="78"/>
      <w:r/>
      <w:bookmarkEnd w:id="79"/>
      <w:r/>
      <w:bookmarkEnd w:id="80"/>
      <w:r/>
      <w:bookmarkEnd w:id="81"/>
      <w:r/>
      <w:bookmarkEnd w:id="82"/>
      <w:r/>
      <w:bookmarkEnd w:id="83"/>
      <w:r/>
      <w:bookmarkEnd w:id="84"/>
      <w:r/>
      <w:bookmarkEnd w:id="85"/>
      <w:r/>
      <w:bookmarkEnd w:id="86"/>
      <w:r>
        <w:rPr>
          <w:b/>
          <w:color w:val="000000"/>
          <w:sz w:val="28"/>
          <w:szCs w:val="28"/>
          <w:highlight w:val="none"/>
        </w:rPr>
      </w:r>
      <w:r/>
    </w:p>
    <w:p>
      <w:pPr>
        <w:pStyle w:val="1290"/>
        <w:jc w:val="left"/>
        <w:spacing w:before="0" w:line="360" w:lineRule="auto"/>
        <w:tabs>
          <w:tab w:val="center" w:pos="4592" w:leader="none"/>
          <w:tab w:val="left" w:pos="7860" w:leader="none"/>
        </w:tabs>
        <w:rPr>
          <w:rFonts w:ascii="Times New Roman" w:hAnsi="Times New Roman" w:eastAsia="宋体"/>
          <w:color w:val="000000"/>
          <w:sz w:val="28"/>
          <w:highlight w:val="none"/>
        </w:rPr>
      </w:pPr>
      <w:r/>
      <w:bookmarkStart w:id="87" w:name="_Toc520356143"/>
      <w:r/>
      <w:bookmarkStart w:id="88" w:name="_Toc127151518"/>
      <w:r>
        <w:rPr>
          <w:rFonts w:ascii="Times New Roman" w:hAnsi="Times New Roman" w:eastAsia="宋体"/>
          <w:color w:val="000000"/>
          <w:sz w:val="28"/>
          <w:highlight w:val="none"/>
        </w:rPr>
        <w:tab/>
      </w:r>
      <w:bookmarkStart w:id="89" w:name="_Toc305158860"/>
      <w:r/>
      <w:bookmarkStart w:id="90" w:name="_Toc151193616"/>
      <w:r/>
      <w:bookmarkStart w:id="91" w:name="_Toc195842883"/>
      <w:r/>
      <w:bookmarkStart w:id="92" w:name="_Toc151193688"/>
      <w:r/>
      <w:bookmarkStart w:id="93" w:name="_Toc150774618"/>
      <w:r/>
      <w:bookmarkStart w:id="94" w:name="_Toc226965791"/>
      <w:r/>
      <w:bookmarkStart w:id="95" w:name="_Toc150509269"/>
      <w:r/>
      <w:bookmarkStart w:id="96" w:name="_Toc151190145"/>
      <w:r/>
      <w:bookmarkStart w:id="97" w:name="_Toc151193906"/>
      <w:r/>
      <w:bookmarkStart w:id="98" w:name="_Toc150774723"/>
      <w:r/>
      <w:bookmarkStart w:id="99" w:name="_Toc151193760"/>
      <w:r/>
      <w:bookmarkStart w:id="100" w:name="_Toc264969208"/>
      <w:r/>
      <w:bookmarkStart w:id="101" w:name="_Toc142311020"/>
      <w:r/>
      <w:bookmarkStart w:id="102" w:name="_Toc151193832"/>
      <w:r/>
      <w:bookmarkStart w:id="103" w:name="_Toc226309762"/>
      <w:r/>
      <w:bookmarkStart w:id="104" w:name="_Toc265228356"/>
      <w:r/>
      <w:bookmarkStart w:id="105" w:name="_Toc150480756"/>
      <w:r/>
      <w:bookmarkStart w:id="106" w:name="_Toc305158786"/>
      <w:r/>
      <w:bookmarkStart w:id="107" w:name="_Toc226337214"/>
      <w:r/>
      <w:bookmarkStart w:id="108" w:name="_Toc226965708"/>
      <w:r>
        <w:rPr>
          <w:rFonts w:ascii="Times New Roman" w:hAnsi="Times New Roman" w:eastAsia="宋体"/>
          <w:color w:val="000000"/>
          <w:sz w:val="28"/>
          <w:highlight w:val="none"/>
        </w:rPr>
        <w:t xml:space="preserve">一   说  明</w:t>
      </w:r>
      <w:bookmarkEnd w:id="87"/>
      <w:r/>
      <w:bookmarkEnd w:id="88"/>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rPr>
          <w:rFonts w:ascii="Times New Roman" w:hAnsi="Times New Roman" w:eastAsia="宋体"/>
          <w:color w:val="000000"/>
          <w:sz w:val="28"/>
          <w:highlight w:val="none"/>
        </w:rPr>
        <w:tab/>
      </w:r>
      <w:r>
        <w:rPr>
          <w:rFonts w:ascii="Times New Roman" w:hAnsi="Times New Roman" w:eastAsia="宋体"/>
          <w:color w:val="000000"/>
          <w:sz w:val="28"/>
          <w:highlight w:val="none"/>
        </w:rPr>
      </w:r>
      <w:r/>
    </w:p>
    <w:p>
      <w:pPr>
        <w:pStyle w:val="1288"/>
        <w:numPr>
          <w:ilvl w:val="0"/>
          <w:numId w:val="2"/>
        </w:numPr>
        <w:ind w:left="357" w:hanging="357"/>
        <w:spacing w:line="360" w:lineRule="auto"/>
        <w:tabs>
          <w:tab w:val="left" w:pos="360" w:leader="none"/>
        </w:tabs>
        <w:rPr>
          <w:color w:val="000000"/>
          <w:sz w:val="24"/>
          <w:highlight w:val="none"/>
        </w:rPr>
        <w:outlineLvl w:val="1"/>
      </w:pPr>
      <w:r/>
      <w:bookmarkStart w:id="109" w:name="_Toc264969209"/>
      <w:r/>
      <w:bookmarkStart w:id="110" w:name="_Toc305158787"/>
      <w:r/>
      <w:bookmarkStart w:id="111" w:name="_Toc265228357"/>
      <w:r/>
      <w:bookmarkStart w:id="112" w:name="_Toc305158861"/>
      <w:r>
        <w:rPr>
          <w:color w:val="000000"/>
          <w:sz w:val="24"/>
          <w:highlight w:val="none"/>
        </w:rPr>
        <w:t xml:space="preserve">采购人、采购代理机构、供应商（申请人）</w:t>
      </w:r>
      <w:bookmarkEnd w:id="109"/>
      <w:r/>
      <w:bookmarkEnd w:id="110"/>
      <w:r/>
      <w:bookmarkEnd w:id="111"/>
      <w:r/>
      <w:bookmarkEnd w:id="112"/>
      <w:r>
        <w:rPr>
          <w:color w:val="000000"/>
          <w:sz w:val="24"/>
          <w:highlight w:val="none"/>
        </w:rPr>
        <w:t xml:space="preserve">、联合体</w:t>
      </w:r>
      <w:r>
        <w:rPr>
          <w:color w:val="000000"/>
          <w:sz w:val="24"/>
          <w:highlight w:val="none"/>
        </w:rPr>
      </w:r>
      <w:r/>
    </w:p>
    <w:p>
      <w:pPr>
        <w:pStyle w:val="1288"/>
        <w:numPr>
          <w:ilvl w:val="1"/>
          <w:numId w:val="2"/>
        </w:numPr>
        <w:ind w:left="1080" w:hanging="720"/>
        <w:spacing w:line="360" w:lineRule="auto"/>
        <w:tabs>
          <w:tab w:val="left" w:pos="1080" w:leader="none"/>
          <w:tab w:val="left" w:pos="1447" w:leader="none"/>
          <w:tab w:val="left" w:pos="1589" w:leader="none"/>
          <w:tab w:val="left" w:pos="2014" w:leader="none"/>
          <w:tab w:val="left" w:pos="5521" w:leader="none"/>
        </w:tabs>
        <w:rPr>
          <w:color w:val="000000"/>
          <w:sz w:val="24"/>
          <w:highlight w:val="none"/>
        </w:rPr>
      </w:pPr>
      <w:r>
        <w:rPr>
          <w:color w:val="000000"/>
          <w:sz w:val="24"/>
          <w:highlight w:val="none"/>
        </w:rPr>
        <w:t xml:space="preserve">采购人、采购代理机构：指依法进行政府采购的国家机关、事业单位、团体组织，及其委托的采购代理机构。本项目采购人、采购代理机构见第一章《采购邀请》。</w:t>
      </w:r>
      <w:r>
        <w:rPr>
          <w:color w:val="000000"/>
          <w:sz w:val="24"/>
          <w:highlight w:val="none"/>
        </w:rPr>
      </w:r>
      <w:r/>
    </w:p>
    <w:p>
      <w:pPr>
        <w:pStyle w:val="1288"/>
        <w:numPr>
          <w:ilvl w:val="1"/>
          <w:numId w:val="2"/>
        </w:numPr>
        <w:ind w:left="1080" w:hanging="720"/>
        <w:spacing w:line="360" w:lineRule="auto"/>
        <w:tabs>
          <w:tab w:val="left" w:pos="1080" w:leader="none"/>
          <w:tab w:val="left" w:pos="1447" w:leader="none"/>
          <w:tab w:val="left" w:pos="1589" w:leader="none"/>
          <w:tab w:val="left" w:pos="2014" w:leader="none"/>
          <w:tab w:val="left" w:pos="5521" w:leader="none"/>
        </w:tabs>
        <w:rPr>
          <w:color w:val="000000"/>
          <w:sz w:val="24"/>
          <w:highlight w:val="none"/>
        </w:rPr>
      </w:pPr>
      <w:r>
        <w:rPr>
          <w:color w:val="000000"/>
          <w:sz w:val="24"/>
          <w:highlight w:val="none"/>
        </w:rPr>
        <w:t xml:space="preserve">供应商（也称“申请人”）：指向采购人提供货物、工程或者服务的法人、其他组织或者自然人。</w:t>
      </w:r>
      <w:r>
        <w:rPr>
          <w:color w:val="000000"/>
          <w:sz w:val="24"/>
          <w:highlight w:val="none"/>
        </w:rPr>
      </w:r>
      <w:r/>
    </w:p>
    <w:p>
      <w:pPr>
        <w:pStyle w:val="1288"/>
        <w:numPr>
          <w:ilvl w:val="1"/>
          <w:numId w:val="2"/>
        </w:numPr>
        <w:ind w:left="1080" w:hanging="720"/>
        <w:spacing w:line="360" w:lineRule="auto"/>
        <w:tabs>
          <w:tab w:val="left" w:pos="1080" w:leader="none"/>
          <w:tab w:val="left" w:pos="1447" w:leader="none"/>
          <w:tab w:val="left" w:pos="1589" w:leader="none"/>
          <w:tab w:val="left" w:pos="2014" w:leader="none"/>
          <w:tab w:val="left" w:pos="5521" w:leader="none"/>
        </w:tabs>
        <w:rPr>
          <w:color w:val="000000"/>
          <w:sz w:val="24"/>
          <w:highlight w:val="none"/>
        </w:rPr>
      </w:pPr>
      <w:r>
        <w:rPr>
          <w:color w:val="000000"/>
          <w:sz w:val="24"/>
          <w:highlight w:val="none"/>
        </w:rPr>
        <w:t xml:space="preserve">联合体：指两个以上的自然人、法人或者其他组织组成一个联合体，以一个供应商的身份共同参加政府采购。</w:t>
      </w:r>
      <w:r>
        <w:rPr>
          <w:color w:val="000000"/>
          <w:sz w:val="24"/>
          <w:highlight w:val="none"/>
        </w:rPr>
      </w:r>
      <w:r/>
    </w:p>
    <w:p>
      <w:pPr>
        <w:pStyle w:val="1288"/>
        <w:numPr>
          <w:ilvl w:val="0"/>
          <w:numId w:val="2"/>
        </w:numPr>
        <w:ind w:left="357" w:hanging="357"/>
        <w:spacing w:line="360" w:lineRule="auto"/>
        <w:tabs>
          <w:tab w:val="left" w:pos="360" w:leader="none"/>
        </w:tabs>
        <w:rPr>
          <w:color w:val="000000"/>
          <w:sz w:val="24"/>
          <w:highlight w:val="none"/>
        </w:rPr>
        <w:outlineLvl w:val="1"/>
      </w:pPr>
      <w:r/>
      <w:bookmarkStart w:id="113" w:name="_Toc151193834"/>
      <w:r/>
      <w:bookmarkStart w:id="114" w:name="_Toc164229361"/>
      <w:r/>
      <w:bookmarkStart w:id="115" w:name="_Toc226965793"/>
      <w:r/>
      <w:bookmarkStart w:id="116" w:name="_Toc151193690"/>
      <w:r/>
      <w:bookmarkStart w:id="117" w:name="_Toc226965710"/>
      <w:r/>
      <w:bookmarkStart w:id="118" w:name="_Toc305158862"/>
      <w:r/>
      <w:bookmarkStart w:id="119" w:name="_Toc150774725"/>
      <w:r/>
      <w:bookmarkStart w:id="120" w:name="_Toc150774620"/>
      <w:r/>
      <w:bookmarkStart w:id="121" w:name="_Toc195842885"/>
      <w:r/>
      <w:bookmarkStart w:id="122" w:name="_Toc127161434"/>
      <w:r/>
      <w:bookmarkStart w:id="123" w:name="_Toc151193762"/>
      <w:r/>
      <w:bookmarkStart w:id="124" w:name="_Toc127151721"/>
      <w:r/>
      <w:bookmarkStart w:id="125" w:name="_Toc150480758"/>
      <w:r/>
      <w:bookmarkStart w:id="126" w:name="_Toc265228358"/>
      <w:r/>
      <w:bookmarkStart w:id="127" w:name="_Toc164608634"/>
      <w:r/>
      <w:bookmarkStart w:id="128" w:name="_Toc151190147"/>
      <w:r/>
      <w:bookmarkStart w:id="129" w:name="_Toc142311022"/>
      <w:r/>
      <w:bookmarkStart w:id="130" w:name="_Toc150509271"/>
      <w:r/>
      <w:bookmarkStart w:id="131" w:name="_Toc226337216"/>
      <w:r/>
      <w:bookmarkStart w:id="132" w:name="_Toc164351614"/>
      <w:r/>
      <w:bookmarkStart w:id="133" w:name="_Toc164608789"/>
      <w:r/>
      <w:bookmarkStart w:id="134" w:name="_Toc127151520"/>
      <w:r/>
      <w:bookmarkStart w:id="135" w:name="_Toc305158788"/>
      <w:r/>
      <w:bookmarkStart w:id="136" w:name="_Toc151193908"/>
      <w:r/>
      <w:bookmarkStart w:id="137" w:name="_Toc151193618"/>
      <w:r/>
      <w:bookmarkStart w:id="138" w:name="_Toc164229215"/>
      <w:r/>
      <w:bookmarkStart w:id="139" w:name="_Toc149720813"/>
      <w:r/>
      <w:bookmarkStart w:id="140" w:name="_Toc264969210"/>
      <w:r/>
      <w:bookmarkStart w:id="141" w:name="_Toc226309764"/>
      <w:r>
        <w:rPr>
          <w:color w:val="000000"/>
          <w:sz w:val="24"/>
          <w:highlight w:val="none"/>
        </w:rPr>
        <w:t xml:space="preserve">资金来源</w:t>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rPr>
          <w:color w:val="000000"/>
          <w:sz w:val="24"/>
          <w:highlight w:val="none"/>
        </w:rPr>
        <w:t xml:space="preserve">、科研仪器设备采购</w:t>
      </w:r>
      <w:r>
        <w:rPr>
          <w:color w:val="000000"/>
          <w:sz w:val="24"/>
          <w:highlight w:val="none"/>
        </w:rPr>
      </w:r>
      <w:r/>
    </w:p>
    <w:p>
      <w:pPr>
        <w:pStyle w:val="1288"/>
        <w:numPr>
          <w:ilvl w:val="1"/>
          <w:numId w:val="2"/>
        </w:numPr>
        <w:ind w:left="1080" w:hanging="720"/>
        <w:spacing w:line="360" w:lineRule="auto"/>
        <w:tabs>
          <w:tab w:val="left" w:pos="1080" w:leader="none"/>
          <w:tab w:val="left" w:pos="1447" w:leader="none"/>
          <w:tab w:val="left" w:pos="1589" w:leader="none"/>
          <w:tab w:val="left" w:pos="2014" w:leader="none"/>
        </w:tabs>
        <w:rPr>
          <w:color w:val="000000"/>
          <w:sz w:val="24"/>
          <w:highlight w:val="none"/>
        </w:rPr>
      </w:pPr>
      <w:r>
        <w:rPr>
          <w:color w:val="000000"/>
          <w:sz w:val="24"/>
          <w:highlight w:val="none"/>
        </w:rPr>
        <w:t xml:space="preserve">资金来源为财政性资金和/或本项目采购中无法与财政性资金分割的非财政性资金。</w:t>
      </w:r>
      <w:r>
        <w:rPr>
          <w:color w:val="000000"/>
          <w:sz w:val="24"/>
          <w:highlight w:val="none"/>
        </w:rPr>
      </w:r>
      <w:r/>
    </w:p>
    <w:p>
      <w:pPr>
        <w:pStyle w:val="1288"/>
        <w:numPr>
          <w:ilvl w:val="1"/>
          <w:numId w:val="2"/>
        </w:numPr>
        <w:ind w:left="1080" w:hanging="720"/>
        <w:spacing w:line="360" w:lineRule="auto"/>
        <w:tabs>
          <w:tab w:val="left" w:pos="1080" w:leader="none"/>
          <w:tab w:val="left" w:pos="1447" w:leader="none"/>
          <w:tab w:val="left" w:pos="1589" w:leader="none"/>
          <w:tab w:val="left" w:pos="2014" w:leader="none"/>
        </w:tabs>
        <w:rPr>
          <w:color w:val="000000"/>
          <w:sz w:val="24"/>
          <w:highlight w:val="none"/>
        </w:rPr>
      </w:pPr>
      <w:r>
        <w:rPr>
          <w:color w:val="000000"/>
          <w:sz w:val="24"/>
          <w:highlight w:val="none"/>
        </w:rPr>
        <w:t xml:space="preserve">是否属于科研仪器设备采购见《供应商须知资料表》。</w:t>
      </w:r>
      <w:r>
        <w:rPr>
          <w:color w:val="000000"/>
          <w:sz w:val="24"/>
          <w:highlight w:val="none"/>
        </w:rPr>
      </w:r>
      <w:r/>
    </w:p>
    <w:p>
      <w:pPr>
        <w:pStyle w:val="1288"/>
        <w:numPr>
          <w:ilvl w:val="0"/>
          <w:numId w:val="2"/>
        </w:numPr>
        <w:ind w:left="357" w:hanging="357"/>
        <w:spacing w:line="360" w:lineRule="auto"/>
        <w:tabs>
          <w:tab w:val="left" w:pos="360" w:leader="none"/>
        </w:tabs>
        <w:rPr>
          <w:color w:val="000000"/>
          <w:sz w:val="24"/>
          <w:highlight w:val="none"/>
        </w:rPr>
        <w:outlineLvl w:val="1"/>
      </w:pPr>
      <w:r/>
      <w:bookmarkStart w:id="142" w:name="_Toc151193836"/>
      <w:r/>
      <w:bookmarkStart w:id="143" w:name="_Toc226337218"/>
      <w:r/>
      <w:bookmarkStart w:id="144" w:name="_Toc142311024"/>
      <w:r/>
      <w:bookmarkStart w:id="145" w:name="_Toc305158790"/>
      <w:r/>
      <w:bookmarkStart w:id="146" w:name="_Toc226965712"/>
      <w:r/>
      <w:bookmarkStart w:id="147" w:name="_Toc151190149"/>
      <w:r/>
      <w:bookmarkStart w:id="148" w:name="_Toc265228360"/>
      <w:r/>
      <w:bookmarkStart w:id="149" w:name="_Toc520356146"/>
      <w:r/>
      <w:bookmarkStart w:id="150" w:name="_Toc150480760"/>
      <w:r/>
      <w:bookmarkStart w:id="151" w:name="_Toc264969212"/>
      <w:r/>
      <w:bookmarkStart w:id="152" w:name="_Toc150774622"/>
      <w:r/>
      <w:bookmarkStart w:id="153" w:name="_Toc151193764"/>
      <w:r/>
      <w:bookmarkStart w:id="154" w:name="_Toc226309766"/>
      <w:r/>
      <w:bookmarkStart w:id="155" w:name="_Toc127151522"/>
      <w:r/>
      <w:bookmarkStart w:id="156" w:name="_Toc151193910"/>
      <w:r/>
      <w:bookmarkStart w:id="157" w:name="_Toc151193620"/>
      <w:r/>
      <w:bookmarkStart w:id="158" w:name="_Toc150774727"/>
      <w:r/>
      <w:bookmarkStart w:id="159" w:name="_Toc150509273"/>
      <w:r/>
      <w:bookmarkStart w:id="160" w:name="_Toc226965795"/>
      <w:r/>
      <w:bookmarkStart w:id="161" w:name="_Toc151193692"/>
      <w:r/>
      <w:bookmarkStart w:id="162" w:name="_Toc195842887"/>
      <w:r/>
      <w:bookmarkStart w:id="163" w:name="_Toc305158864"/>
      <w:r>
        <w:rPr>
          <w:color w:val="000000"/>
          <w:sz w:val="24"/>
          <w:highlight w:val="none"/>
        </w:rPr>
        <w:t xml:space="preserve">政府采购政策（包括但不限于下列具体政策要求）</w:t>
      </w:r>
      <w:r>
        <w:rPr>
          <w:color w:val="000000"/>
          <w:sz w:val="24"/>
          <w:highlight w:val="none"/>
        </w:rPr>
      </w:r>
      <w:r/>
    </w:p>
    <w:p>
      <w:pPr>
        <w:pStyle w:val="1288"/>
        <w:numPr>
          <w:ilvl w:val="1"/>
          <w:numId w:val="2"/>
        </w:numPr>
        <w:ind w:left="1080" w:hanging="720"/>
        <w:spacing w:line="360" w:lineRule="auto"/>
        <w:tabs>
          <w:tab w:val="left" w:pos="1080" w:leader="none"/>
          <w:tab w:val="left" w:pos="1447" w:leader="none"/>
          <w:tab w:val="left" w:pos="1589" w:leader="none"/>
          <w:tab w:val="left" w:pos="2014" w:leader="none"/>
        </w:tabs>
        <w:rPr>
          <w:color w:val="000000"/>
          <w:sz w:val="24"/>
          <w:highlight w:val="none"/>
        </w:rPr>
      </w:pPr>
      <w:r>
        <w:rPr>
          <w:color w:val="000000"/>
          <w:sz w:val="24"/>
          <w:highlight w:val="none"/>
        </w:rPr>
        <w:t xml:space="preserve">进口产品</w:t>
      </w:r>
      <w:r>
        <w:rPr>
          <w:color w:val="000000"/>
          <w:sz w:val="24"/>
          <w:highlight w:val="none"/>
        </w:rPr>
      </w:r>
      <w:r/>
    </w:p>
    <w:p>
      <w:pPr>
        <w:pStyle w:val="1288"/>
        <w:numPr>
          <w:ilvl w:val="2"/>
          <w:numId w:val="2"/>
        </w:numPr>
        <w:spacing w:line="360" w:lineRule="auto"/>
        <w:tabs>
          <w:tab w:val="left" w:pos="1980" w:leader="none"/>
          <w:tab w:val="left" w:pos="2014" w:leader="none"/>
        </w:tabs>
        <w:rPr>
          <w:color w:val="000000"/>
          <w:sz w:val="24"/>
          <w:highlight w:val="none"/>
        </w:rPr>
      </w:pPr>
      <w:r>
        <w:rPr>
          <w:color w:val="000000"/>
          <w:sz w:val="24"/>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color w:val="000000"/>
          <w:sz w:val="24"/>
          <w:highlight w:val="none"/>
        </w:rPr>
      </w:r>
      <w:r/>
    </w:p>
    <w:p>
      <w:pPr>
        <w:pStyle w:val="1288"/>
        <w:numPr>
          <w:ilvl w:val="1"/>
          <w:numId w:val="2"/>
        </w:numPr>
        <w:ind w:left="1080" w:hanging="720"/>
        <w:spacing w:line="360" w:lineRule="auto"/>
        <w:tabs>
          <w:tab w:val="left" w:pos="1080" w:leader="none"/>
          <w:tab w:val="left" w:pos="1447" w:leader="none"/>
          <w:tab w:val="left" w:pos="1589" w:leader="none"/>
          <w:tab w:val="left" w:pos="2014" w:leader="none"/>
        </w:tabs>
        <w:rPr>
          <w:color w:val="000000"/>
          <w:sz w:val="24"/>
          <w:highlight w:val="none"/>
        </w:rPr>
      </w:pPr>
      <w:r>
        <w:rPr>
          <w:color w:val="000000"/>
          <w:sz w:val="24"/>
          <w:highlight w:val="none"/>
        </w:rPr>
        <w:t xml:space="preserve">中小企业、监狱企业及残疾人福利性单位</w:t>
      </w:r>
      <w:r>
        <w:rPr>
          <w:color w:val="000000"/>
          <w:sz w:val="24"/>
          <w:highlight w:val="none"/>
        </w:rPr>
      </w:r>
      <w:r/>
    </w:p>
    <w:p>
      <w:pPr>
        <w:pStyle w:val="1288"/>
        <w:numPr>
          <w:ilvl w:val="2"/>
          <w:numId w:val="2"/>
        </w:numPr>
        <w:spacing w:line="360" w:lineRule="auto"/>
        <w:tabs>
          <w:tab w:val="left" w:pos="1980" w:leader="none"/>
        </w:tabs>
        <w:rPr>
          <w:color w:val="000000"/>
          <w:sz w:val="24"/>
          <w:highlight w:val="none"/>
        </w:rPr>
      </w:pPr>
      <w:r>
        <w:rPr>
          <w:color w:val="000000"/>
          <w:sz w:val="24"/>
          <w:highlight w:val="none"/>
        </w:rPr>
        <w:t xml:space="preserve">中小企业定义：</w:t>
      </w:r>
      <w:r>
        <w:rPr>
          <w:color w:val="000000"/>
          <w:sz w:val="24"/>
          <w:highlight w:val="none"/>
        </w:rPr>
      </w:r>
      <w:r/>
    </w:p>
    <w:p>
      <w:pPr>
        <w:pStyle w:val="1288"/>
        <w:numPr>
          <w:ilvl w:val="3"/>
          <w:numId w:val="3"/>
        </w:numPr>
        <w:ind w:left="2885"/>
        <w:spacing w:line="360" w:lineRule="auto"/>
        <w:tabs>
          <w:tab w:val="left" w:pos="1589" w:leader="none"/>
          <w:tab w:val="left" w:pos="1980" w:leader="none"/>
          <w:tab w:val="left" w:pos="2035" w:leader="none"/>
          <w:tab w:val="left" w:pos="2885" w:leader="none"/>
          <w:tab w:val="left" w:pos="2977" w:leader="none"/>
        </w:tabs>
        <w:rPr>
          <w:color w:val="000000"/>
          <w:sz w:val="24"/>
          <w:highlight w:val="none"/>
        </w:rPr>
      </w:pPr>
      <w:r>
        <w:rPr>
          <w:color w:val="000000"/>
          <w:sz w:val="24"/>
          <w:highlight w:val="none"/>
        </w:rPr>
        <w:t xml:space="preserve">中小企业是</w:t>
      </w:r>
      <w:r>
        <w:rPr>
          <w:color w:val="000000"/>
          <w:sz w:val="24"/>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color w:val="000000"/>
          <w:sz w:val="24"/>
          <w:highlight w:val="none"/>
        </w:rPr>
      </w:r>
      <w:r/>
    </w:p>
    <w:p>
      <w:pPr>
        <w:pStyle w:val="1288"/>
        <w:numPr>
          <w:ilvl w:val="3"/>
          <w:numId w:val="3"/>
        </w:numPr>
        <w:ind w:left="2885"/>
        <w:spacing w:line="360" w:lineRule="auto"/>
        <w:tabs>
          <w:tab w:val="left" w:pos="1980" w:leader="none"/>
          <w:tab w:val="left" w:pos="2035" w:leader="none"/>
          <w:tab w:val="left" w:pos="2885" w:leader="none"/>
          <w:tab w:val="left" w:pos="2977" w:leader="none"/>
        </w:tabs>
        <w:rPr>
          <w:color w:val="000000"/>
          <w:sz w:val="24"/>
          <w:highlight w:val="none"/>
        </w:rPr>
      </w:pPr>
      <w:r>
        <w:rPr>
          <w:color w:val="000000"/>
          <w:sz w:val="24"/>
          <w:highlight w:val="none"/>
        </w:rPr>
        <w:t xml:space="preserve">供应商提供的货物、工程或者服务符合下列情形的，享受中小企业扶持政策：</w:t>
      </w:r>
      <w:r>
        <w:rPr>
          <w:color w:val="000000"/>
          <w:sz w:val="24"/>
          <w:highlight w:val="none"/>
        </w:rPr>
      </w:r>
      <w:r/>
    </w:p>
    <w:p>
      <w:pPr>
        <w:pStyle w:val="1288"/>
        <w:ind w:left="2835"/>
        <w:spacing w:line="360" w:lineRule="auto"/>
        <w:tabs>
          <w:tab w:val="left" w:pos="1980" w:leader="none"/>
        </w:tabs>
        <w:rPr>
          <w:color w:val="000000"/>
          <w:sz w:val="24"/>
          <w:highlight w:val="none"/>
        </w:rPr>
      </w:pPr>
      <w:r>
        <w:rPr>
          <w:color w:val="000000"/>
          <w:sz w:val="24"/>
          <w:highlight w:val="none"/>
        </w:rPr>
        <w:t xml:space="preserve">（1）在货物采购项目中，货物由中小企业制造，即货物由中小企业生产且使用该中小企业商号或者注册商标；</w:t>
      </w:r>
      <w:r>
        <w:rPr>
          <w:color w:val="000000"/>
          <w:sz w:val="24"/>
          <w:highlight w:val="none"/>
        </w:rPr>
      </w:r>
      <w:r/>
    </w:p>
    <w:p>
      <w:pPr>
        <w:pStyle w:val="1288"/>
        <w:ind w:left="2835"/>
        <w:spacing w:line="360" w:lineRule="auto"/>
        <w:tabs>
          <w:tab w:val="left" w:pos="1980" w:leader="none"/>
        </w:tabs>
        <w:rPr>
          <w:color w:val="000000"/>
          <w:sz w:val="24"/>
          <w:highlight w:val="none"/>
        </w:rPr>
      </w:pPr>
      <w:r>
        <w:rPr>
          <w:color w:val="000000"/>
          <w:sz w:val="24"/>
          <w:highlight w:val="none"/>
        </w:rPr>
        <w:t xml:space="preserve">（2）在工程采购项目中，工程由中小企业承建，即工程施工单位为中小企业；</w:t>
      </w:r>
      <w:r>
        <w:rPr>
          <w:color w:val="000000"/>
          <w:sz w:val="24"/>
          <w:highlight w:val="none"/>
        </w:rPr>
      </w:r>
      <w:r/>
    </w:p>
    <w:p>
      <w:pPr>
        <w:pStyle w:val="1288"/>
        <w:ind w:left="2835"/>
        <w:spacing w:line="360" w:lineRule="auto"/>
        <w:tabs>
          <w:tab w:val="left" w:pos="1980" w:leader="none"/>
        </w:tabs>
        <w:rPr>
          <w:color w:val="000000"/>
          <w:sz w:val="24"/>
          <w:highlight w:val="none"/>
        </w:rPr>
      </w:pPr>
      <w:r>
        <w:rPr>
          <w:color w:val="000000"/>
          <w:sz w:val="24"/>
          <w:highlight w:val="none"/>
        </w:rPr>
        <w:t xml:space="preserve">（3）在服务采购项目中，服务由中小企业承接，即提供服务的人员为中小企业依照《中华人民共和国劳动</w:t>
      </w:r>
      <w:r>
        <w:rPr>
          <w:rFonts w:hint="eastAsia"/>
          <w:color w:val="000000"/>
          <w:sz w:val="24"/>
          <w:highlight w:val="none"/>
        </w:rPr>
        <w:t xml:space="preserve">合同法</w:t>
      </w:r>
      <w:r>
        <w:rPr>
          <w:color w:val="000000"/>
          <w:sz w:val="24"/>
          <w:highlight w:val="none"/>
        </w:rPr>
        <w:t xml:space="preserve">》订立劳动合同的从业人员。</w:t>
      </w:r>
      <w:r>
        <w:rPr>
          <w:color w:val="000000"/>
          <w:sz w:val="24"/>
          <w:highlight w:val="none"/>
        </w:rPr>
      </w:r>
      <w:r/>
    </w:p>
    <w:p>
      <w:pPr>
        <w:pStyle w:val="1288"/>
        <w:numPr>
          <w:ilvl w:val="3"/>
          <w:numId w:val="3"/>
        </w:numPr>
        <w:ind w:left="2885"/>
        <w:spacing w:line="360" w:lineRule="auto"/>
        <w:tabs>
          <w:tab w:val="left" w:pos="1980" w:leader="none"/>
          <w:tab w:val="left" w:pos="2035" w:leader="none"/>
          <w:tab w:val="left" w:pos="2885" w:leader="none"/>
          <w:tab w:val="left" w:pos="2977" w:leader="none"/>
        </w:tabs>
        <w:rPr>
          <w:color w:val="000000"/>
          <w:sz w:val="24"/>
          <w:highlight w:val="none"/>
        </w:rPr>
      </w:pPr>
      <w:r>
        <w:rPr>
          <w:color w:val="000000"/>
          <w:sz w:val="24"/>
          <w:highlight w:val="none"/>
        </w:rPr>
        <w:t xml:space="preserve">在货物采购项目中，供应商提供的货物既有中小企业制造货物，也有大型企业制造货物的，不享受中小企业扶持政策。</w:t>
      </w:r>
      <w:r>
        <w:rPr>
          <w:color w:val="000000"/>
          <w:sz w:val="24"/>
          <w:highlight w:val="none"/>
        </w:rPr>
      </w:r>
      <w:r/>
    </w:p>
    <w:p>
      <w:pPr>
        <w:pStyle w:val="1288"/>
        <w:numPr>
          <w:ilvl w:val="3"/>
          <w:numId w:val="3"/>
        </w:numPr>
        <w:ind w:left="2885"/>
        <w:spacing w:line="360" w:lineRule="auto"/>
        <w:tabs>
          <w:tab w:val="left" w:pos="1980" w:leader="none"/>
          <w:tab w:val="left" w:pos="2035" w:leader="none"/>
          <w:tab w:val="left" w:pos="2885" w:leader="none"/>
          <w:tab w:val="left" w:pos="2977" w:leader="none"/>
        </w:tabs>
        <w:rPr>
          <w:color w:val="000000"/>
          <w:sz w:val="24"/>
          <w:highlight w:val="none"/>
        </w:rPr>
      </w:pPr>
      <w:r>
        <w:rPr>
          <w:color w:val="000000"/>
          <w:sz w:val="24"/>
          <w:highlight w:val="none"/>
        </w:rPr>
        <w:t xml:space="preserve">以联合体形式参加政府采购活动，联合体各方均为中小企业的，联合体视同中小企业。其中，联合体各方均为小微企业的，联合体视同小微企业。</w:t>
      </w:r>
      <w:r>
        <w:rPr>
          <w:color w:val="000000"/>
          <w:sz w:val="24"/>
          <w:highlight w:val="none"/>
        </w:rPr>
      </w:r>
      <w:r/>
    </w:p>
    <w:p>
      <w:pPr>
        <w:pStyle w:val="1288"/>
        <w:numPr>
          <w:ilvl w:val="2"/>
          <w:numId w:val="2"/>
        </w:numPr>
        <w:spacing w:line="360" w:lineRule="auto"/>
        <w:tabs>
          <w:tab w:val="left" w:pos="1980" w:leader="none"/>
        </w:tabs>
        <w:rPr>
          <w:color w:val="000000"/>
          <w:sz w:val="24"/>
          <w:highlight w:val="none"/>
        </w:rPr>
      </w:pPr>
      <w:r>
        <w:rPr>
          <w:color w:val="000000"/>
          <w:sz w:val="24"/>
          <w:highlight w:val="none"/>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color w:val="000000"/>
          <w:sz w:val="24"/>
          <w:highlight w:val="none"/>
        </w:rPr>
      </w:r>
      <w:r/>
    </w:p>
    <w:p>
      <w:pPr>
        <w:pStyle w:val="1288"/>
        <w:numPr>
          <w:ilvl w:val="2"/>
          <w:numId w:val="2"/>
        </w:numPr>
        <w:spacing w:line="360" w:lineRule="auto"/>
        <w:tabs>
          <w:tab w:val="left" w:pos="1980" w:leader="none"/>
        </w:tabs>
        <w:rPr>
          <w:color w:val="000000"/>
          <w:sz w:val="24"/>
          <w:highlight w:val="none"/>
        </w:rPr>
      </w:pPr>
      <w:r>
        <w:rPr>
          <w:color w:val="000000"/>
          <w:sz w:val="24"/>
          <w:highlight w:val="none"/>
        </w:rPr>
        <w:t xml:space="preserve">残疾人福利单位定义：享受政府采购支持政策的残疾人福利性单位应当同时满足以下条件：</w:t>
      </w:r>
      <w:r>
        <w:rPr>
          <w:color w:val="000000"/>
          <w:sz w:val="24"/>
          <w:highlight w:val="none"/>
        </w:rPr>
      </w:r>
      <w:r/>
    </w:p>
    <w:p>
      <w:pPr>
        <w:pStyle w:val="1288"/>
        <w:numPr>
          <w:ilvl w:val="3"/>
          <w:numId w:val="4"/>
        </w:numPr>
        <w:ind w:left="2885"/>
        <w:spacing w:line="360" w:lineRule="auto"/>
        <w:tabs>
          <w:tab w:val="left" w:pos="1980" w:leader="none"/>
          <w:tab w:val="left" w:pos="2035" w:leader="none"/>
          <w:tab w:val="left" w:pos="2977" w:leader="none"/>
        </w:tabs>
        <w:rPr>
          <w:color w:val="000000"/>
          <w:sz w:val="24"/>
          <w:highlight w:val="none"/>
        </w:rPr>
      </w:pPr>
      <w:r>
        <w:rPr>
          <w:color w:val="000000"/>
          <w:sz w:val="24"/>
          <w:highlight w:val="none"/>
        </w:rPr>
        <w:t xml:space="preserve">安置的残疾人占本单位在职职工人数的比例不低于25%（含25%），并且安置的残疾人人数不少于10人（含10人）；</w:t>
      </w:r>
      <w:r>
        <w:rPr>
          <w:color w:val="000000"/>
          <w:sz w:val="24"/>
          <w:highlight w:val="none"/>
        </w:rPr>
      </w:r>
      <w:r/>
    </w:p>
    <w:p>
      <w:pPr>
        <w:pStyle w:val="1288"/>
        <w:numPr>
          <w:ilvl w:val="3"/>
          <w:numId w:val="4"/>
        </w:numPr>
        <w:ind w:left="2885"/>
        <w:spacing w:line="360" w:lineRule="auto"/>
        <w:tabs>
          <w:tab w:val="left" w:pos="900" w:leader="none"/>
          <w:tab w:val="left" w:pos="1980" w:leader="none"/>
          <w:tab w:val="left" w:pos="2035" w:leader="none"/>
          <w:tab w:val="left" w:pos="2977" w:leader="none"/>
        </w:tabs>
        <w:rPr>
          <w:color w:val="000000"/>
          <w:sz w:val="24"/>
          <w:highlight w:val="none"/>
        </w:rPr>
      </w:pPr>
      <w:r>
        <w:rPr>
          <w:color w:val="000000"/>
          <w:sz w:val="24"/>
          <w:highlight w:val="none"/>
        </w:rPr>
        <w:t xml:space="preserve">依法与安置的每位残疾人签订了一年以上（含一年）的劳动合同或服务协议；</w:t>
      </w:r>
      <w:r>
        <w:rPr>
          <w:color w:val="000000"/>
          <w:sz w:val="24"/>
          <w:highlight w:val="none"/>
        </w:rPr>
      </w:r>
      <w:r/>
    </w:p>
    <w:p>
      <w:pPr>
        <w:pStyle w:val="1288"/>
        <w:numPr>
          <w:ilvl w:val="3"/>
          <w:numId w:val="4"/>
        </w:numPr>
        <w:ind w:left="2885"/>
        <w:spacing w:line="360" w:lineRule="auto"/>
        <w:tabs>
          <w:tab w:val="left" w:pos="900" w:leader="none"/>
          <w:tab w:val="left" w:pos="1980" w:leader="none"/>
          <w:tab w:val="left" w:pos="2035" w:leader="none"/>
          <w:tab w:val="left" w:pos="2977" w:leader="none"/>
        </w:tabs>
        <w:rPr>
          <w:color w:val="000000"/>
          <w:sz w:val="24"/>
          <w:highlight w:val="none"/>
        </w:rPr>
      </w:pPr>
      <w:r>
        <w:rPr>
          <w:color w:val="000000"/>
          <w:sz w:val="24"/>
          <w:highlight w:val="none"/>
        </w:rPr>
        <w:t xml:space="preserve">为安置的每位残疾人按月足额缴纳了基本养老保险、基本医疗保险、失业保险、工伤保险和生育保险等社会保险费；</w:t>
      </w:r>
      <w:r>
        <w:rPr>
          <w:color w:val="000000"/>
          <w:sz w:val="24"/>
          <w:highlight w:val="none"/>
        </w:rPr>
      </w:r>
      <w:r/>
    </w:p>
    <w:p>
      <w:pPr>
        <w:pStyle w:val="1288"/>
        <w:numPr>
          <w:ilvl w:val="3"/>
          <w:numId w:val="4"/>
        </w:numPr>
        <w:ind w:left="2885"/>
        <w:spacing w:line="360" w:lineRule="auto"/>
        <w:tabs>
          <w:tab w:val="left" w:pos="900" w:leader="none"/>
          <w:tab w:val="left" w:pos="1980" w:leader="none"/>
          <w:tab w:val="left" w:pos="2035" w:leader="none"/>
          <w:tab w:val="left" w:pos="2977" w:leader="none"/>
        </w:tabs>
        <w:rPr>
          <w:color w:val="000000"/>
          <w:sz w:val="24"/>
          <w:highlight w:val="none"/>
        </w:rPr>
      </w:pPr>
      <w:r>
        <w:rPr>
          <w:color w:val="000000"/>
          <w:sz w:val="24"/>
          <w:highlight w:val="none"/>
        </w:rPr>
        <w:t xml:space="preserve">通过银行等金融机构向安置的每位残疾人，按月支付了不低于单位所在区县适用的经省级人民政府批准的月最低工资标准的工资；</w:t>
      </w:r>
      <w:r>
        <w:rPr>
          <w:color w:val="000000"/>
          <w:sz w:val="24"/>
          <w:highlight w:val="none"/>
        </w:rPr>
      </w:r>
      <w:r/>
    </w:p>
    <w:p>
      <w:pPr>
        <w:pStyle w:val="1288"/>
        <w:numPr>
          <w:ilvl w:val="3"/>
          <w:numId w:val="4"/>
        </w:numPr>
        <w:ind w:left="2885"/>
        <w:spacing w:line="360" w:lineRule="auto"/>
        <w:tabs>
          <w:tab w:val="left" w:pos="900" w:leader="none"/>
          <w:tab w:val="left" w:pos="1980" w:leader="none"/>
          <w:tab w:val="left" w:pos="2035" w:leader="none"/>
          <w:tab w:val="left" w:pos="2977" w:leader="none"/>
        </w:tabs>
        <w:rPr>
          <w:color w:val="000000"/>
          <w:sz w:val="24"/>
          <w:highlight w:val="none"/>
        </w:rPr>
      </w:pPr>
      <w:r>
        <w:rPr>
          <w:color w:val="000000"/>
          <w:sz w:val="24"/>
          <w:highlight w:val="none"/>
        </w:rPr>
        <w:t xml:space="preserve">提供本单位制造的货物、承担的工程或者服务（以下简称产品），或者提供其他残疾人福利性单位制造的货物（不包括使用非残疾人福利性单位注册商标的货物）；</w:t>
      </w:r>
      <w:r>
        <w:rPr>
          <w:color w:val="000000"/>
          <w:sz w:val="24"/>
          <w:highlight w:val="none"/>
        </w:rPr>
      </w:r>
      <w:r/>
    </w:p>
    <w:p>
      <w:pPr>
        <w:pStyle w:val="1288"/>
        <w:numPr>
          <w:ilvl w:val="3"/>
          <w:numId w:val="4"/>
        </w:numPr>
        <w:ind w:left="2885"/>
        <w:spacing w:line="360" w:lineRule="auto"/>
        <w:tabs>
          <w:tab w:val="left" w:pos="900" w:leader="none"/>
          <w:tab w:val="left" w:pos="1980" w:leader="none"/>
          <w:tab w:val="left" w:pos="2035" w:leader="none"/>
          <w:tab w:val="left" w:pos="2977" w:leader="none"/>
        </w:tabs>
        <w:rPr>
          <w:color w:val="000000"/>
          <w:sz w:val="24"/>
          <w:highlight w:val="none"/>
        </w:rPr>
      </w:pPr>
      <w:r>
        <w:rPr>
          <w:color w:val="000000"/>
          <w:sz w:val="24"/>
          <w:highlight w:val="none"/>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color w:val="000000"/>
          <w:sz w:val="24"/>
          <w:highlight w:val="none"/>
        </w:rPr>
      </w:r>
      <w:r/>
    </w:p>
    <w:p>
      <w:pPr>
        <w:pStyle w:val="1288"/>
        <w:numPr>
          <w:ilvl w:val="2"/>
          <w:numId w:val="2"/>
        </w:numPr>
        <w:spacing w:line="360" w:lineRule="auto"/>
        <w:tabs>
          <w:tab w:val="left" w:pos="1980" w:leader="none"/>
        </w:tabs>
        <w:rPr>
          <w:color w:val="000000"/>
          <w:sz w:val="24"/>
          <w:highlight w:val="none"/>
        </w:rPr>
      </w:pPr>
      <w:r>
        <w:rPr>
          <w:color w:val="000000"/>
          <w:sz w:val="24"/>
          <w:highlight w:val="none"/>
        </w:rPr>
        <w:t xml:space="preserve">本项目是否专门面向中小企业预留采购份额见第一章《采购邀请》。</w:t>
      </w:r>
      <w:r>
        <w:rPr>
          <w:color w:val="000000"/>
          <w:sz w:val="24"/>
          <w:highlight w:val="none"/>
        </w:rPr>
      </w:r>
      <w:r/>
    </w:p>
    <w:p>
      <w:pPr>
        <w:pStyle w:val="1288"/>
        <w:numPr>
          <w:ilvl w:val="2"/>
          <w:numId w:val="2"/>
        </w:numPr>
        <w:spacing w:line="360" w:lineRule="auto"/>
        <w:tabs>
          <w:tab w:val="left" w:pos="1980" w:leader="none"/>
        </w:tabs>
        <w:rPr>
          <w:color w:val="000000"/>
          <w:sz w:val="24"/>
          <w:highlight w:val="none"/>
        </w:rPr>
      </w:pPr>
      <w:r>
        <w:rPr>
          <w:color w:val="000000"/>
          <w:sz w:val="24"/>
          <w:highlight w:val="none"/>
        </w:rPr>
        <w:t xml:space="preserve">采购标的对应的中小企业划分标准所属行业见《供应商须知资料表》。</w:t>
      </w:r>
      <w:r>
        <w:rPr>
          <w:color w:val="000000"/>
          <w:sz w:val="24"/>
          <w:highlight w:val="none"/>
        </w:rPr>
      </w:r>
      <w:r/>
    </w:p>
    <w:p>
      <w:pPr>
        <w:pStyle w:val="1288"/>
        <w:numPr>
          <w:ilvl w:val="2"/>
          <w:numId w:val="2"/>
        </w:numPr>
        <w:spacing w:line="360" w:lineRule="auto"/>
        <w:tabs>
          <w:tab w:val="left" w:pos="1980" w:leader="none"/>
        </w:tabs>
        <w:rPr>
          <w:color w:val="000000"/>
          <w:sz w:val="24"/>
          <w:highlight w:val="none"/>
        </w:rPr>
      </w:pPr>
      <w:r>
        <w:rPr>
          <w:color w:val="000000"/>
          <w:sz w:val="24"/>
          <w:highlight w:val="none"/>
        </w:rPr>
        <w:t xml:space="preserve">小微企业价格评审优惠的政策调整：</w:t>
      </w:r>
      <w:r>
        <w:rPr>
          <w:rFonts w:hint="eastAsia"/>
          <w:color w:val="000000"/>
          <w:sz w:val="24"/>
          <w:highlight w:val="none"/>
        </w:rPr>
        <w:t xml:space="preserve">见第三章《评审程序和评定成交的标准》。</w:t>
      </w:r>
      <w:r>
        <w:rPr>
          <w:color w:val="000000"/>
          <w:sz w:val="24"/>
          <w:highlight w:val="none"/>
        </w:rPr>
      </w:r>
      <w:r/>
    </w:p>
    <w:p>
      <w:pPr>
        <w:pStyle w:val="1288"/>
        <w:numPr>
          <w:ilvl w:val="1"/>
          <w:numId w:val="2"/>
        </w:numPr>
        <w:ind w:left="1080" w:hanging="720"/>
        <w:spacing w:line="360" w:lineRule="auto"/>
        <w:tabs>
          <w:tab w:val="left" w:pos="1080" w:leader="none"/>
          <w:tab w:val="left" w:pos="1447" w:leader="none"/>
          <w:tab w:val="left" w:pos="1589" w:leader="none"/>
          <w:tab w:val="left" w:pos="2014" w:leader="none"/>
        </w:tabs>
        <w:rPr>
          <w:color w:val="000000"/>
          <w:sz w:val="24"/>
          <w:highlight w:val="none"/>
        </w:rPr>
      </w:pPr>
      <w:r>
        <w:rPr>
          <w:color w:val="000000"/>
          <w:sz w:val="24"/>
          <w:highlight w:val="none"/>
        </w:rPr>
        <w:t xml:space="preserve">政府采购节能产品、环境标志产品</w:t>
      </w:r>
      <w:r>
        <w:rPr>
          <w:color w:val="000000"/>
          <w:sz w:val="24"/>
          <w:highlight w:val="none"/>
        </w:rPr>
      </w:r>
      <w:r/>
    </w:p>
    <w:p>
      <w:pPr>
        <w:pStyle w:val="1288"/>
        <w:numPr>
          <w:ilvl w:val="2"/>
          <w:numId w:val="2"/>
        </w:numPr>
        <w:spacing w:line="360" w:lineRule="auto"/>
        <w:tabs>
          <w:tab w:val="left" w:pos="1980" w:leader="none"/>
        </w:tabs>
        <w:rPr>
          <w:color w:val="000000"/>
          <w:sz w:val="24"/>
          <w:highlight w:val="none"/>
        </w:rPr>
      </w:pPr>
      <w:r>
        <w:rPr>
          <w:color w:val="000000"/>
          <w:sz w:val="24"/>
          <w:highlight w:val="none"/>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color w:val="000000"/>
          <w:sz w:val="24"/>
          <w:highlight w:val="none"/>
        </w:rPr>
      </w:r>
      <w:r/>
    </w:p>
    <w:p>
      <w:pPr>
        <w:pStyle w:val="1288"/>
        <w:numPr>
          <w:ilvl w:val="2"/>
          <w:numId w:val="2"/>
        </w:numPr>
        <w:spacing w:line="360" w:lineRule="auto"/>
        <w:tabs>
          <w:tab w:val="left" w:pos="1980" w:leader="none"/>
        </w:tabs>
        <w:rPr>
          <w:color w:val="000000"/>
          <w:sz w:val="24"/>
          <w:highlight w:val="none"/>
        </w:rPr>
      </w:pPr>
      <w:r>
        <w:rPr>
          <w:color w:val="000000"/>
          <w:sz w:val="24"/>
          <w:highlight w:val="none"/>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color w:val="000000"/>
          <w:sz w:val="24"/>
          <w:highlight w:val="none"/>
        </w:rPr>
      </w:r>
      <w:r/>
    </w:p>
    <w:p>
      <w:pPr>
        <w:pStyle w:val="1288"/>
        <w:numPr>
          <w:ilvl w:val="2"/>
          <w:numId w:val="2"/>
        </w:numPr>
        <w:spacing w:line="360" w:lineRule="auto"/>
        <w:tabs>
          <w:tab w:val="left" w:pos="1980" w:leader="none"/>
        </w:tabs>
        <w:rPr>
          <w:color w:val="000000"/>
          <w:sz w:val="24"/>
          <w:highlight w:val="none"/>
        </w:rPr>
      </w:pPr>
      <w:r>
        <w:rPr>
          <w:color w:val="000000"/>
          <w:sz w:val="24"/>
          <w:highlight w:val="none"/>
        </w:rPr>
        <w:t xml:space="preserve">如本项目采购产品属于实施政府强制采购品目清单范围的节能产品，则供应商所报产品必须获得国家确定的认证机构出具的、处于有效期之内的节能产品认证证书，</w:t>
      </w:r>
      <w:r>
        <w:rPr>
          <w:color w:val="000000"/>
          <w:sz w:val="24"/>
          <w:highlight w:val="none"/>
        </w:rPr>
        <w:t xml:space="preserve">否则</w:t>
      </w:r>
      <w:r>
        <w:rPr>
          <w:b/>
          <w:color w:val="000000"/>
          <w:sz w:val="24"/>
          <w:highlight w:val="none"/>
        </w:rPr>
        <w:t xml:space="preserve">响应无效</w:t>
      </w:r>
      <w:r>
        <w:rPr>
          <w:color w:val="000000"/>
          <w:sz w:val="24"/>
          <w:highlight w:val="none"/>
        </w:rPr>
        <w:t xml:space="preserve">；</w:t>
      </w:r>
      <w:r>
        <w:rPr>
          <w:color w:val="000000"/>
          <w:sz w:val="24"/>
          <w:highlight w:val="none"/>
        </w:rPr>
      </w:r>
      <w:r/>
    </w:p>
    <w:p>
      <w:pPr>
        <w:pStyle w:val="1288"/>
        <w:numPr>
          <w:ilvl w:val="2"/>
          <w:numId w:val="2"/>
        </w:numPr>
        <w:spacing w:line="360" w:lineRule="auto"/>
        <w:tabs>
          <w:tab w:val="left" w:pos="1980" w:leader="none"/>
        </w:tabs>
        <w:rPr>
          <w:rFonts w:hint="eastAsia"/>
          <w:color w:val="000000"/>
          <w:sz w:val="24"/>
          <w:highlight w:val="none"/>
        </w:rPr>
      </w:pPr>
      <w:r>
        <w:rPr>
          <w:color w:val="000000"/>
          <w:sz w:val="24"/>
          <w:highlight w:val="none"/>
        </w:rPr>
        <w:t xml:space="preserve">非政府强制采购的节能产品或环境标志产品，依据品目清单和认证证书实施政府优先采购。如涉及，供应商优先提供此类产品。</w:t>
      </w:r>
      <w:r>
        <w:rPr>
          <w:rFonts w:hint="eastAsia"/>
          <w:color w:val="000000"/>
          <w:sz w:val="24"/>
          <w:highlight w:val="none"/>
        </w:rPr>
      </w:r>
      <w:r/>
    </w:p>
    <w:p>
      <w:pPr>
        <w:pStyle w:val="1288"/>
        <w:numPr>
          <w:ilvl w:val="2"/>
          <w:numId w:val="2"/>
        </w:numPr>
        <w:spacing w:line="360" w:lineRule="auto"/>
        <w:tabs>
          <w:tab w:val="left" w:pos="1980" w:leader="none"/>
          <w:tab w:val="left" w:pos="2014" w:leader="none"/>
        </w:tabs>
        <w:rPr>
          <w:color w:val="000000"/>
          <w:sz w:val="24"/>
          <w:highlight w:val="none"/>
        </w:rPr>
      </w:pPr>
      <w:r>
        <w:rPr>
          <w:rFonts w:hint="eastAsia"/>
          <w:color w:val="000000"/>
          <w:sz w:val="24"/>
          <w:highlight w:val="none"/>
        </w:rPr>
        <w:t xml:space="preserve">依据</w:t>
      </w:r>
      <w:r>
        <w:rPr>
          <w:color w:val="000000"/>
          <w:sz w:val="24"/>
          <w:highlight w:val="none"/>
        </w:rPr>
        <w:t xml:space="preserve">《关于印发〈商品包装政府采购需求标准（试行）〉、〈快递包装政府采购需求标准（试行）〉的通知》（财办库〔2020〕123号）</w:t>
      </w:r>
      <w:r>
        <w:rPr>
          <w:rFonts w:hint="eastAsia"/>
          <w:color w:val="000000"/>
          <w:sz w:val="24"/>
          <w:highlight w:val="none"/>
        </w:rPr>
        <w:t xml:space="preserve">文件</w:t>
      </w:r>
      <w:r>
        <w:rPr>
          <w:color w:val="000000"/>
          <w:sz w:val="24"/>
          <w:highlight w:val="none"/>
        </w:rPr>
        <w:t xml:space="preserve">精神</w:t>
      </w:r>
      <w:r>
        <w:rPr>
          <w:rFonts w:hint="eastAsia"/>
          <w:color w:val="000000"/>
          <w:sz w:val="24"/>
          <w:highlight w:val="none"/>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color w:val="000000"/>
          <w:sz w:val="24"/>
          <w:highlight w:val="none"/>
        </w:rPr>
      </w:r>
      <w:r/>
    </w:p>
    <w:p>
      <w:pPr>
        <w:pStyle w:val="1288"/>
        <w:numPr>
          <w:ilvl w:val="1"/>
          <w:numId w:val="2"/>
        </w:numPr>
        <w:ind w:left="1080" w:hanging="720"/>
        <w:spacing w:line="360" w:lineRule="auto"/>
        <w:tabs>
          <w:tab w:val="left" w:pos="1080" w:leader="none"/>
          <w:tab w:val="left" w:pos="1447" w:leader="none"/>
          <w:tab w:val="left" w:pos="1589" w:leader="none"/>
          <w:tab w:val="left" w:pos="2014" w:leader="none"/>
        </w:tabs>
        <w:rPr>
          <w:color w:val="000000"/>
          <w:sz w:val="24"/>
          <w:highlight w:val="none"/>
        </w:rPr>
      </w:pPr>
      <w:r>
        <w:rPr>
          <w:color w:val="000000"/>
          <w:sz w:val="24"/>
          <w:highlight w:val="none"/>
        </w:rPr>
        <w:t xml:space="preserve">支持乡村产业振兴管理</w:t>
      </w:r>
      <w:r>
        <w:rPr>
          <w:color w:val="000000"/>
          <w:sz w:val="24"/>
          <w:highlight w:val="none"/>
        </w:rPr>
      </w:r>
      <w:r/>
    </w:p>
    <w:p>
      <w:pPr>
        <w:pStyle w:val="1288"/>
        <w:numPr>
          <w:ilvl w:val="2"/>
          <w:numId w:val="2"/>
        </w:numPr>
        <w:spacing w:line="360" w:lineRule="auto"/>
        <w:tabs>
          <w:tab w:val="left" w:pos="1980" w:leader="none"/>
          <w:tab w:val="left" w:pos="2014" w:leader="none"/>
        </w:tabs>
        <w:rPr>
          <w:color w:val="000000"/>
          <w:sz w:val="24"/>
          <w:highlight w:val="none"/>
        </w:rPr>
      </w:pPr>
      <w:r>
        <w:rPr>
          <w:color w:val="000000"/>
          <w:sz w:val="24"/>
          <w:highlight w:val="none"/>
        </w:rPr>
        <w:t xml:space="preserve">为落实《关于运用政府采购政策支持乡村产业振兴的通知》（财库〔2021〕19号）有关要求，做好支持脱贫攻坚工作，本项目采购活动中对于支持乡村振兴管理的相关要求见第四章《采购需求》（如涉及）。</w:t>
      </w:r>
      <w:r>
        <w:rPr>
          <w:color w:val="000000"/>
          <w:sz w:val="24"/>
          <w:highlight w:val="none"/>
        </w:rPr>
      </w:r>
      <w:r/>
    </w:p>
    <w:p>
      <w:pPr>
        <w:pStyle w:val="1288"/>
        <w:numPr>
          <w:ilvl w:val="1"/>
          <w:numId w:val="2"/>
        </w:numPr>
        <w:ind w:left="1080" w:hanging="720"/>
        <w:spacing w:line="360" w:lineRule="auto"/>
        <w:tabs>
          <w:tab w:val="left" w:pos="1080" w:leader="none"/>
          <w:tab w:val="left" w:pos="1447" w:leader="none"/>
          <w:tab w:val="left" w:pos="1589" w:leader="none"/>
          <w:tab w:val="left" w:pos="2014" w:leader="none"/>
        </w:tabs>
        <w:rPr>
          <w:color w:val="000000"/>
          <w:sz w:val="24"/>
          <w:highlight w:val="none"/>
        </w:rPr>
      </w:pPr>
      <w:r>
        <w:rPr>
          <w:color w:val="000000"/>
          <w:sz w:val="24"/>
          <w:highlight w:val="none"/>
        </w:rPr>
        <w:t xml:space="preserve">正版软件</w:t>
      </w:r>
      <w:r>
        <w:rPr>
          <w:color w:val="000000"/>
          <w:sz w:val="24"/>
          <w:highlight w:val="none"/>
        </w:rPr>
      </w:r>
      <w:r/>
    </w:p>
    <w:p>
      <w:pPr>
        <w:pStyle w:val="1288"/>
        <w:numPr>
          <w:ilvl w:val="2"/>
          <w:numId w:val="2"/>
        </w:numPr>
        <w:spacing w:line="360" w:lineRule="auto"/>
        <w:tabs>
          <w:tab w:val="left" w:pos="1980" w:leader="none"/>
        </w:tabs>
        <w:rPr>
          <w:color w:val="000000"/>
          <w:sz w:val="24"/>
          <w:highlight w:val="none"/>
        </w:rPr>
      </w:pPr>
      <w:r>
        <w:rPr>
          <w:color w:val="000000"/>
          <w:sz w:val="24"/>
          <w:highlight w:val="none"/>
        </w:rPr>
        <w:t xml:space="preserve">依据《财政部 国家发展改革委 信息产业部关于印发无线局域网产品政府采购实施意见的通知》（财库〔2005〕366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w:t>
      </w:r>
      <w:r>
        <w:rPr>
          <w:color w:val="000000"/>
          <w:sz w:val="24"/>
          <w:highlight w:val="none"/>
        </w:rPr>
        <w:t xml:space="preserve">否则</w:t>
      </w:r>
      <w:r>
        <w:rPr>
          <w:b/>
          <w:color w:val="000000"/>
          <w:sz w:val="24"/>
          <w:highlight w:val="none"/>
        </w:rPr>
        <w:t xml:space="preserve">响应无效</w:t>
      </w:r>
      <w:r>
        <w:rPr>
          <w:color w:val="000000"/>
          <w:sz w:val="24"/>
          <w:highlight w:val="none"/>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color w:val="000000"/>
          <w:sz w:val="24"/>
          <w:highlight w:val="none"/>
        </w:rPr>
      </w:r>
      <w:r/>
    </w:p>
    <w:p>
      <w:pPr>
        <w:pStyle w:val="1288"/>
        <w:numPr>
          <w:ilvl w:val="2"/>
          <w:numId w:val="2"/>
        </w:numPr>
        <w:spacing w:line="360" w:lineRule="auto"/>
        <w:tabs>
          <w:tab w:val="left" w:pos="1980" w:leader="none"/>
        </w:tabs>
        <w:rPr>
          <w:color w:val="000000"/>
          <w:sz w:val="24"/>
          <w:highlight w:val="none"/>
        </w:rPr>
      </w:pPr>
      <w:r>
        <w:rPr>
          <w:color w:val="000000"/>
          <w:sz w:val="24"/>
          <w:highlight w:val="none"/>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号）、《国务院办公厅关于进一步做好政府机关使用正版软件工作的通知》（国办发〔2010〕47号）、《财政部关于进一步做好政府机关使用正版软件工作的通知》（财预〔2010〕536号）。</w:t>
      </w:r>
      <w:r>
        <w:rPr>
          <w:color w:val="000000"/>
          <w:sz w:val="24"/>
          <w:highlight w:val="none"/>
        </w:rPr>
      </w:r>
      <w:r/>
    </w:p>
    <w:p>
      <w:pPr>
        <w:pStyle w:val="1288"/>
        <w:numPr>
          <w:ilvl w:val="1"/>
          <w:numId w:val="2"/>
        </w:numPr>
        <w:ind w:left="1080" w:hanging="720"/>
        <w:spacing w:line="360" w:lineRule="auto"/>
        <w:tabs>
          <w:tab w:val="left" w:pos="1080" w:leader="none"/>
          <w:tab w:val="left" w:pos="1447" w:leader="none"/>
          <w:tab w:val="left" w:pos="1589" w:leader="none"/>
          <w:tab w:val="left" w:pos="2014" w:leader="none"/>
        </w:tabs>
        <w:rPr>
          <w:rFonts w:hint="eastAsia"/>
          <w:color w:val="000000"/>
          <w:sz w:val="24"/>
          <w:highlight w:val="none"/>
        </w:rPr>
      </w:pPr>
      <w:r>
        <w:rPr>
          <w:rFonts w:hint="eastAsia"/>
          <w:color w:val="000000"/>
          <w:sz w:val="24"/>
          <w:highlight w:val="none"/>
        </w:rPr>
        <w:t xml:space="preserve">政府采购创新产品政策</w:t>
      </w:r>
      <w:r>
        <w:rPr>
          <w:rFonts w:hint="eastAsia"/>
          <w:color w:val="000000"/>
          <w:sz w:val="24"/>
          <w:highlight w:val="none"/>
        </w:rPr>
      </w:r>
      <w:r/>
    </w:p>
    <w:p>
      <w:pPr>
        <w:pStyle w:val="1288"/>
        <w:numPr>
          <w:ilvl w:val="2"/>
          <w:numId w:val="2"/>
        </w:numPr>
        <w:spacing w:line="360" w:lineRule="auto"/>
        <w:tabs>
          <w:tab w:val="left" w:pos="1980" w:leader="none"/>
          <w:tab w:val="left" w:pos="2014" w:leader="none"/>
        </w:tabs>
        <w:rPr>
          <w:rFonts w:hint="eastAsia"/>
          <w:color w:val="000000"/>
          <w:sz w:val="24"/>
          <w:highlight w:val="none"/>
        </w:rPr>
      </w:pPr>
      <w:r>
        <w:rPr>
          <w:rFonts w:hint="eastAsia"/>
          <w:color w:val="000000"/>
          <w:sz w:val="24"/>
          <w:highlight w:val="none"/>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rPr>
          <w:rFonts w:hint="eastAsia"/>
          <w:color w:val="000000"/>
          <w:sz w:val="24"/>
          <w:highlight w:val="none"/>
        </w:rPr>
      </w:r>
      <w:r/>
    </w:p>
    <w:p>
      <w:pPr>
        <w:pStyle w:val="1288"/>
        <w:numPr>
          <w:ilvl w:val="1"/>
          <w:numId w:val="2"/>
        </w:numPr>
        <w:ind w:left="1080" w:hanging="720"/>
        <w:spacing w:line="360" w:lineRule="auto"/>
        <w:tabs>
          <w:tab w:val="left" w:pos="1080" w:leader="none"/>
          <w:tab w:val="left" w:pos="1447" w:leader="none"/>
          <w:tab w:val="left" w:pos="1589" w:leader="none"/>
          <w:tab w:val="left" w:pos="2014" w:leader="none"/>
        </w:tabs>
        <w:rPr>
          <w:rFonts w:hint="eastAsia"/>
          <w:color w:val="000000"/>
          <w:sz w:val="24"/>
          <w:highlight w:val="none"/>
        </w:rPr>
      </w:pPr>
      <w:r>
        <w:rPr>
          <w:rFonts w:hint="eastAsia"/>
          <w:color w:val="000000"/>
          <w:sz w:val="24"/>
          <w:highlight w:val="none"/>
        </w:rPr>
        <w:t xml:space="preserve">绿色采购政策</w:t>
      </w:r>
      <w:r>
        <w:rPr>
          <w:rFonts w:hint="eastAsia"/>
          <w:color w:val="000000"/>
          <w:sz w:val="24"/>
          <w:highlight w:val="none"/>
        </w:rPr>
      </w:r>
      <w:r/>
    </w:p>
    <w:p>
      <w:pPr>
        <w:pStyle w:val="1288"/>
        <w:numPr>
          <w:ilvl w:val="2"/>
          <w:numId w:val="2"/>
        </w:numPr>
        <w:spacing w:line="360" w:lineRule="auto"/>
        <w:tabs>
          <w:tab w:val="left" w:pos="1980" w:leader="none"/>
          <w:tab w:val="left" w:pos="2014" w:leader="none"/>
        </w:tabs>
        <w:rPr>
          <w:color w:val="000000"/>
          <w:sz w:val="24"/>
          <w:highlight w:val="none"/>
        </w:rPr>
      </w:pPr>
      <w:r>
        <w:rPr>
          <w:rFonts w:hint="eastAsia"/>
          <w:color w:val="000000"/>
          <w:sz w:val="24"/>
          <w:highlight w:val="none"/>
        </w:rPr>
        <w:t xml:space="preserve">绿色数据中心政策</w:t>
      </w:r>
      <w:r>
        <w:rPr>
          <w:color w:val="000000"/>
          <w:sz w:val="24"/>
          <w:highlight w:val="none"/>
        </w:rPr>
      </w:r>
      <w:r/>
    </w:p>
    <w:p>
      <w:pPr>
        <w:pStyle w:val="1288"/>
        <w:ind w:left="1980"/>
        <w:spacing w:line="360" w:lineRule="auto"/>
        <w:tabs>
          <w:tab w:val="left" w:pos="1980" w:leader="none"/>
          <w:tab w:val="left" w:pos="2014" w:leader="none"/>
        </w:tabs>
        <w:rPr>
          <w:rFonts w:hint="eastAsia"/>
          <w:color w:val="000000"/>
          <w:sz w:val="24"/>
          <w:highlight w:val="none"/>
        </w:rPr>
      </w:pPr>
      <w:r>
        <w:rPr>
          <w:rFonts w:hint="eastAsia"/>
          <w:color w:val="000000"/>
          <w:sz w:val="24"/>
          <w:highlight w:val="none"/>
        </w:rPr>
        <w:t xml:space="preserve">依据《绿色数据中心政府采购需求标准（试行）》（财办库〔2023〕7 号）文件精神，采购</w:t>
      </w:r>
      <w:r>
        <w:rPr>
          <w:rFonts w:hint="eastAsia"/>
          <w:color w:val="000000"/>
          <w:sz w:val="24"/>
          <w:highlight w:val="none"/>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hint="eastAsia"/>
          <w:color w:val="000000"/>
          <w:sz w:val="24"/>
          <w:highlight w:val="none"/>
        </w:rPr>
      </w:r>
      <w:r/>
    </w:p>
    <w:p>
      <w:pPr>
        <w:pStyle w:val="1288"/>
        <w:numPr>
          <w:ilvl w:val="2"/>
          <w:numId w:val="2"/>
        </w:numPr>
        <w:spacing w:line="360" w:lineRule="auto"/>
        <w:tabs>
          <w:tab w:val="left" w:pos="1980" w:leader="none"/>
          <w:tab w:val="left" w:pos="2014" w:leader="none"/>
        </w:tabs>
        <w:rPr>
          <w:color w:val="000000"/>
          <w:sz w:val="24"/>
          <w:highlight w:val="none"/>
        </w:rPr>
      </w:pPr>
      <w:r>
        <w:rPr>
          <w:rFonts w:hint="eastAsia"/>
          <w:color w:val="000000"/>
          <w:sz w:val="24"/>
          <w:highlight w:val="none"/>
        </w:rPr>
        <w:t xml:space="preserve">推广应用绿色建材</w:t>
      </w:r>
      <w:r>
        <w:rPr>
          <w:color w:val="000000"/>
          <w:sz w:val="24"/>
          <w:highlight w:val="none"/>
        </w:rPr>
      </w:r>
      <w:r/>
    </w:p>
    <w:p>
      <w:pPr>
        <w:pStyle w:val="1288"/>
        <w:ind w:left="1980"/>
        <w:spacing w:line="360" w:lineRule="auto"/>
        <w:tabs>
          <w:tab w:val="left" w:pos="1980" w:leader="none"/>
          <w:tab w:val="left" w:pos="2014" w:leader="none"/>
        </w:tabs>
        <w:rPr>
          <w:color w:val="000000"/>
          <w:sz w:val="24"/>
          <w:highlight w:val="none"/>
        </w:rPr>
      </w:pPr>
      <w:r>
        <w:rPr>
          <w:rFonts w:hint="eastAsia"/>
          <w:color w:val="000000"/>
          <w:sz w:val="24"/>
          <w:highlight w:val="none"/>
        </w:rPr>
        <w:t xml:space="preserve">采购人实施政府采购工程项目，要按照《常州市政府采购支持绿色建材促进建筑品质提升试点工作方案》（常财购</w:t>
      </w:r>
      <w:r>
        <w:rPr>
          <w:color w:val="000000"/>
          <w:sz w:val="24"/>
          <w:highlight w:val="none"/>
        </w:rPr>
        <w:t xml:space="preserve">〔20</w:t>
      </w:r>
      <w:r>
        <w:rPr>
          <w:rFonts w:hint="eastAsia"/>
          <w:color w:val="000000"/>
          <w:sz w:val="24"/>
          <w:highlight w:val="none"/>
        </w:rPr>
        <w:t xml:space="preserve">23</w:t>
      </w:r>
      <w:r>
        <w:rPr>
          <w:color w:val="000000"/>
          <w:sz w:val="24"/>
          <w:highlight w:val="none"/>
        </w:rPr>
        <w:t xml:space="preserve">〕</w:t>
      </w:r>
      <w:r>
        <w:rPr>
          <w:rFonts w:hint="eastAsia"/>
          <w:color w:val="000000"/>
          <w:sz w:val="24"/>
          <w:highlight w:val="none"/>
        </w:rPr>
        <w:t xml:space="preserve">18</w:t>
      </w:r>
      <w:r>
        <w:rPr>
          <w:color w:val="000000"/>
          <w:sz w:val="24"/>
          <w:highlight w:val="none"/>
        </w:rPr>
        <w:t xml:space="preserve"> 号</w:t>
      </w:r>
      <w:r>
        <w:rPr>
          <w:rFonts w:hint="eastAsia"/>
          <w:color w:val="000000"/>
          <w:sz w:val="24"/>
          <w:highlight w:val="none"/>
        </w:rPr>
        <w:t xml:space="preserve">）总体要求，落实《绿色建筑和绿色建材政府采购需求标准》（</w:t>
      </w:r>
      <w:r>
        <w:rPr>
          <w:color w:val="000000"/>
          <w:sz w:val="24"/>
          <w:highlight w:val="none"/>
        </w:rPr>
        <w:t xml:space="preserve">财库〔20</w:t>
      </w:r>
      <w:r>
        <w:rPr>
          <w:rFonts w:hint="eastAsia"/>
          <w:color w:val="000000"/>
          <w:sz w:val="24"/>
          <w:highlight w:val="none"/>
        </w:rPr>
        <w:t xml:space="preserve">22</w:t>
      </w:r>
      <w:r>
        <w:rPr>
          <w:color w:val="000000"/>
          <w:sz w:val="24"/>
          <w:highlight w:val="none"/>
        </w:rPr>
        <w:t xml:space="preserve">〕</w:t>
      </w:r>
      <w:r>
        <w:rPr>
          <w:rFonts w:hint="eastAsia"/>
          <w:color w:val="000000"/>
          <w:sz w:val="24"/>
          <w:highlight w:val="none"/>
        </w:rPr>
        <w:t xml:space="preserve">35</w:t>
      </w:r>
      <w:r>
        <w:rPr>
          <w:color w:val="000000"/>
          <w:sz w:val="24"/>
          <w:highlight w:val="none"/>
        </w:rPr>
        <w:t xml:space="preserve"> 号</w:t>
      </w:r>
      <w:r>
        <w:rPr>
          <w:rFonts w:hint="eastAsia"/>
          <w:color w:val="000000"/>
          <w:sz w:val="24"/>
          <w:highlight w:val="none"/>
        </w:rPr>
        <w:t xml:space="preserve">）和《政府采购支持绿色建材促进建筑品质提升政策项目实施指南》（财办库</w:t>
      </w:r>
      <w:r>
        <w:rPr>
          <w:color w:val="000000"/>
          <w:sz w:val="24"/>
          <w:highlight w:val="none"/>
        </w:rPr>
        <w:t xml:space="preserve">〔20</w:t>
      </w:r>
      <w:r>
        <w:rPr>
          <w:rFonts w:hint="eastAsia"/>
          <w:color w:val="000000"/>
          <w:sz w:val="24"/>
          <w:highlight w:val="none"/>
        </w:rPr>
        <w:t xml:space="preserve">23</w:t>
      </w:r>
      <w:r>
        <w:rPr>
          <w:color w:val="000000"/>
          <w:sz w:val="24"/>
          <w:highlight w:val="none"/>
        </w:rPr>
        <w:t xml:space="preserve">〕</w:t>
      </w:r>
      <w:r>
        <w:rPr>
          <w:rFonts w:hint="eastAsia"/>
          <w:color w:val="000000"/>
          <w:sz w:val="24"/>
          <w:highlight w:val="none"/>
        </w:rPr>
        <w:t xml:space="preserve">52</w:t>
      </w:r>
      <w:r>
        <w:rPr>
          <w:color w:val="000000"/>
          <w:sz w:val="24"/>
          <w:highlight w:val="none"/>
        </w:rPr>
        <w:t xml:space="preserve"> 号</w:t>
      </w:r>
      <w:r>
        <w:rPr>
          <w:rFonts w:hint="eastAsia"/>
          <w:color w:val="000000"/>
          <w:sz w:val="24"/>
          <w:highlight w:val="none"/>
        </w:rPr>
        <w:t xml:space="preserve">）,依据相关需求标准确定采购需求，在采购文件和采购合同中载明具体需求、履约验收条款和违约责任。</w:t>
      </w:r>
      <w:r>
        <w:rPr>
          <w:color w:val="000000"/>
          <w:sz w:val="24"/>
          <w:highlight w:val="none"/>
        </w:rPr>
      </w:r>
      <w:r/>
    </w:p>
    <w:p>
      <w:pPr>
        <w:pStyle w:val="1288"/>
        <w:numPr>
          <w:ilvl w:val="2"/>
          <w:numId w:val="2"/>
        </w:numPr>
        <w:spacing w:line="360" w:lineRule="auto"/>
        <w:tabs>
          <w:tab w:val="left" w:pos="1980" w:leader="none"/>
          <w:tab w:val="left" w:pos="2014" w:leader="none"/>
        </w:tabs>
        <w:rPr>
          <w:color w:val="000000"/>
          <w:sz w:val="24"/>
          <w:highlight w:val="none"/>
        </w:rPr>
      </w:pPr>
      <w:r>
        <w:rPr>
          <w:rFonts w:hint="eastAsia"/>
          <w:color w:val="000000"/>
          <w:sz w:val="24"/>
          <w:highlight w:val="none"/>
        </w:rPr>
        <w:t xml:space="preserve">优先使用低挥发性有机化合物产品</w:t>
      </w:r>
      <w:r>
        <w:rPr>
          <w:color w:val="000000"/>
          <w:sz w:val="24"/>
          <w:highlight w:val="none"/>
        </w:rPr>
      </w:r>
      <w:r/>
    </w:p>
    <w:p>
      <w:pPr>
        <w:pStyle w:val="1288"/>
        <w:ind w:left="1980"/>
        <w:spacing w:line="360" w:lineRule="auto"/>
        <w:tabs>
          <w:tab w:val="left" w:pos="1980" w:leader="none"/>
          <w:tab w:val="left" w:pos="2014" w:leader="none"/>
        </w:tabs>
        <w:rPr>
          <w:color w:val="000000"/>
          <w:sz w:val="24"/>
          <w:highlight w:val="none"/>
        </w:rPr>
      </w:pPr>
      <w:r>
        <w:rPr>
          <w:rFonts w:hint="eastAsia"/>
          <w:color w:val="000000"/>
          <w:sz w:val="24"/>
          <w:highlight w:val="none"/>
        </w:rPr>
        <w:t xml:space="preserve">采购人要落实挥发性有机化合物（VOCs）治理要求，若本项目中涉及涂料、胶黏剂、油墨、清洗剂等挥发性有机物产品的，属于强制性标准的，供应商应当提供符合国家和江苏省相关VOCs 含量限制标准的产品；属于推荐性标准的，应当在采购文件中载明低VOCs的优惠幅度、评审标准等，以体现优先采购。</w:t>
      </w:r>
      <w:r>
        <w:rPr>
          <w:color w:val="000000"/>
          <w:sz w:val="24"/>
          <w:highlight w:val="none"/>
        </w:rPr>
      </w:r>
      <w:r/>
    </w:p>
    <w:p>
      <w:pPr>
        <w:pStyle w:val="1288"/>
        <w:numPr>
          <w:ilvl w:val="1"/>
          <w:numId w:val="2"/>
        </w:numPr>
        <w:ind w:left="1080" w:hanging="720"/>
        <w:spacing w:line="360" w:lineRule="auto"/>
        <w:tabs>
          <w:tab w:val="left" w:pos="1080" w:leader="none"/>
          <w:tab w:val="left" w:pos="1447" w:leader="none"/>
          <w:tab w:val="left" w:pos="1589" w:leader="none"/>
          <w:tab w:val="left" w:pos="2014" w:leader="none"/>
        </w:tabs>
        <w:rPr>
          <w:color w:val="000000"/>
          <w:sz w:val="24"/>
          <w:highlight w:val="none"/>
        </w:rPr>
      </w:pPr>
      <w:r>
        <w:rPr>
          <w:rFonts w:hint="eastAsia"/>
          <w:color w:val="000000"/>
          <w:sz w:val="24"/>
          <w:highlight w:val="none"/>
        </w:rPr>
        <w:t xml:space="preserve">履约保证金相关政策</w:t>
      </w:r>
      <w:r>
        <w:rPr>
          <w:color w:val="000000"/>
          <w:sz w:val="24"/>
          <w:highlight w:val="none"/>
        </w:rPr>
      </w:r>
      <w:r/>
    </w:p>
    <w:p>
      <w:pPr>
        <w:pStyle w:val="1288"/>
        <w:numPr>
          <w:ilvl w:val="2"/>
          <w:numId w:val="2"/>
        </w:numPr>
        <w:spacing w:line="360" w:lineRule="auto"/>
        <w:tabs>
          <w:tab w:val="left" w:pos="1980" w:leader="none"/>
          <w:tab w:val="left" w:pos="2014" w:leader="none"/>
        </w:tabs>
        <w:rPr>
          <w:color w:val="000000"/>
          <w:sz w:val="24"/>
          <w:highlight w:val="none"/>
        </w:rPr>
      </w:pPr>
      <w:r>
        <w:rPr>
          <w:rFonts w:hint="eastAsia"/>
          <w:color w:val="000000"/>
          <w:sz w:val="24"/>
          <w:highlight w:val="none"/>
        </w:rPr>
        <w:t xml:space="preserve">根据国家、省、市相关规定，如果采购人根据项目实际情况，确实需要要求中标或者成交供应商提交履约保证金的，履约保证金的数额不得超过政府采购合同金额的</w:t>
      </w:r>
      <w:r>
        <w:rPr>
          <w:color w:val="000000"/>
          <w:sz w:val="24"/>
          <w:highlight w:val="none"/>
        </w:rPr>
        <w:t xml:space="preserve">5%</w:t>
      </w:r>
      <w:r>
        <w:rPr>
          <w:rFonts w:hint="eastAsia"/>
          <w:color w:val="000000"/>
          <w:sz w:val="24"/>
          <w:highlight w:val="none"/>
        </w:rPr>
        <w:t xml:space="preserve">，供应商应当以支票、汇票、本票或者金融机构、担保机构出具的保函（保险）等非现金形式提交，鼓励优先采用电子履约保函（保险）的形式。</w:t>
      </w:r>
      <w:r>
        <w:rPr>
          <w:color w:val="000000"/>
          <w:sz w:val="24"/>
          <w:highlight w:val="none"/>
        </w:rPr>
      </w:r>
      <w:r/>
    </w:p>
    <w:p>
      <w:pPr>
        <w:pStyle w:val="1288"/>
        <w:numPr>
          <w:ilvl w:val="2"/>
          <w:numId w:val="2"/>
        </w:numPr>
        <w:spacing w:line="360" w:lineRule="auto"/>
        <w:tabs>
          <w:tab w:val="left" w:pos="1980" w:leader="none"/>
          <w:tab w:val="left" w:pos="2014" w:leader="none"/>
        </w:tabs>
        <w:rPr>
          <w:color w:val="000000"/>
          <w:sz w:val="24"/>
          <w:highlight w:val="none"/>
        </w:rPr>
      </w:pPr>
      <w:r>
        <w:rPr>
          <w:rFonts w:hint="eastAsia"/>
          <w:color w:val="000000"/>
          <w:sz w:val="24"/>
          <w:highlight w:val="none"/>
        </w:rPr>
        <w:t xml:space="preserve">电子履约保函（保险）办理业务流程：江苏省</w:t>
      </w:r>
      <w:r>
        <w:rPr>
          <w:color w:val="000000"/>
          <w:sz w:val="24"/>
          <w:highlight w:val="none"/>
        </w:rPr>
        <w:t xml:space="preserve"> </w:t>
      </w:r>
      <w:r>
        <w:rPr>
          <w:rFonts w:hint="eastAsia"/>
          <w:color w:val="000000"/>
          <w:sz w:val="24"/>
          <w:highlight w:val="none"/>
        </w:rPr>
        <w:t xml:space="preserve">“政府采购电子履约保函（保险）平台”可通过江苏省政府采购网、“苏采云”系统链接访问（首次使用需注册，网址：</w:t>
      </w:r>
      <w:r>
        <w:rPr>
          <w:color w:val="000000"/>
          <w:sz w:val="24"/>
          <w:highlight w:val="none"/>
        </w:rPr>
        <w:t xml:space="preserve">https://jsdzbh.com/webSite/bHIndex</w:t>
      </w:r>
      <w:r>
        <w:rPr>
          <w:rFonts w:hint="eastAsia"/>
          <w:color w:val="000000"/>
          <w:sz w:val="24"/>
          <w:highlight w:val="none"/>
        </w:rPr>
        <w:t xml:space="preserve">）。供应商在签订政府采购合同后，登录“政府采购电子履约保函（保险）平台”，选择第三方机构并提交保函（保险）申请，经审核通过后支付相关费用即可。供应商可通过上述平台查询相关保函（保单）信息、理赔信息和开具发票。供应商可登录江苏政府采购网“资料下载”栏目下载“政府采购电子履约保函（保险）操作手册”。</w:t>
      </w:r>
      <w:r>
        <w:rPr>
          <w:color w:val="000000"/>
          <w:sz w:val="24"/>
          <w:highlight w:val="none"/>
        </w:rPr>
      </w:r>
      <w:r/>
    </w:p>
    <w:p>
      <w:pPr>
        <w:pStyle w:val="1288"/>
        <w:numPr>
          <w:ilvl w:val="0"/>
          <w:numId w:val="2"/>
        </w:numPr>
        <w:ind w:left="357" w:hanging="357"/>
        <w:spacing w:line="360" w:lineRule="auto"/>
        <w:tabs>
          <w:tab w:val="left" w:pos="360" w:leader="none"/>
          <w:tab w:val="left" w:pos="900" w:leader="none"/>
        </w:tabs>
        <w:rPr>
          <w:color w:val="000000"/>
          <w:sz w:val="24"/>
          <w:highlight w:val="none"/>
        </w:rPr>
        <w:outlineLvl w:val="1"/>
      </w:pPr>
      <w:r>
        <w:rPr>
          <w:color w:val="000000"/>
          <w:sz w:val="24"/>
          <w:highlight w:val="none"/>
        </w:rPr>
        <w:t xml:space="preserve">参与协商的费用</w:t>
      </w:r>
      <w:r>
        <w:rPr>
          <w:color w:val="000000"/>
          <w:sz w:val="24"/>
          <w:highlight w:val="none"/>
        </w:rPr>
      </w:r>
      <w:r/>
    </w:p>
    <w:p>
      <w:pPr>
        <w:pStyle w:val="1288"/>
        <w:numPr>
          <w:ilvl w:val="1"/>
          <w:numId w:val="2"/>
        </w:numPr>
        <w:ind w:left="1080" w:hanging="720"/>
        <w:spacing w:line="360" w:lineRule="auto"/>
        <w:tabs>
          <w:tab w:val="left" w:pos="1080" w:leader="none"/>
          <w:tab w:val="left" w:pos="1447" w:leader="none"/>
          <w:tab w:val="left" w:pos="1589" w:leader="none"/>
          <w:tab w:val="left" w:pos="2014" w:leader="none"/>
        </w:tabs>
        <w:rPr>
          <w:color w:val="000000"/>
          <w:sz w:val="24"/>
          <w:highlight w:val="none"/>
        </w:rPr>
      </w:pPr>
      <w:r>
        <w:rPr>
          <w:color w:val="000000"/>
          <w:sz w:val="24"/>
          <w:highlight w:val="none"/>
        </w:rPr>
        <w:t xml:space="preserve">供应商应自行承担所有与准备和参加</w:t>
      </w:r>
      <w:r>
        <w:rPr>
          <w:rFonts w:hint="eastAsia"/>
          <w:color w:val="000000"/>
          <w:sz w:val="24"/>
          <w:highlight w:val="none"/>
        </w:rPr>
        <w:t xml:space="preserve">竞争性</w:t>
      </w:r>
      <w:r>
        <w:rPr>
          <w:color w:val="000000"/>
          <w:sz w:val="24"/>
          <w:highlight w:val="none"/>
        </w:rPr>
        <w:t xml:space="preserve">谈判采购协商有关的费用，无论协商的结果如何，采购人或采购代理机构在任何情况下均无承担这些费用的义务和责任。</w:t>
      </w:r>
      <w:r>
        <w:rPr>
          <w:color w:val="000000"/>
          <w:sz w:val="24"/>
          <w:highlight w:val="none"/>
        </w:rPr>
      </w:r>
      <w:r/>
    </w:p>
    <w:p>
      <w:pPr>
        <w:pStyle w:val="1290"/>
        <w:spacing w:before="0" w:line="360" w:lineRule="auto"/>
        <w:rPr>
          <w:rFonts w:hint="eastAsia" w:ascii="Times New Roman" w:hAnsi="Times New Roman" w:eastAsia="宋体"/>
          <w:color w:val="000000"/>
          <w:sz w:val="28"/>
          <w:highlight w:val="none"/>
        </w:rPr>
      </w:pPr>
      <w:r/>
      <w:bookmarkStart w:id="164" w:name="_1.8_计量单位"/>
      <w:r/>
      <w:bookmarkEnd w:id="164"/>
      <w:r>
        <w:rPr>
          <w:rFonts w:ascii="Times New Roman" w:hAnsi="Times New Roman" w:eastAsia="宋体"/>
          <w:color w:val="000000"/>
          <w:sz w:val="28"/>
          <w:highlight w:val="none"/>
        </w:rPr>
        <w:t xml:space="preserve">二   </w:t>
      </w:r>
      <w:bookmarkEnd w:id="142"/>
      <w:r/>
      <w:bookmarkEnd w:id="143"/>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rPr>
          <w:rFonts w:hint="eastAsia" w:ascii="Times New Roman" w:hAnsi="Times New Roman" w:eastAsia="宋体"/>
          <w:color w:val="000000"/>
          <w:sz w:val="28"/>
          <w:highlight w:val="none"/>
        </w:rPr>
        <w:t xml:space="preserve">谈判</w:t>
      </w:r>
      <w:r>
        <w:rPr>
          <w:rFonts w:ascii="Times New Roman" w:hAnsi="Times New Roman" w:eastAsia="宋体"/>
          <w:color w:val="000000"/>
          <w:sz w:val="28"/>
          <w:highlight w:val="none"/>
        </w:rPr>
        <w:t xml:space="preserve">文件</w:t>
      </w:r>
      <w:r>
        <w:rPr>
          <w:rFonts w:hint="eastAsia" w:ascii="Times New Roman" w:hAnsi="Times New Roman" w:eastAsia="宋体"/>
          <w:color w:val="000000"/>
          <w:sz w:val="28"/>
          <w:highlight w:val="none"/>
        </w:rPr>
      </w:r>
      <w:r/>
    </w:p>
    <w:p>
      <w:pPr>
        <w:pStyle w:val="1296"/>
        <w:rPr>
          <w:color w:val="000000"/>
          <w:highlight w:val="none"/>
        </w:rPr>
      </w:pPr>
      <w:r>
        <w:rPr>
          <w:color w:val="000000"/>
          <w:highlight w:val="none"/>
        </w:rPr>
      </w:r>
      <w:r/>
    </w:p>
    <w:p>
      <w:pPr>
        <w:pStyle w:val="1288"/>
        <w:numPr>
          <w:ilvl w:val="0"/>
          <w:numId w:val="2"/>
        </w:numPr>
        <w:ind w:left="357" w:hanging="357"/>
        <w:spacing w:line="360" w:lineRule="auto"/>
        <w:tabs>
          <w:tab w:val="left" w:pos="360" w:leader="none"/>
          <w:tab w:val="left" w:pos="900" w:leader="none"/>
        </w:tabs>
        <w:rPr>
          <w:color w:val="000000"/>
          <w:sz w:val="24"/>
          <w:highlight w:val="none"/>
        </w:rPr>
        <w:outlineLvl w:val="1"/>
      </w:pPr>
      <w:r/>
      <w:bookmarkStart w:id="165" w:name="_Toc127151523"/>
      <w:r/>
      <w:bookmarkStart w:id="166" w:name="_Toc226965713"/>
      <w:r/>
      <w:bookmarkStart w:id="167" w:name="_Toc164351617"/>
      <w:r/>
      <w:bookmarkStart w:id="168" w:name="_Toc264969213"/>
      <w:r/>
      <w:bookmarkStart w:id="169" w:name="_Toc151193693"/>
      <w:r/>
      <w:bookmarkStart w:id="170" w:name="_Toc150480761"/>
      <w:r/>
      <w:bookmarkStart w:id="171" w:name="_Toc164608637"/>
      <w:r/>
      <w:bookmarkStart w:id="172" w:name="_Toc150509274"/>
      <w:r/>
      <w:bookmarkStart w:id="173" w:name="_Toc226337219"/>
      <w:r/>
      <w:bookmarkStart w:id="174" w:name="_Toc164229364"/>
      <w:r/>
      <w:bookmarkStart w:id="175" w:name="_Toc195842888"/>
      <w:r/>
      <w:bookmarkStart w:id="176" w:name="_Toc127161437"/>
      <w:r/>
      <w:bookmarkStart w:id="177" w:name="_Toc151190150"/>
      <w:r/>
      <w:bookmarkStart w:id="178" w:name="_Toc305158865"/>
      <w:r/>
      <w:bookmarkStart w:id="179" w:name="_Toc150774728"/>
      <w:r/>
      <w:bookmarkStart w:id="180" w:name="_Toc151193765"/>
      <w:r/>
      <w:bookmarkStart w:id="181" w:name="_Toc305158791"/>
      <w:r/>
      <w:bookmarkStart w:id="182" w:name="_Toc142311025"/>
      <w:r/>
      <w:bookmarkStart w:id="183" w:name="_Toc127151724"/>
      <w:r/>
      <w:bookmarkStart w:id="184" w:name="OLE_LINK18"/>
      <w:r/>
      <w:bookmarkStart w:id="185" w:name="OLE_LINK17"/>
      <w:r/>
      <w:bookmarkStart w:id="186" w:name="_Toc164608792"/>
      <w:r/>
      <w:bookmarkStart w:id="187" w:name="_Toc226965796"/>
      <w:r/>
      <w:bookmarkStart w:id="188" w:name="_Toc520356147"/>
      <w:r/>
      <w:bookmarkStart w:id="189" w:name="_Toc151193621"/>
      <w:r/>
      <w:bookmarkStart w:id="190" w:name="_Toc265228361"/>
      <w:r/>
      <w:bookmarkStart w:id="191" w:name="_Toc151193837"/>
      <w:r/>
      <w:bookmarkStart w:id="192" w:name="_Toc149720816"/>
      <w:r/>
      <w:bookmarkStart w:id="193" w:name="_Toc151193911"/>
      <w:r/>
      <w:bookmarkStart w:id="194" w:name="_Toc226309767"/>
      <w:r/>
      <w:bookmarkStart w:id="195" w:name="_Toc164229218"/>
      <w:r/>
      <w:bookmarkStart w:id="196" w:name="_Toc150774623"/>
      <w:r>
        <w:rPr>
          <w:rFonts w:hint="eastAsia"/>
          <w:color w:val="000000"/>
          <w:sz w:val="24"/>
          <w:highlight w:val="none"/>
        </w:rPr>
        <w:t xml:space="preserve">谈判</w:t>
      </w:r>
      <w:bookmarkEnd w:id="184"/>
      <w:r/>
      <w:bookmarkEnd w:id="185"/>
      <w:r>
        <w:rPr>
          <w:color w:val="000000"/>
          <w:sz w:val="24"/>
          <w:highlight w:val="none"/>
        </w:rPr>
        <w:t xml:space="preserve">文件构</w:t>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6"/>
      <w:r/>
      <w:bookmarkEnd w:id="187"/>
      <w:r/>
      <w:bookmarkEnd w:id="188"/>
      <w:r/>
      <w:bookmarkEnd w:id="189"/>
      <w:r/>
      <w:bookmarkEnd w:id="190"/>
      <w:r/>
      <w:bookmarkEnd w:id="191"/>
      <w:r/>
      <w:bookmarkEnd w:id="192"/>
      <w:r/>
      <w:bookmarkEnd w:id="193"/>
      <w:r/>
      <w:bookmarkEnd w:id="194"/>
      <w:r/>
      <w:bookmarkEnd w:id="195"/>
      <w:r/>
      <w:bookmarkEnd w:id="196"/>
      <w:r>
        <w:rPr>
          <w:color w:val="000000"/>
          <w:sz w:val="24"/>
          <w:highlight w:val="none"/>
        </w:rPr>
        <w:t xml:space="preserve">成</w:t>
      </w:r>
      <w:r>
        <w:rPr>
          <w:color w:val="000000"/>
          <w:sz w:val="24"/>
          <w:highlight w:val="none"/>
        </w:rPr>
      </w:r>
      <w:r/>
    </w:p>
    <w:p>
      <w:pPr>
        <w:pStyle w:val="1288"/>
        <w:numPr>
          <w:ilvl w:val="1"/>
          <w:numId w:val="2"/>
        </w:numPr>
        <w:ind w:left="1080" w:hanging="720"/>
        <w:spacing w:line="360" w:lineRule="auto"/>
        <w:tabs>
          <w:tab w:val="left" w:pos="1080" w:leader="none"/>
          <w:tab w:val="left" w:pos="1447" w:leader="none"/>
          <w:tab w:val="left" w:pos="1589" w:leader="none"/>
          <w:tab w:val="left" w:pos="2014" w:leader="none"/>
        </w:tabs>
        <w:rPr>
          <w:color w:val="000000"/>
          <w:sz w:val="24"/>
          <w:highlight w:val="none"/>
        </w:rPr>
      </w:pPr>
      <w:r/>
      <w:bookmarkStart w:id="197" w:name="OLE_LINK20"/>
      <w:r/>
      <w:bookmarkStart w:id="198" w:name="OLE_LINK21"/>
      <w:r/>
      <w:bookmarkStart w:id="199" w:name="OLE_LINK22"/>
      <w:r>
        <w:rPr>
          <w:rFonts w:hint="eastAsia"/>
          <w:color w:val="000000"/>
          <w:sz w:val="24"/>
          <w:highlight w:val="none"/>
        </w:rPr>
        <w:t xml:space="preserve">谈判</w:t>
      </w:r>
      <w:bookmarkEnd w:id="197"/>
      <w:r/>
      <w:bookmarkEnd w:id="198"/>
      <w:r/>
      <w:bookmarkEnd w:id="199"/>
      <w:r>
        <w:rPr>
          <w:color w:val="000000"/>
          <w:sz w:val="24"/>
          <w:highlight w:val="none"/>
        </w:rPr>
        <w:t xml:space="preserve">文件包括以下部分：</w:t>
      </w:r>
      <w:r>
        <w:rPr>
          <w:color w:val="000000"/>
          <w:sz w:val="24"/>
          <w:highlight w:val="none"/>
        </w:rPr>
      </w:r>
      <w:r/>
    </w:p>
    <w:p>
      <w:pPr>
        <w:pStyle w:val="1288"/>
        <w:numPr>
          <w:ilvl w:val="0"/>
          <w:numId w:val="5"/>
        </w:numPr>
        <w:ind w:left="1440" w:firstLine="5"/>
        <w:spacing w:line="360" w:lineRule="auto"/>
        <w:tabs>
          <w:tab w:val="left" w:pos="1980" w:leader="none"/>
          <w:tab w:val="left" w:pos="2520" w:leader="none"/>
          <w:tab w:val="left" w:pos="5225" w:leader="none"/>
        </w:tabs>
        <w:rPr>
          <w:color w:val="000000"/>
          <w:sz w:val="24"/>
          <w:highlight w:val="none"/>
        </w:rPr>
      </w:pPr>
      <w:r>
        <w:rPr>
          <w:rFonts w:hint="eastAsia"/>
          <w:color w:val="000000"/>
          <w:sz w:val="24"/>
          <w:highlight w:val="none"/>
        </w:rPr>
        <w:t xml:space="preserve">谈判</w:t>
      </w:r>
      <w:r>
        <w:rPr>
          <w:color w:val="000000"/>
          <w:sz w:val="24"/>
          <w:highlight w:val="none"/>
        </w:rPr>
        <w:t xml:space="preserve">邀请</w:t>
      </w:r>
      <w:r>
        <w:rPr>
          <w:color w:val="000000"/>
          <w:sz w:val="24"/>
          <w:highlight w:val="none"/>
        </w:rPr>
      </w:r>
      <w:r/>
    </w:p>
    <w:p>
      <w:pPr>
        <w:pStyle w:val="1288"/>
        <w:numPr>
          <w:ilvl w:val="0"/>
          <w:numId w:val="5"/>
        </w:numPr>
        <w:ind w:left="1440" w:firstLine="5"/>
        <w:spacing w:line="360" w:lineRule="auto"/>
        <w:tabs>
          <w:tab w:val="left" w:pos="1980" w:leader="none"/>
          <w:tab w:val="left" w:pos="2520" w:leader="none"/>
          <w:tab w:val="left" w:pos="5225" w:leader="none"/>
        </w:tabs>
        <w:rPr>
          <w:color w:val="000000"/>
          <w:sz w:val="24"/>
          <w:highlight w:val="none"/>
        </w:rPr>
      </w:pPr>
      <w:r>
        <w:rPr>
          <w:color w:val="000000"/>
          <w:sz w:val="24"/>
          <w:highlight w:val="none"/>
        </w:rPr>
        <w:t xml:space="preserve">供应商须知</w:t>
      </w:r>
      <w:r>
        <w:rPr>
          <w:color w:val="000000"/>
          <w:sz w:val="24"/>
          <w:highlight w:val="none"/>
        </w:rPr>
      </w:r>
      <w:r/>
    </w:p>
    <w:p>
      <w:pPr>
        <w:pStyle w:val="1288"/>
        <w:numPr>
          <w:ilvl w:val="0"/>
          <w:numId w:val="5"/>
        </w:numPr>
        <w:ind w:left="1440" w:firstLine="5"/>
        <w:spacing w:line="360" w:lineRule="auto"/>
        <w:tabs>
          <w:tab w:val="left" w:pos="1980" w:leader="none"/>
          <w:tab w:val="left" w:pos="2520" w:leader="none"/>
          <w:tab w:val="left" w:pos="5225" w:leader="none"/>
        </w:tabs>
        <w:rPr>
          <w:color w:val="000000"/>
          <w:sz w:val="24"/>
          <w:highlight w:val="none"/>
        </w:rPr>
      </w:pPr>
      <w:r>
        <w:rPr>
          <w:color w:val="000000"/>
          <w:sz w:val="24"/>
          <w:highlight w:val="none"/>
        </w:rPr>
        <w:t xml:space="preserve">评审程序和评定成交的标准</w:t>
      </w:r>
      <w:r>
        <w:rPr>
          <w:color w:val="000000"/>
          <w:sz w:val="24"/>
          <w:highlight w:val="none"/>
        </w:rPr>
      </w:r>
      <w:r/>
    </w:p>
    <w:p>
      <w:pPr>
        <w:pStyle w:val="1288"/>
        <w:numPr>
          <w:ilvl w:val="0"/>
          <w:numId w:val="5"/>
        </w:numPr>
        <w:ind w:left="1440" w:firstLine="5"/>
        <w:spacing w:line="360" w:lineRule="auto"/>
        <w:tabs>
          <w:tab w:val="left" w:pos="1980" w:leader="none"/>
          <w:tab w:val="left" w:pos="2520" w:leader="none"/>
          <w:tab w:val="left" w:pos="5225" w:leader="none"/>
        </w:tabs>
        <w:rPr>
          <w:color w:val="000000"/>
          <w:sz w:val="24"/>
          <w:highlight w:val="none"/>
        </w:rPr>
      </w:pPr>
      <w:r>
        <w:rPr>
          <w:color w:val="000000"/>
          <w:sz w:val="24"/>
          <w:highlight w:val="none"/>
        </w:rPr>
        <w:t xml:space="preserve">采购需求</w:t>
      </w:r>
      <w:r>
        <w:rPr>
          <w:color w:val="000000"/>
          <w:sz w:val="24"/>
          <w:highlight w:val="none"/>
        </w:rPr>
      </w:r>
      <w:r/>
    </w:p>
    <w:p>
      <w:pPr>
        <w:pStyle w:val="1288"/>
        <w:numPr>
          <w:ilvl w:val="0"/>
          <w:numId w:val="5"/>
        </w:numPr>
        <w:ind w:left="1440" w:firstLine="5"/>
        <w:spacing w:line="360" w:lineRule="auto"/>
        <w:tabs>
          <w:tab w:val="left" w:pos="1980" w:leader="none"/>
          <w:tab w:val="left" w:pos="2520" w:leader="none"/>
          <w:tab w:val="left" w:pos="5225" w:leader="none"/>
        </w:tabs>
        <w:rPr>
          <w:color w:val="000000"/>
          <w:sz w:val="24"/>
          <w:highlight w:val="none"/>
        </w:rPr>
      </w:pPr>
      <w:r>
        <w:rPr>
          <w:color w:val="000000"/>
          <w:sz w:val="24"/>
          <w:highlight w:val="none"/>
        </w:rPr>
        <w:t xml:space="preserve">合同条款</w:t>
      </w:r>
      <w:r>
        <w:rPr>
          <w:color w:val="000000"/>
          <w:sz w:val="24"/>
          <w:highlight w:val="none"/>
        </w:rPr>
      </w:r>
      <w:r/>
    </w:p>
    <w:p>
      <w:pPr>
        <w:pStyle w:val="1288"/>
        <w:numPr>
          <w:ilvl w:val="0"/>
          <w:numId w:val="5"/>
        </w:numPr>
        <w:ind w:left="1440" w:firstLine="5"/>
        <w:spacing w:line="360" w:lineRule="auto"/>
        <w:tabs>
          <w:tab w:val="left" w:pos="1980" w:leader="none"/>
          <w:tab w:val="left" w:pos="2520" w:leader="none"/>
          <w:tab w:val="left" w:pos="5225" w:leader="none"/>
        </w:tabs>
        <w:rPr>
          <w:color w:val="000000"/>
          <w:sz w:val="24"/>
          <w:highlight w:val="none"/>
        </w:rPr>
      </w:pPr>
      <w:r>
        <w:rPr>
          <w:color w:val="000000"/>
          <w:sz w:val="24"/>
          <w:highlight w:val="none"/>
        </w:rPr>
        <w:t xml:space="preserve">响应文件格式</w:t>
      </w:r>
      <w:r>
        <w:rPr>
          <w:color w:val="000000"/>
          <w:sz w:val="24"/>
          <w:highlight w:val="none"/>
        </w:rPr>
      </w:r>
      <w:r/>
    </w:p>
    <w:p>
      <w:pPr>
        <w:pStyle w:val="1288"/>
        <w:numPr>
          <w:ilvl w:val="1"/>
          <w:numId w:val="2"/>
        </w:numPr>
        <w:ind w:left="1080" w:hanging="720"/>
        <w:spacing w:line="360" w:lineRule="auto"/>
        <w:tabs>
          <w:tab w:val="left" w:pos="1080" w:leader="none"/>
          <w:tab w:val="left" w:pos="1447" w:leader="none"/>
          <w:tab w:val="left" w:pos="1589" w:leader="none"/>
          <w:tab w:val="left" w:pos="2014" w:leader="none"/>
        </w:tabs>
        <w:rPr>
          <w:color w:val="000000"/>
          <w:sz w:val="24"/>
          <w:highlight w:val="none"/>
        </w:rPr>
      </w:pPr>
      <w:r>
        <w:rPr>
          <w:color w:val="000000"/>
          <w:sz w:val="24"/>
          <w:highlight w:val="none"/>
        </w:rPr>
        <w:t xml:space="preserve">供应商应认真阅读</w:t>
      </w:r>
      <w:bookmarkStart w:id="200" w:name="OLE_LINK23"/>
      <w:r>
        <w:rPr>
          <w:rFonts w:hint="eastAsia"/>
          <w:color w:val="000000"/>
          <w:sz w:val="24"/>
          <w:highlight w:val="none"/>
        </w:rPr>
        <w:t xml:space="preserve">谈判</w:t>
      </w:r>
      <w:bookmarkEnd w:id="200"/>
      <w:r>
        <w:rPr>
          <w:color w:val="000000"/>
          <w:sz w:val="24"/>
          <w:highlight w:val="none"/>
        </w:rPr>
        <w:t xml:space="preserve">文件的全部内容。供应商应按照</w:t>
      </w:r>
      <w:r>
        <w:rPr>
          <w:rFonts w:hint="eastAsia"/>
          <w:color w:val="000000"/>
          <w:sz w:val="24"/>
          <w:highlight w:val="none"/>
        </w:rPr>
        <w:t xml:space="preserve">谈判</w:t>
      </w:r>
      <w:r>
        <w:rPr>
          <w:color w:val="000000"/>
          <w:sz w:val="24"/>
          <w:highlight w:val="none"/>
        </w:rPr>
        <w:t xml:space="preserve">文件要求提交响应文件并保证所提供的全部资料的真实性，并对谈判文件做出实质性响应，否则</w:t>
      </w:r>
      <w:r>
        <w:rPr>
          <w:b/>
          <w:color w:val="000000"/>
          <w:sz w:val="24"/>
          <w:highlight w:val="none"/>
        </w:rPr>
        <w:t xml:space="preserve">响应无效</w:t>
      </w:r>
      <w:r>
        <w:rPr>
          <w:color w:val="000000"/>
          <w:sz w:val="24"/>
          <w:highlight w:val="none"/>
        </w:rPr>
        <w:t xml:space="preserve">。</w:t>
      </w:r>
      <w:r>
        <w:rPr>
          <w:color w:val="000000"/>
          <w:sz w:val="24"/>
          <w:highlight w:val="none"/>
        </w:rPr>
      </w:r>
      <w:r/>
    </w:p>
    <w:p>
      <w:pPr>
        <w:pStyle w:val="1288"/>
        <w:numPr>
          <w:ilvl w:val="0"/>
          <w:numId w:val="2"/>
        </w:numPr>
        <w:ind w:left="357" w:hanging="357"/>
        <w:spacing w:line="360" w:lineRule="auto"/>
        <w:tabs>
          <w:tab w:val="left" w:pos="900" w:leader="none"/>
          <w:tab w:val="left" w:pos="1080" w:leader="none"/>
          <w:tab w:val="left" w:pos="2014" w:leader="none"/>
        </w:tabs>
        <w:rPr>
          <w:color w:val="000000"/>
          <w:sz w:val="24"/>
          <w:highlight w:val="none"/>
        </w:rPr>
        <w:outlineLvl w:val="1"/>
      </w:pPr>
      <w:r>
        <w:rPr>
          <w:color w:val="000000"/>
          <w:sz w:val="24"/>
          <w:highlight w:val="none"/>
        </w:rPr>
        <w:t xml:space="preserve">对</w:t>
      </w:r>
      <w:r>
        <w:rPr>
          <w:rFonts w:hint="eastAsia"/>
          <w:color w:val="000000"/>
          <w:sz w:val="24"/>
          <w:highlight w:val="none"/>
        </w:rPr>
        <w:t xml:space="preserve">谈判</w:t>
      </w:r>
      <w:r>
        <w:rPr>
          <w:color w:val="000000"/>
          <w:sz w:val="24"/>
          <w:highlight w:val="none"/>
        </w:rPr>
        <w:t xml:space="preserve">文件的澄清或修改</w:t>
      </w:r>
      <w:r>
        <w:rPr>
          <w:color w:val="000000"/>
          <w:sz w:val="24"/>
          <w:highlight w:val="none"/>
        </w:rPr>
      </w:r>
      <w:r/>
    </w:p>
    <w:p>
      <w:pPr>
        <w:pStyle w:val="1288"/>
        <w:numPr>
          <w:ilvl w:val="1"/>
          <w:numId w:val="2"/>
        </w:numPr>
        <w:ind w:left="1080" w:hanging="720"/>
        <w:spacing w:line="360" w:lineRule="auto"/>
        <w:tabs>
          <w:tab w:val="left" w:pos="1080" w:leader="none"/>
          <w:tab w:val="left" w:pos="1447" w:leader="none"/>
          <w:tab w:val="left" w:pos="1561" w:leader="none"/>
          <w:tab w:val="left" w:pos="1589" w:leader="none"/>
          <w:tab w:val="left" w:pos="2014" w:leader="none"/>
        </w:tabs>
        <w:rPr>
          <w:color w:val="000000"/>
          <w:sz w:val="24"/>
          <w:highlight w:val="none"/>
        </w:rPr>
      </w:pPr>
      <w:r>
        <w:rPr>
          <w:color w:val="000000"/>
          <w:sz w:val="24"/>
          <w:highlight w:val="none"/>
        </w:rPr>
        <w:t xml:space="preserve">采购人或采购代理机构对已发出的</w:t>
      </w:r>
      <w:r>
        <w:rPr>
          <w:rFonts w:hint="eastAsia"/>
          <w:color w:val="000000"/>
          <w:sz w:val="24"/>
          <w:highlight w:val="none"/>
        </w:rPr>
        <w:t xml:space="preserve">谈判</w:t>
      </w:r>
      <w:r>
        <w:rPr>
          <w:color w:val="000000"/>
          <w:sz w:val="24"/>
          <w:highlight w:val="none"/>
        </w:rPr>
        <w:t xml:space="preserve">文件进行必要澄清或者修改的，将在原公告发布媒体上以</w:t>
      </w:r>
      <w:r>
        <w:rPr>
          <w:rFonts w:hint="eastAsia"/>
          <w:color w:val="000000"/>
          <w:sz w:val="24"/>
          <w:highlight w:val="none"/>
        </w:rPr>
        <w:t xml:space="preserve">发布</w:t>
      </w:r>
      <w:r>
        <w:rPr>
          <w:color w:val="000000"/>
          <w:sz w:val="24"/>
          <w:highlight w:val="none"/>
        </w:rPr>
        <w:t xml:space="preserve">更正公告</w:t>
      </w:r>
      <w:r>
        <w:rPr>
          <w:rFonts w:hint="eastAsia"/>
          <w:color w:val="000000"/>
          <w:sz w:val="24"/>
          <w:highlight w:val="none"/>
        </w:rPr>
        <w:t xml:space="preserve">的</w:t>
      </w:r>
      <w:r>
        <w:rPr>
          <w:color w:val="000000"/>
          <w:sz w:val="24"/>
          <w:highlight w:val="none"/>
        </w:rPr>
        <w:t xml:space="preserve">形式通知获取</w:t>
      </w:r>
      <w:r>
        <w:rPr>
          <w:rFonts w:hint="eastAsia"/>
          <w:color w:val="000000"/>
          <w:sz w:val="24"/>
          <w:highlight w:val="none"/>
        </w:rPr>
        <w:t xml:space="preserve">谈判</w:t>
      </w:r>
      <w:r>
        <w:rPr>
          <w:color w:val="000000"/>
          <w:sz w:val="24"/>
          <w:highlight w:val="none"/>
        </w:rPr>
        <w:t xml:space="preserve">文件的供应商。</w:t>
      </w:r>
      <w:r>
        <w:rPr>
          <w:color w:val="000000"/>
          <w:sz w:val="24"/>
          <w:highlight w:val="none"/>
        </w:rPr>
      </w:r>
      <w:r/>
    </w:p>
    <w:p>
      <w:pPr>
        <w:pStyle w:val="1288"/>
        <w:numPr>
          <w:ilvl w:val="1"/>
          <w:numId w:val="2"/>
        </w:numPr>
        <w:ind w:left="1080" w:hanging="720"/>
        <w:spacing w:line="360" w:lineRule="auto"/>
        <w:tabs>
          <w:tab w:val="left" w:pos="1080" w:leader="none"/>
          <w:tab w:val="left" w:pos="1447" w:leader="none"/>
          <w:tab w:val="left" w:pos="1561" w:leader="none"/>
          <w:tab w:val="left" w:pos="1589" w:leader="none"/>
          <w:tab w:val="left" w:pos="2014" w:leader="none"/>
        </w:tabs>
        <w:rPr>
          <w:color w:val="000000"/>
          <w:sz w:val="24"/>
          <w:highlight w:val="none"/>
        </w:rPr>
      </w:pPr>
      <w:r>
        <w:rPr>
          <w:color w:val="000000"/>
          <w:sz w:val="24"/>
          <w:highlight w:val="none"/>
        </w:rPr>
        <w:t xml:space="preserve">澄清或者修改的内容为</w:t>
      </w:r>
      <w:r>
        <w:rPr>
          <w:rFonts w:hint="eastAsia"/>
          <w:color w:val="000000"/>
          <w:sz w:val="24"/>
          <w:highlight w:val="none"/>
        </w:rPr>
        <w:t xml:space="preserve">谈判</w:t>
      </w:r>
      <w:r>
        <w:rPr>
          <w:color w:val="000000"/>
          <w:sz w:val="24"/>
          <w:highlight w:val="none"/>
        </w:rPr>
        <w:t xml:space="preserve">文件的组成部分，并对获取</w:t>
      </w:r>
      <w:r>
        <w:rPr>
          <w:rFonts w:hint="eastAsia"/>
          <w:color w:val="000000"/>
          <w:sz w:val="24"/>
          <w:highlight w:val="none"/>
        </w:rPr>
        <w:t xml:space="preserve">谈判</w:t>
      </w:r>
      <w:r>
        <w:rPr>
          <w:color w:val="000000"/>
          <w:sz w:val="24"/>
          <w:highlight w:val="none"/>
        </w:rPr>
        <w:t xml:space="preserve">文件的潜在供应商具有约束力。澄清或者修改的内容可能影响响应文件编制的，将在《供应商须知资料表》规定的时间前，以更正公告形式通知获取</w:t>
      </w:r>
      <w:r>
        <w:rPr>
          <w:rFonts w:hint="eastAsia"/>
          <w:color w:val="000000"/>
          <w:sz w:val="24"/>
          <w:highlight w:val="none"/>
        </w:rPr>
        <w:t xml:space="preserve">谈判</w:t>
      </w:r>
      <w:r>
        <w:rPr>
          <w:color w:val="000000"/>
          <w:sz w:val="24"/>
          <w:highlight w:val="none"/>
        </w:rPr>
        <w:t xml:space="preserve">文件的潜在供应商；时间不足的，将顺延提交响应文件截止之日。</w:t>
      </w:r>
      <w:r>
        <w:rPr>
          <w:color w:val="000000"/>
          <w:sz w:val="24"/>
          <w:highlight w:val="none"/>
        </w:rPr>
      </w:r>
      <w:r/>
    </w:p>
    <w:p>
      <w:pPr>
        <w:pStyle w:val="1290"/>
        <w:spacing w:before="0" w:line="360" w:lineRule="auto"/>
        <w:rPr>
          <w:rFonts w:hint="eastAsia" w:ascii="Times New Roman" w:hAnsi="Times New Roman" w:eastAsia="宋体"/>
          <w:color w:val="000000"/>
          <w:sz w:val="28"/>
          <w:highlight w:val="none"/>
        </w:rPr>
      </w:pPr>
      <w:r/>
      <w:bookmarkStart w:id="201" w:name="_Toc305158868"/>
      <w:r/>
      <w:bookmarkStart w:id="202" w:name="_Toc150509277"/>
      <w:r/>
      <w:bookmarkStart w:id="203" w:name="_Toc150774731"/>
      <w:r/>
      <w:bookmarkStart w:id="204" w:name="_Toc151193914"/>
      <w:r/>
      <w:bookmarkStart w:id="205" w:name="_Toc127151526"/>
      <w:r/>
      <w:bookmarkStart w:id="206" w:name="_Toc226309770"/>
      <w:r/>
      <w:bookmarkStart w:id="207" w:name="_Toc150774626"/>
      <w:r/>
      <w:bookmarkStart w:id="208" w:name="_Toc226965799"/>
      <w:r/>
      <w:bookmarkStart w:id="209" w:name="_Toc516367020"/>
      <w:r/>
      <w:bookmarkStart w:id="210" w:name="_Toc265228364"/>
      <w:r/>
      <w:bookmarkStart w:id="211" w:name="_Toc151190153"/>
      <w:r/>
      <w:bookmarkStart w:id="212" w:name="_Toc151193768"/>
      <w:r/>
      <w:bookmarkStart w:id="213" w:name="_Toc151193696"/>
      <w:r/>
      <w:bookmarkStart w:id="214" w:name="_Toc226965716"/>
      <w:r/>
      <w:bookmarkStart w:id="215" w:name="_Toc195842891"/>
      <w:r/>
      <w:bookmarkStart w:id="216" w:name="_Toc151193624"/>
      <w:r/>
      <w:bookmarkStart w:id="217" w:name="_Toc142311028"/>
      <w:r/>
      <w:bookmarkStart w:id="218" w:name="_Toc226337222"/>
      <w:r/>
      <w:bookmarkStart w:id="219" w:name="_Toc264969216"/>
      <w:r/>
      <w:bookmarkStart w:id="220" w:name="_Toc520356150"/>
      <w:r/>
      <w:bookmarkStart w:id="221" w:name="_Toc151193840"/>
      <w:r/>
      <w:bookmarkStart w:id="222" w:name="_Toc150480764"/>
      <w:r/>
      <w:bookmarkStart w:id="223" w:name="_Toc305158794"/>
      <w:r>
        <w:rPr>
          <w:rFonts w:ascii="Times New Roman" w:hAnsi="Times New Roman" w:eastAsia="宋体"/>
          <w:color w:val="000000"/>
          <w:sz w:val="28"/>
          <w:highlight w:val="none"/>
        </w:rPr>
        <w:t xml:space="preserve">三   响应文件</w:t>
      </w:r>
      <w:bookmarkEnd w:id="209"/>
      <w:r>
        <w:rPr>
          <w:rFonts w:ascii="Times New Roman" w:hAnsi="Times New Roman" w:eastAsia="宋体"/>
          <w:color w:val="000000"/>
          <w:sz w:val="28"/>
          <w:highlight w:val="none"/>
        </w:rPr>
        <w:t xml:space="preserve">的编制</w:t>
      </w:r>
      <w:bookmarkEnd w:id="201"/>
      <w:r/>
      <w:bookmarkEnd w:id="202"/>
      <w:r/>
      <w:bookmarkEnd w:id="203"/>
      <w:r/>
      <w:bookmarkEnd w:id="204"/>
      <w:r/>
      <w:bookmarkEnd w:id="205"/>
      <w:r/>
      <w:bookmarkEnd w:id="206"/>
      <w:r/>
      <w:bookmarkEnd w:id="207"/>
      <w:r/>
      <w:bookmarkEnd w:id="208"/>
      <w:r/>
      <w:bookmarkEnd w:id="210"/>
      <w:r/>
      <w:bookmarkEnd w:id="211"/>
      <w:r/>
      <w:bookmarkEnd w:id="212"/>
      <w:r/>
      <w:bookmarkEnd w:id="213"/>
      <w:r/>
      <w:bookmarkEnd w:id="214"/>
      <w:r/>
      <w:bookmarkEnd w:id="215"/>
      <w:r/>
      <w:bookmarkEnd w:id="216"/>
      <w:r/>
      <w:bookmarkEnd w:id="217"/>
      <w:r/>
      <w:bookmarkEnd w:id="218"/>
      <w:r/>
      <w:bookmarkEnd w:id="219"/>
      <w:r/>
      <w:bookmarkEnd w:id="220"/>
      <w:r/>
      <w:bookmarkEnd w:id="221"/>
      <w:r/>
      <w:bookmarkEnd w:id="222"/>
      <w:r/>
      <w:bookmarkEnd w:id="223"/>
      <w:r>
        <w:rPr>
          <w:rFonts w:hint="eastAsia" w:ascii="Times New Roman" w:hAnsi="Times New Roman" w:eastAsia="宋体"/>
          <w:color w:val="000000"/>
          <w:sz w:val="28"/>
          <w:highlight w:val="none"/>
        </w:rPr>
      </w:r>
      <w:r/>
    </w:p>
    <w:p>
      <w:pPr>
        <w:pStyle w:val="1296"/>
        <w:rPr>
          <w:color w:val="000000"/>
          <w:highlight w:val="none"/>
        </w:rPr>
      </w:pPr>
      <w:r>
        <w:rPr>
          <w:color w:val="000000"/>
          <w:highlight w:val="none"/>
        </w:rPr>
      </w:r>
      <w:r/>
    </w:p>
    <w:p>
      <w:pPr>
        <w:pStyle w:val="1288"/>
        <w:numPr>
          <w:ilvl w:val="0"/>
          <w:numId w:val="2"/>
        </w:numPr>
        <w:ind w:left="357" w:hanging="357"/>
        <w:spacing w:line="360" w:lineRule="auto"/>
        <w:tabs>
          <w:tab w:val="left" w:pos="360" w:leader="none"/>
          <w:tab w:val="left" w:pos="900" w:leader="none"/>
        </w:tabs>
        <w:rPr>
          <w:color w:val="000000"/>
          <w:sz w:val="24"/>
          <w:highlight w:val="none"/>
        </w:rPr>
        <w:outlineLvl w:val="1"/>
      </w:pPr>
      <w:r/>
      <w:bookmarkStart w:id="224" w:name="_Toc151193915"/>
      <w:r/>
      <w:bookmarkStart w:id="225" w:name="_Toc520356151"/>
      <w:r/>
      <w:bookmarkStart w:id="226" w:name="_Toc305158795"/>
      <w:r/>
      <w:bookmarkStart w:id="227" w:name="_Toc150480765"/>
      <w:r/>
      <w:bookmarkStart w:id="228" w:name="_Toc164608796"/>
      <w:r/>
      <w:bookmarkStart w:id="229" w:name="_Toc149720820"/>
      <w:r/>
      <w:bookmarkStart w:id="230" w:name="_Toc264969217"/>
      <w:r/>
      <w:bookmarkStart w:id="231" w:name="_Toc151190154"/>
      <w:r/>
      <w:bookmarkStart w:id="232" w:name="_Toc164351621"/>
      <w:r/>
      <w:bookmarkStart w:id="233" w:name="_Toc150774732"/>
      <w:r/>
      <w:bookmarkStart w:id="234" w:name="_Toc127151527"/>
      <w:r/>
      <w:bookmarkStart w:id="235" w:name="_Toc127151728"/>
      <w:r/>
      <w:bookmarkStart w:id="236" w:name="_Toc265228365"/>
      <w:r/>
      <w:bookmarkStart w:id="237" w:name="_Toc226965800"/>
      <w:r/>
      <w:bookmarkStart w:id="238" w:name="_Toc305158869"/>
      <w:r/>
      <w:bookmarkStart w:id="239" w:name="_Toc164608641"/>
      <w:r/>
      <w:bookmarkStart w:id="240" w:name="_Toc195842892"/>
      <w:r/>
      <w:bookmarkStart w:id="241" w:name="_Toc142311029"/>
      <w:r/>
      <w:bookmarkStart w:id="242" w:name="_Toc226965717"/>
      <w:r/>
      <w:bookmarkStart w:id="243" w:name="_Toc151193769"/>
      <w:r/>
      <w:bookmarkStart w:id="244" w:name="_Toc150774627"/>
      <w:r/>
      <w:bookmarkStart w:id="245" w:name="_Toc226337223"/>
      <w:r/>
      <w:bookmarkStart w:id="246" w:name="_Toc127161441"/>
      <w:r/>
      <w:bookmarkStart w:id="247" w:name="_Toc151193625"/>
      <w:r/>
      <w:bookmarkStart w:id="248" w:name="_Toc151193841"/>
      <w:r/>
      <w:bookmarkStart w:id="249" w:name="_Toc226309771"/>
      <w:r/>
      <w:bookmarkStart w:id="250" w:name="_Toc164229368"/>
      <w:r/>
      <w:bookmarkStart w:id="251" w:name="_Toc151193697"/>
      <w:r/>
      <w:bookmarkStart w:id="252" w:name="_Toc164229222"/>
      <w:r/>
      <w:bookmarkStart w:id="253" w:name="_Toc150509278"/>
      <w:r/>
      <w:bookmarkStart w:id="254" w:name="_Toc516367021"/>
      <w:r>
        <w:rPr>
          <w:color w:val="000000"/>
          <w:sz w:val="24"/>
          <w:highlight w:val="none"/>
        </w:rPr>
        <w:t xml:space="preserve">响应范围、响应文件中计量单位的使用</w:t>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bookmarkEnd w:id="251"/>
      <w:r/>
      <w:bookmarkEnd w:id="252"/>
      <w:r/>
      <w:bookmarkEnd w:id="253"/>
      <w:r/>
      <w:bookmarkEnd w:id="254"/>
      <w:r>
        <w:rPr>
          <w:color w:val="000000"/>
          <w:sz w:val="24"/>
          <w:highlight w:val="none"/>
        </w:rPr>
        <w:t xml:space="preserve">及响应语言</w:t>
      </w:r>
      <w:r>
        <w:rPr>
          <w:color w:val="000000"/>
          <w:sz w:val="24"/>
          <w:highlight w:val="none"/>
        </w:rPr>
      </w:r>
      <w:r/>
    </w:p>
    <w:p>
      <w:pPr>
        <w:pStyle w:val="1288"/>
        <w:numPr>
          <w:ilvl w:val="1"/>
          <w:numId w:val="2"/>
        </w:numPr>
        <w:ind w:left="1080" w:hanging="720"/>
        <w:spacing w:line="360" w:lineRule="auto"/>
        <w:tabs>
          <w:tab w:val="left" w:pos="1080" w:leader="none"/>
          <w:tab w:val="left" w:pos="1447" w:leader="none"/>
          <w:tab w:val="left" w:pos="1589" w:leader="none"/>
          <w:tab w:val="left" w:pos="2014" w:leader="none"/>
        </w:tabs>
        <w:rPr>
          <w:color w:val="000000"/>
          <w:sz w:val="24"/>
          <w:highlight w:val="none"/>
        </w:rPr>
      </w:pPr>
      <w:r>
        <w:rPr>
          <w:color w:val="000000"/>
          <w:sz w:val="24"/>
          <w:highlight w:val="none"/>
        </w:rPr>
        <w:t xml:space="preserve">本项目如划分采购包，供应商可以对本项目的其中一个采购包进行响应，也可同时对多个采购包进行响应。供应商应当对所</w:t>
      </w:r>
      <w:r>
        <w:rPr>
          <w:rFonts w:hint="eastAsia"/>
          <w:color w:val="000000"/>
          <w:sz w:val="24"/>
          <w:highlight w:val="none"/>
        </w:rPr>
        <w:t xml:space="preserve">投</w:t>
      </w:r>
      <w:r>
        <w:rPr>
          <w:color w:val="000000"/>
          <w:sz w:val="24"/>
          <w:highlight w:val="none"/>
        </w:rPr>
        <w:t xml:space="preserve">采购包对应第四章《采购需求》所列的全部内容进行响应，不得将一个采购包中的内容拆开响应，否则其对该采购包的响应将被认定为</w:t>
      </w:r>
      <w:r>
        <w:rPr>
          <w:b/>
          <w:bCs/>
          <w:color w:val="000000"/>
          <w:sz w:val="24"/>
          <w:highlight w:val="none"/>
        </w:rPr>
        <w:t xml:space="preserve">无效响应</w:t>
      </w:r>
      <w:r>
        <w:rPr>
          <w:color w:val="000000"/>
          <w:sz w:val="24"/>
          <w:highlight w:val="none"/>
        </w:rPr>
        <w:t xml:space="preserve">。</w:t>
      </w:r>
      <w:r>
        <w:rPr>
          <w:color w:val="000000"/>
          <w:sz w:val="24"/>
          <w:highlight w:val="none"/>
        </w:rPr>
      </w:r>
      <w:r/>
    </w:p>
    <w:p>
      <w:pPr>
        <w:pStyle w:val="1288"/>
        <w:numPr>
          <w:ilvl w:val="1"/>
          <w:numId w:val="2"/>
        </w:numPr>
        <w:ind w:left="1080" w:hanging="720"/>
        <w:spacing w:line="360" w:lineRule="auto"/>
        <w:tabs>
          <w:tab w:val="left" w:pos="1080" w:leader="none"/>
          <w:tab w:val="left" w:pos="1447" w:leader="none"/>
          <w:tab w:val="left" w:pos="1589" w:leader="none"/>
          <w:tab w:val="left" w:pos="2014" w:leader="none"/>
        </w:tabs>
        <w:rPr>
          <w:color w:val="000000"/>
          <w:sz w:val="24"/>
          <w:highlight w:val="none"/>
        </w:rPr>
      </w:pPr>
      <w:r>
        <w:rPr>
          <w:color w:val="000000"/>
          <w:sz w:val="24"/>
          <w:highlight w:val="none"/>
        </w:rPr>
        <w:t xml:space="preserve">除</w:t>
      </w:r>
      <w:r>
        <w:rPr>
          <w:rFonts w:hint="eastAsia"/>
          <w:color w:val="000000"/>
          <w:sz w:val="24"/>
          <w:highlight w:val="none"/>
        </w:rPr>
        <w:t xml:space="preserve">谈判</w:t>
      </w:r>
      <w:r>
        <w:rPr>
          <w:color w:val="000000"/>
          <w:sz w:val="24"/>
          <w:highlight w:val="none"/>
        </w:rPr>
        <w:t xml:space="preserve">文件有特殊要求外，本项目所使用的计量单位，应采用中华人民共和国法定计量单位。</w:t>
      </w:r>
      <w:r>
        <w:rPr>
          <w:color w:val="000000"/>
          <w:sz w:val="24"/>
          <w:highlight w:val="none"/>
        </w:rPr>
      </w:r>
      <w:r/>
    </w:p>
    <w:p>
      <w:pPr>
        <w:pStyle w:val="1288"/>
        <w:numPr>
          <w:ilvl w:val="1"/>
          <w:numId w:val="2"/>
        </w:numPr>
        <w:ind w:left="1080" w:hanging="720"/>
        <w:spacing w:line="360" w:lineRule="auto"/>
        <w:tabs>
          <w:tab w:val="left" w:pos="1080" w:leader="none"/>
          <w:tab w:val="left" w:pos="1447" w:leader="none"/>
          <w:tab w:val="left" w:pos="1589" w:leader="none"/>
          <w:tab w:val="left" w:pos="2014" w:leader="none"/>
        </w:tabs>
        <w:rPr>
          <w:color w:val="000000"/>
          <w:sz w:val="24"/>
          <w:highlight w:val="none"/>
        </w:rPr>
      </w:pPr>
      <w:r>
        <w:rPr>
          <w:color w:val="000000"/>
          <w:sz w:val="24"/>
          <w:highlight w:val="none"/>
        </w:rPr>
        <w:t xml:space="preserve">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r>
        <w:rPr>
          <w:color w:val="000000"/>
          <w:sz w:val="24"/>
          <w:highlight w:val="none"/>
        </w:rPr>
      </w:r>
      <w:r/>
    </w:p>
    <w:p>
      <w:pPr>
        <w:pStyle w:val="1288"/>
        <w:numPr>
          <w:ilvl w:val="0"/>
          <w:numId w:val="2"/>
        </w:numPr>
        <w:ind w:left="357" w:hanging="357"/>
        <w:spacing w:line="360" w:lineRule="auto"/>
        <w:tabs>
          <w:tab w:val="left" w:pos="360" w:leader="none"/>
          <w:tab w:val="left" w:pos="900" w:leader="none"/>
        </w:tabs>
        <w:rPr>
          <w:color w:val="000000"/>
          <w:sz w:val="24"/>
          <w:highlight w:val="none"/>
        </w:rPr>
        <w:outlineLvl w:val="1"/>
      </w:pPr>
      <w:r/>
      <w:bookmarkStart w:id="255" w:name="_Toc151190155"/>
      <w:r/>
      <w:bookmarkStart w:id="256" w:name="_Toc164229369"/>
      <w:r/>
      <w:bookmarkStart w:id="257" w:name="_Toc150774733"/>
      <w:r/>
      <w:bookmarkStart w:id="258" w:name="_Toc226965718"/>
      <w:r/>
      <w:bookmarkStart w:id="259" w:name="_Toc226337224"/>
      <w:r/>
      <w:bookmarkStart w:id="260" w:name="_Toc150774628"/>
      <w:r/>
      <w:bookmarkStart w:id="261" w:name="_Toc151193842"/>
      <w:r/>
      <w:bookmarkStart w:id="262" w:name="_Toc516367022"/>
      <w:r/>
      <w:bookmarkStart w:id="263" w:name="_Ref467306195"/>
      <w:r/>
      <w:bookmarkStart w:id="264" w:name="_Ref467306676"/>
      <w:r/>
      <w:bookmarkStart w:id="265" w:name="_Toc151193770"/>
      <w:r/>
      <w:bookmarkStart w:id="266" w:name="_Toc127161442"/>
      <w:r/>
      <w:bookmarkStart w:id="267" w:name="_Toc520356152"/>
      <w:r/>
      <w:bookmarkStart w:id="268" w:name="_Toc195842893"/>
      <w:r/>
      <w:bookmarkStart w:id="269" w:name="_Toc151193698"/>
      <w:r/>
      <w:bookmarkStart w:id="270" w:name="_Toc149720821"/>
      <w:r/>
      <w:bookmarkStart w:id="271" w:name="_Toc164608797"/>
      <w:r/>
      <w:bookmarkStart w:id="272" w:name="_Toc150509279"/>
      <w:r/>
      <w:bookmarkStart w:id="273" w:name="_Toc264969218"/>
      <w:r/>
      <w:bookmarkStart w:id="274" w:name="_Toc142311030"/>
      <w:r/>
      <w:bookmarkStart w:id="275" w:name="_Toc150480766"/>
      <w:r/>
      <w:bookmarkStart w:id="276" w:name="_Toc305158796"/>
      <w:r/>
      <w:bookmarkStart w:id="277" w:name="_Toc164229223"/>
      <w:r/>
      <w:bookmarkStart w:id="278" w:name="_Toc151193626"/>
      <w:r/>
      <w:bookmarkStart w:id="279" w:name="_Toc127151729"/>
      <w:r/>
      <w:bookmarkStart w:id="280" w:name="_Toc164608642"/>
      <w:r/>
      <w:bookmarkStart w:id="281" w:name="_Toc305158870"/>
      <w:r/>
      <w:bookmarkStart w:id="282" w:name="_Toc164351622"/>
      <w:r/>
      <w:bookmarkStart w:id="283" w:name="_Toc127151528"/>
      <w:r/>
      <w:bookmarkStart w:id="284" w:name="_Toc226965801"/>
      <w:r/>
      <w:bookmarkStart w:id="285" w:name="_Toc265228366"/>
      <w:r/>
      <w:bookmarkStart w:id="286" w:name="_Toc151193916"/>
      <w:r/>
      <w:bookmarkStart w:id="287" w:name="_Toc226309772"/>
      <w:r>
        <w:rPr>
          <w:color w:val="000000"/>
          <w:sz w:val="24"/>
          <w:highlight w:val="none"/>
        </w:rPr>
        <w:t xml:space="preserve">响应文件</w:t>
      </w:r>
      <w:bookmarkEnd w:id="262"/>
      <w:r/>
      <w:bookmarkEnd w:id="263"/>
      <w:r/>
      <w:bookmarkEnd w:id="264"/>
      <w:r>
        <w:rPr>
          <w:color w:val="000000"/>
          <w:sz w:val="24"/>
          <w:highlight w:val="none"/>
        </w:rPr>
        <w:t xml:space="preserve">构成</w:t>
      </w:r>
      <w:bookmarkEnd w:id="255"/>
      <w:r/>
      <w:bookmarkEnd w:id="256"/>
      <w:r/>
      <w:bookmarkEnd w:id="257"/>
      <w:r/>
      <w:bookmarkEnd w:id="258"/>
      <w:r/>
      <w:bookmarkEnd w:id="259"/>
      <w:r/>
      <w:bookmarkEnd w:id="260"/>
      <w:r/>
      <w:bookmarkEnd w:id="261"/>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rPr>
          <w:color w:val="000000"/>
          <w:sz w:val="24"/>
          <w:highlight w:val="none"/>
        </w:rPr>
      </w:r>
      <w:r/>
    </w:p>
    <w:p>
      <w:pPr>
        <w:pStyle w:val="1288"/>
        <w:numPr>
          <w:ilvl w:val="1"/>
          <w:numId w:val="2"/>
        </w:numPr>
        <w:ind w:left="1077" w:hanging="720"/>
        <w:spacing w:line="360" w:lineRule="auto"/>
        <w:tabs>
          <w:tab w:val="left" w:pos="1080" w:leader="none"/>
          <w:tab w:val="left" w:pos="1447" w:leader="none"/>
          <w:tab w:val="left" w:pos="1589" w:leader="none"/>
          <w:tab w:val="left" w:pos="2014" w:leader="none"/>
        </w:tabs>
        <w:rPr>
          <w:color w:val="000000"/>
          <w:sz w:val="24"/>
          <w:highlight w:val="none"/>
        </w:rPr>
      </w:pPr>
      <w:r/>
      <w:bookmarkStart w:id="288" w:name="_Ref467052588"/>
      <w:r>
        <w:rPr>
          <w:color w:val="000000"/>
          <w:sz w:val="24"/>
          <w:highlight w:val="none"/>
        </w:rPr>
        <w:t xml:space="preserve">供应商应当按照</w:t>
      </w:r>
      <w:r>
        <w:rPr>
          <w:rFonts w:hint="eastAsia"/>
          <w:color w:val="000000"/>
          <w:sz w:val="24"/>
          <w:highlight w:val="none"/>
        </w:rPr>
        <w:t xml:space="preserve">谈判</w:t>
      </w:r>
      <w:r>
        <w:rPr>
          <w:color w:val="000000"/>
          <w:sz w:val="24"/>
          <w:highlight w:val="none"/>
        </w:rPr>
        <w:t xml:space="preserve">文件的要求编制响应文件。响应文件的部分格式要求，见第六章《响应文件格式》。</w:t>
      </w:r>
      <w:r>
        <w:rPr>
          <w:color w:val="000000"/>
          <w:sz w:val="24"/>
          <w:highlight w:val="none"/>
        </w:rPr>
      </w:r>
      <w:r/>
    </w:p>
    <w:p>
      <w:pPr>
        <w:pStyle w:val="1288"/>
        <w:numPr>
          <w:ilvl w:val="1"/>
          <w:numId w:val="2"/>
        </w:numPr>
        <w:ind w:left="1077" w:hanging="720"/>
        <w:spacing w:line="360" w:lineRule="auto"/>
        <w:tabs>
          <w:tab w:val="left" w:pos="1080" w:leader="none"/>
          <w:tab w:val="left" w:pos="1447" w:leader="none"/>
          <w:tab w:val="left" w:pos="1589" w:leader="none"/>
          <w:tab w:val="left" w:pos="2014" w:leader="none"/>
        </w:tabs>
        <w:rPr>
          <w:color w:val="000000"/>
          <w:sz w:val="24"/>
          <w:highlight w:val="none"/>
        </w:rPr>
      </w:pPr>
      <w:r>
        <w:rPr>
          <w:color w:val="000000"/>
          <w:sz w:val="24"/>
          <w:highlight w:val="none"/>
        </w:rPr>
        <w:t xml:space="preserve">对于</w:t>
      </w:r>
      <w:r>
        <w:rPr>
          <w:rFonts w:hint="eastAsia"/>
          <w:color w:val="000000"/>
          <w:sz w:val="24"/>
          <w:highlight w:val="none"/>
        </w:rPr>
        <w:t xml:space="preserve">谈判</w:t>
      </w:r>
      <w:r>
        <w:rPr>
          <w:color w:val="000000"/>
          <w:sz w:val="24"/>
          <w:highlight w:val="none"/>
        </w:rPr>
        <w:t xml:space="preserve">文件中标记了“实质性格式”文件的，</w:t>
      </w:r>
      <w:r>
        <w:rPr>
          <w:color w:val="000000"/>
          <w:sz w:val="24"/>
          <w:highlight w:val="none"/>
        </w:rPr>
        <w:t xml:space="preserve">供应商不得改变格式中给定的文字所表达的含义，不得删减格式中的实质性内容，不得自行添加与格式中给定的文字内容相矛盾的内容，不得对应当填写的空格不填写或不实质性响应，</w:t>
      </w:r>
      <w:r>
        <w:rPr>
          <w:color w:val="000000"/>
          <w:sz w:val="24"/>
          <w:highlight w:val="none"/>
        </w:rPr>
        <w:t xml:space="preserve">否则</w:t>
      </w:r>
      <w:r>
        <w:rPr>
          <w:b/>
          <w:color w:val="000000"/>
          <w:sz w:val="24"/>
          <w:highlight w:val="none"/>
        </w:rPr>
        <w:t xml:space="preserve">响应无效</w:t>
      </w:r>
      <w:r>
        <w:rPr>
          <w:color w:val="000000"/>
          <w:sz w:val="24"/>
          <w:highlight w:val="none"/>
        </w:rPr>
        <w:t xml:space="preserve">。未标记“实质性格式”的文件和</w:t>
      </w:r>
      <w:r>
        <w:rPr>
          <w:rFonts w:hint="eastAsia"/>
          <w:color w:val="000000"/>
          <w:sz w:val="24"/>
          <w:highlight w:val="none"/>
        </w:rPr>
        <w:t xml:space="preserve">谈判</w:t>
      </w:r>
      <w:r>
        <w:rPr>
          <w:color w:val="000000"/>
          <w:sz w:val="24"/>
          <w:highlight w:val="none"/>
        </w:rPr>
        <w:t xml:space="preserve">文件未提供格式的内容，可由供应商自行编写。</w:t>
      </w:r>
      <w:r>
        <w:rPr>
          <w:color w:val="000000"/>
          <w:sz w:val="24"/>
          <w:highlight w:val="none"/>
        </w:rPr>
      </w:r>
      <w:r/>
    </w:p>
    <w:p>
      <w:pPr>
        <w:pStyle w:val="1288"/>
        <w:numPr>
          <w:ilvl w:val="1"/>
          <w:numId w:val="2"/>
        </w:numPr>
        <w:ind w:left="1077" w:hanging="720"/>
        <w:spacing w:line="360" w:lineRule="auto"/>
        <w:tabs>
          <w:tab w:val="left" w:pos="1080" w:leader="none"/>
          <w:tab w:val="left" w:pos="1447" w:leader="none"/>
          <w:tab w:val="left" w:pos="1589" w:leader="none"/>
          <w:tab w:val="left" w:pos="2014" w:leader="none"/>
        </w:tabs>
        <w:rPr>
          <w:rFonts w:hint="eastAsia"/>
          <w:color w:val="000000"/>
          <w:sz w:val="24"/>
          <w:highlight w:val="none"/>
        </w:rPr>
      </w:pPr>
      <w:r>
        <w:rPr>
          <w:color w:val="000000"/>
          <w:sz w:val="24"/>
          <w:highlight w:val="none"/>
        </w:rPr>
        <w:t xml:space="preserve">第三章《评审程序和评定成交的标准》中涉及的证明文件。</w:t>
      </w:r>
      <w:r>
        <w:rPr>
          <w:rFonts w:hint="eastAsia"/>
          <w:color w:val="000000"/>
          <w:sz w:val="24"/>
          <w:highlight w:val="none"/>
        </w:rPr>
      </w:r>
      <w:r/>
    </w:p>
    <w:p>
      <w:pPr>
        <w:pStyle w:val="1288"/>
        <w:numPr>
          <w:ilvl w:val="1"/>
          <w:numId w:val="2"/>
        </w:numPr>
        <w:ind w:left="1077" w:hanging="720"/>
        <w:spacing w:line="360" w:lineRule="auto"/>
        <w:tabs>
          <w:tab w:val="left" w:pos="1080" w:leader="none"/>
          <w:tab w:val="left" w:pos="1447" w:leader="none"/>
          <w:tab w:val="left" w:pos="1589" w:leader="none"/>
          <w:tab w:val="left" w:pos="2014" w:leader="none"/>
        </w:tabs>
        <w:rPr>
          <w:color w:val="000000"/>
          <w:sz w:val="24"/>
          <w:highlight w:val="none"/>
        </w:rPr>
      </w:pPr>
      <w:r>
        <w:rPr>
          <w:color w:val="000000"/>
          <w:sz w:val="24"/>
          <w:highlight w:val="none"/>
        </w:rPr>
        <w:t xml:space="preserve">对照第四章《采购需求》，说明所提供货物和服务已对第四章《采购需求》做出了响应，或申明与第四章《采购需求》的偏差和例外。如第四章《采购需求》中要求提供证明文件的，供应商应当按具体要求提供证明文件。</w:t>
      </w:r>
      <w:r>
        <w:rPr>
          <w:color w:val="000000"/>
          <w:sz w:val="24"/>
          <w:highlight w:val="none"/>
        </w:rPr>
      </w:r>
      <w:r/>
    </w:p>
    <w:p>
      <w:pPr>
        <w:pStyle w:val="1288"/>
        <w:numPr>
          <w:ilvl w:val="1"/>
          <w:numId w:val="2"/>
        </w:numPr>
        <w:ind w:left="1077" w:hanging="720"/>
        <w:spacing w:line="360" w:lineRule="auto"/>
        <w:tabs>
          <w:tab w:val="left" w:pos="1080" w:leader="none"/>
          <w:tab w:val="left" w:pos="1447" w:leader="none"/>
          <w:tab w:val="left" w:pos="1589" w:leader="none"/>
          <w:tab w:val="left" w:pos="2014" w:leader="none"/>
        </w:tabs>
        <w:rPr>
          <w:color w:val="000000"/>
          <w:sz w:val="24"/>
          <w:highlight w:val="none"/>
        </w:rPr>
      </w:pPr>
      <w:r>
        <w:rPr>
          <w:color w:val="000000"/>
          <w:sz w:val="24"/>
          <w:highlight w:val="none"/>
        </w:rPr>
        <w:t xml:space="preserve">供应商认为应附的其他材料。</w:t>
      </w:r>
      <w:bookmarkEnd w:id="288"/>
      <w:r>
        <w:rPr>
          <w:color w:val="000000"/>
          <w:sz w:val="24"/>
          <w:highlight w:val="none"/>
        </w:rPr>
      </w:r>
      <w:r/>
    </w:p>
    <w:p>
      <w:pPr>
        <w:pStyle w:val="1288"/>
        <w:numPr>
          <w:ilvl w:val="0"/>
          <w:numId w:val="2"/>
        </w:numPr>
        <w:ind w:left="357" w:hanging="357"/>
        <w:spacing w:line="360" w:lineRule="auto"/>
        <w:tabs>
          <w:tab w:val="left" w:pos="360" w:leader="none"/>
          <w:tab w:val="left" w:pos="900" w:leader="none"/>
        </w:tabs>
        <w:rPr>
          <w:color w:val="000000"/>
          <w:sz w:val="24"/>
          <w:highlight w:val="none"/>
        </w:rPr>
        <w:outlineLvl w:val="1"/>
      </w:pPr>
      <w:r/>
      <w:bookmarkStart w:id="289" w:name="_Toc151193628"/>
      <w:r/>
      <w:bookmarkStart w:id="290" w:name="_Toc150774630"/>
      <w:r/>
      <w:bookmarkStart w:id="291" w:name="_Toc520356155"/>
      <w:r/>
      <w:bookmarkStart w:id="292" w:name="_Toc164608644"/>
      <w:r/>
      <w:bookmarkStart w:id="293" w:name="_Toc164608799"/>
      <w:r/>
      <w:bookmarkStart w:id="294" w:name="_Toc149720823"/>
      <w:r/>
      <w:bookmarkStart w:id="295" w:name="_Toc151193700"/>
      <w:r/>
      <w:bookmarkStart w:id="296" w:name="_Toc151190157"/>
      <w:r/>
      <w:bookmarkStart w:id="297" w:name="_Toc164351624"/>
      <w:r/>
      <w:bookmarkStart w:id="298" w:name="_Toc164229371"/>
      <w:r/>
      <w:bookmarkStart w:id="299" w:name="_Toc150480768"/>
      <w:r/>
      <w:bookmarkStart w:id="300" w:name="_Toc150774735"/>
      <w:r/>
      <w:bookmarkStart w:id="301" w:name="_Toc127161444"/>
      <w:r/>
      <w:bookmarkStart w:id="302" w:name="_Toc195842895"/>
      <w:r/>
      <w:bookmarkStart w:id="303" w:name="_Toc164229225"/>
      <w:r/>
      <w:bookmarkStart w:id="304" w:name="_Toc151193844"/>
      <w:r/>
      <w:bookmarkStart w:id="305" w:name="_Toc151193772"/>
      <w:r/>
      <w:bookmarkStart w:id="306" w:name="_Toc127151530"/>
      <w:r/>
      <w:bookmarkStart w:id="307" w:name="_Toc151193918"/>
      <w:r/>
      <w:bookmarkStart w:id="308" w:name="_Toc150509281"/>
      <w:r/>
      <w:bookmarkStart w:id="309" w:name="_Toc127151731"/>
      <w:r/>
      <w:bookmarkStart w:id="310" w:name="_Toc142311032"/>
      <w:r>
        <w:rPr>
          <w:color w:val="000000"/>
          <w:sz w:val="24"/>
          <w:highlight w:val="none"/>
        </w:rPr>
        <w:t xml:space="preserve">报价</w:t>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rPr>
          <w:color w:val="000000"/>
          <w:sz w:val="24"/>
          <w:highlight w:val="none"/>
        </w:rPr>
      </w:r>
      <w:r/>
    </w:p>
    <w:p>
      <w:pPr>
        <w:pStyle w:val="1288"/>
        <w:numPr>
          <w:ilvl w:val="1"/>
          <w:numId w:val="2"/>
        </w:numPr>
        <w:ind w:left="1077" w:hanging="720"/>
        <w:spacing w:line="360" w:lineRule="auto"/>
        <w:tabs>
          <w:tab w:val="left" w:pos="1080" w:leader="none"/>
          <w:tab w:val="left" w:pos="1447" w:leader="none"/>
          <w:tab w:val="left" w:pos="1589" w:leader="none"/>
          <w:tab w:val="left" w:pos="2014" w:leader="none"/>
        </w:tabs>
        <w:rPr>
          <w:color w:val="000000"/>
          <w:sz w:val="24"/>
          <w:highlight w:val="none"/>
        </w:rPr>
      </w:pPr>
      <w:r>
        <w:rPr>
          <w:color w:val="000000"/>
          <w:sz w:val="24"/>
          <w:highlight w:val="none"/>
        </w:rPr>
        <w:t xml:space="preserve">所有响应均以人民币报价。</w:t>
      </w:r>
      <w:r>
        <w:rPr>
          <w:color w:val="000000"/>
          <w:sz w:val="24"/>
          <w:highlight w:val="none"/>
        </w:rPr>
      </w:r>
      <w:r/>
    </w:p>
    <w:p>
      <w:pPr>
        <w:pStyle w:val="1288"/>
        <w:numPr>
          <w:ilvl w:val="1"/>
          <w:numId w:val="2"/>
        </w:numPr>
        <w:ind w:left="1077" w:hanging="720"/>
        <w:spacing w:line="360" w:lineRule="auto"/>
        <w:tabs>
          <w:tab w:val="left" w:pos="1080" w:leader="none"/>
          <w:tab w:val="left" w:pos="1447" w:leader="none"/>
          <w:tab w:val="left" w:pos="1589" w:leader="none"/>
          <w:tab w:val="left" w:pos="2014" w:leader="none"/>
        </w:tabs>
        <w:rPr>
          <w:color w:val="000000"/>
          <w:sz w:val="24"/>
          <w:highlight w:val="none"/>
        </w:rPr>
      </w:pPr>
      <w:r>
        <w:rPr>
          <w:color w:val="000000"/>
          <w:sz w:val="24"/>
          <w:highlight w:val="none"/>
        </w:rPr>
        <w:t xml:space="preserve">供应商的报价应包括为完成本项目所发生的一切费用和税费，采购人将不再支付报价以外的任何费用。</w:t>
      </w:r>
      <w:r>
        <w:rPr>
          <w:rFonts w:hint="eastAsia"/>
          <w:color w:val="000000"/>
          <w:sz w:val="24"/>
          <w:highlight w:val="none"/>
        </w:rPr>
        <w:t xml:space="preserve">供应商的报价应包括但不限于下列内容，《供应商须知资料表》中有特殊规定的，从其规定。</w:t>
      </w:r>
      <w:r>
        <w:rPr>
          <w:color w:val="000000"/>
          <w:sz w:val="24"/>
          <w:highlight w:val="none"/>
        </w:rPr>
      </w:r>
      <w:r/>
    </w:p>
    <w:p>
      <w:pPr>
        <w:pStyle w:val="1288"/>
        <w:numPr>
          <w:ilvl w:val="2"/>
          <w:numId w:val="2"/>
        </w:numPr>
        <w:spacing w:line="360" w:lineRule="auto"/>
        <w:tabs>
          <w:tab w:val="left" w:pos="1980" w:leader="none"/>
        </w:tabs>
        <w:rPr>
          <w:color w:val="000000"/>
          <w:sz w:val="24"/>
          <w:highlight w:val="none"/>
        </w:rPr>
      </w:pPr>
      <w:r>
        <w:rPr>
          <w:color w:val="000000"/>
          <w:sz w:val="24"/>
          <w:highlight w:val="none"/>
        </w:rPr>
        <w:t xml:space="preserve">响应货物及标准附件、备品备件、专用工具等的出厂价（包括已在中国国内的进口货物完税后的仓库交货价、展室交货价或货架交货价）和运至最终目的地的运输费和保险费，安装调试、检验、技术服务、培训、质量保证、售后服务、税费等；</w:t>
      </w:r>
      <w:r>
        <w:rPr>
          <w:color w:val="000000"/>
          <w:sz w:val="24"/>
          <w:highlight w:val="none"/>
        </w:rPr>
      </w:r>
      <w:r/>
    </w:p>
    <w:p>
      <w:pPr>
        <w:pStyle w:val="1288"/>
        <w:numPr>
          <w:ilvl w:val="2"/>
          <w:numId w:val="2"/>
        </w:numPr>
        <w:spacing w:line="360" w:lineRule="auto"/>
        <w:tabs>
          <w:tab w:val="left" w:pos="1980" w:leader="none"/>
        </w:tabs>
        <w:rPr>
          <w:color w:val="000000"/>
          <w:sz w:val="24"/>
          <w:highlight w:val="none"/>
        </w:rPr>
      </w:pPr>
      <w:r>
        <w:rPr>
          <w:color w:val="000000"/>
          <w:sz w:val="24"/>
          <w:highlight w:val="none"/>
        </w:rPr>
        <w:t xml:space="preserve">按照</w:t>
      </w:r>
      <w:r>
        <w:rPr>
          <w:rFonts w:hint="eastAsia"/>
          <w:color w:val="000000"/>
          <w:sz w:val="24"/>
          <w:highlight w:val="none"/>
        </w:rPr>
        <w:t xml:space="preserve">谈判</w:t>
      </w:r>
      <w:r>
        <w:rPr>
          <w:color w:val="000000"/>
          <w:sz w:val="24"/>
          <w:highlight w:val="none"/>
        </w:rPr>
        <w:t xml:space="preserve">文件要求完成本项目的全部相关工程或服务费用。 </w:t>
      </w:r>
      <w:r>
        <w:rPr>
          <w:color w:val="000000"/>
          <w:sz w:val="24"/>
          <w:highlight w:val="none"/>
        </w:rPr>
      </w:r>
      <w:r/>
    </w:p>
    <w:p>
      <w:pPr>
        <w:pStyle w:val="1288"/>
        <w:numPr>
          <w:ilvl w:val="1"/>
          <w:numId w:val="2"/>
        </w:numPr>
        <w:ind w:left="1077" w:hanging="720"/>
        <w:spacing w:line="360" w:lineRule="auto"/>
        <w:tabs>
          <w:tab w:val="left" w:pos="1080" w:leader="none"/>
          <w:tab w:val="left" w:pos="1447" w:leader="none"/>
          <w:tab w:val="left" w:pos="1589" w:leader="none"/>
          <w:tab w:val="left" w:pos="2014" w:leader="none"/>
        </w:tabs>
        <w:rPr>
          <w:rFonts w:hint="eastAsia"/>
          <w:color w:val="000000"/>
          <w:sz w:val="24"/>
          <w:highlight w:val="none"/>
        </w:rPr>
      </w:pPr>
      <w:r>
        <w:rPr>
          <w:color w:val="000000"/>
          <w:sz w:val="24"/>
          <w:highlight w:val="none"/>
        </w:rPr>
        <w:t xml:space="preserve">采购人不得向供应商索要或者接受其给予的赠品、回扣或者与采购无关的其他商品、服务。</w:t>
      </w:r>
      <w:r>
        <w:rPr>
          <w:rFonts w:hint="eastAsia"/>
          <w:color w:val="000000"/>
          <w:sz w:val="24"/>
          <w:highlight w:val="none"/>
        </w:rPr>
      </w:r>
      <w:r/>
    </w:p>
    <w:p>
      <w:pPr>
        <w:pStyle w:val="1288"/>
        <w:numPr>
          <w:ilvl w:val="1"/>
          <w:numId w:val="2"/>
        </w:numPr>
        <w:ind w:left="1077" w:hanging="720"/>
        <w:spacing w:line="360" w:lineRule="auto"/>
        <w:tabs>
          <w:tab w:val="left" w:pos="1080" w:leader="none"/>
          <w:tab w:val="left" w:pos="1447" w:leader="none"/>
          <w:tab w:val="left" w:pos="1589" w:leader="none"/>
          <w:tab w:val="left" w:pos="2014" w:leader="none"/>
        </w:tabs>
        <w:rPr>
          <w:color w:val="000000"/>
          <w:sz w:val="24"/>
          <w:highlight w:val="none"/>
        </w:rPr>
      </w:pPr>
      <w:r>
        <w:rPr>
          <w:color w:val="000000"/>
          <w:sz w:val="24"/>
          <w:highlight w:val="none"/>
        </w:rPr>
        <w:t xml:space="preserve">供应商不能提供任何有选择性或可调整的最终报价（谈判文件另有规定的除外），否则其</w:t>
      </w:r>
      <w:r>
        <w:rPr>
          <w:b/>
          <w:bCs/>
          <w:color w:val="000000"/>
          <w:sz w:val="24"/>
          <w:highlight w:val="none"/>
        </w:rPr>
        <w:t xml:space="preserve">响应无效</w:t>
      </w:r>
      <w:r>
        <w:rPr>
          <w:color w:val="000000"/>
          <w:sz w:val="24"/>
          <w:highlight w:val="none"/>
        </w:rPr>
        <w:t xml:space="preserve">。</w:t>
      </w:r>
      <w:r>
        <w:rPr>
          <w:color w:val="000000"/>
          <w:sz w:val="24"/>
          <w:highlight w:val="none"/>
        </w:rPr>
      </w:r>
      <w:r/>
    </w:p>
    <w:p>
      <w:pPr>
        <w:pStyle w:val="1288"/>
        <w:numPr>
          <w:ilvl w:val="0"/>
          <w:numId w:val="2"/>
        </w:numPr>
        <w:ind w:left="357" w:hanging="357"/>
        <w:spacing w:line="360" w:lineRule="auto"/>
        <w:tabs>
          <w:tab w:val="left" w:pos="360" w:leader="none"/>
          <w:tab w:val="left" w:pos="900" w:leader="none"/>
        </w:tabs>
        <w:rPr>
          <w:rFonts w:hint="eastAsia"/>
          <w:color w:val="000000"/>
          <w:sz w:val="24"/>
          <w:highlight w:val="none"/>
        </w:rPr>
        <w:outlineLvl w:val="1"/>
      </w:pPr>
      <w:r/>
      <w:bookmarkStart w:id="311" w:name="_Toc127161445"/>
      <w:r/>
      <w:bookmarkStart w:id="312" w:name="_Toc265228369"/>
      <w:r/>
      <w:bookmarkStart w:id="313" w:name="_Toc164351625"/>
      <w:r/>
      <w:bookmarkStart w:id="314" w:name="_Toc151193701"/>
      <w:r/>
      <w:bookmarkStart w:id="315" w:name="_Toc151193919"/>
      <w:r/>
      <w:bookmarkStart w:id="316" w:name="_Toc150774631"/>
      <w:r/>
      <w:bookmarkStart w:id="317" w:name="_Toc142311033"/>
      <w:r/>
      <w:bookmarkStart w:id="318" w:name="_Toc151193629"/>
      <w:r/>
      <w:bookmarkStart w:id="319" w:name="_Toc151193773"/>
      <w:r/>
      <w:bookmarkStart w:id="320" w:name="_Toc305158799"/>
      <w:r/>
      <w:bookmarkStart w:id="321" w:name="_Toc520356156"/>
      <w:r/>
      <w:bookmarkStart w:id="322" w:name="_Toc164608645"/>
      <w:r/>
      <w:bookmarkStart w:id="323" w:name="_Toc150480769"/>
      <w:r/>
      <w:bookmarkStart w:id="324" w:name="_Toc151190158"/>
      <w:r/>
      <w:bookmarkStart w:id="325" w:name="_Toc195842896"/>
      <w:r/>
      <w:bookmarkStart w:id="326" w:name="_Toc226965721"/>
      <w:r/>
      <w:bookmarkStart w:id="327" w:name="_Toc151193845"/>
      <w:r/>
      <w:bookmarkStart w:id="328" w:name="_Toc164229372"/>
      <w:r/>
      <w:bookmarkStart w:id="329" w:name="_Toc226965804"/>
      <w:r/>
      <w:bookmarkStart w:id="330" w:name="_Toc150509282"/>
      <w:r/>
      <w:bookmarkStart w:id="331" w:name="_Ref467306513"/>
      <w:r/>
      <w:bookmarkStart w:id="332" w:name="_Toc127151732"/>
      <w:r/>
      <w:bookmarkStart w:id="333" w:name="_Toc226337227"/>
      <w:r/>
      <w:bookmarkStart w:id="334" w:name="_Toc149720824"/>
      <w:r/>
      <w:bookmarkStart w:id="335" w:name="_Toc226309775"/>
      <w:r/>
      <w:bookmarkStart w:id="336" w:name="_Toc164608800"/>
      <w:r/>
      <w:bookmarkStart w:id="337" w:name="_Toc305158873"/>
      <w:r/>
      <w:bookmarkStart w:id="338" w:name="_Toc150774736"/>
      <w:r/>
      <w:bookmarkStart w:id="339" w:name="_Toc164229226"/>
      <w:r/>
      <w:bookmarkStart w:id="340" w:name="_Toc264969221"/>
      <w:r/>
      <w:bookmarkStart w:id="341" w:name="_Toc127151531"/>
      <w:r>
        <w:rPr>
          <w:color w:val="000000"/>
          <w:sz w:val="24"/>
          <w:highlight w:val="none"/>
        </w:rPr>
        <w:t xml:space="preserve">保证金</w:t>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bookmarkEnd w:id="339"/>
      <w:r/>
      <w:bookmarkEnd w:id="340"/>
      <w:r/>
      <w:bookmarkEnd w:id="341"/>
      <w:r>
        <w:rPr>
          <w:rFonts w:hint="eastAsia"/>
          <w:color w:val="000000"/>
          <w:sz w:val="24"/>
          <w:highlight w:val="none"/>
        </w:rPr>
      </w:r>
      <w:r/>
    </w:p>
    <w:p>
      <w:pPr>
        <w:pStyle w:val="1288"/>
        <w:ind w:left="357"/>
        <w:spacing w:line="360" w:lineRule="auto"/>
        <w:tabs>
          <w:tab w:val="left" w:pos="360" w:leader="none"/>
        </w:tabs>
        <w:rPr>
          <w:color w:val="000000"/>
          <w:sz w:val="24"/>
          <w:highlight w:val="none"/>
        </w:rPr>
        <w:outlineLvl w:val="1"/>
      </w:pPr>
      <w:r>
        <w:rPr>
          <w:rFonts w:hint="eastAsia"/>
          <w:color w:val="000000"/>
          <w:sz w:val="24"/>
          <w:highlight w:val="none"/>
        </w:rPr>
        <w:t xml:space="preserve">根据江苏省和常州市的相关文件规定，免收保证金。</w:t>
      </w:r>
      <w:r>
        <w:rPr>
          <w:color w:val="000000"/>
          <w:sz w:val="24"/>
          <w:highlight w:val="none"/>
        </w:rPr>
      </w:r>
      <w:r/>
    </w:p>
    <w:p>
      <w:pPr>
        <w:pStyle w:val="1288"/>
        <w:numPr>
          <w:ilvl w:val="0"/>
          <w:numId w:val="2"/>
        </w:numPr>
        <w:ind w:left="357" w:hanging="357"/>
        <w:spacing w:line="360" w:lineRule="auto"/>
        <w:tabs>
          <w:tab w:val="left" w:pos="360" w:leader="none"/>
          <w:tab w:val="left" w:pos="900" w:leader="none"/>
        </w:tabs>
        <w:rPr>
          <w:color w:val="000000"/>
          <w:sz w:val="24"/>
          <w:highlight w:val="none"/>
        </w:rPr>
        <w:outlineLvl w:val="1"/>
      </w:pPr>
      <w:r/>
      <w:bookmarkStart w:id="342" w:name="_Toc164608801"/>
      <w:r/>
      <w:bookmarkStart w:id="343" w:name="_Toc164229373"/>
      <w:r/>
      <w:bookmarkStart w:id="344" w:name="_Toc149720825"/>
      <w:r/>
      <w:bookmarkStart w:id="345" w:name="_Toc305158800"/>
      <w:r/>
      <w:bookmarkStart w:id="346" w:name="_Toc226965722"/>
      <w:r/>
      <w:bookmarkStart w:id="347" w:name="_Toc164608646"/>
      <w:r/>
      <w:bookmarkStart w:id="348" w:name="_Toc151193846"/>
      <w:r/>
      <w:bookmarkStart w:id="349" w:name="_Toc195842897"/>
      <w:r/>
      <w:bookmarkStart w:id="350" w:name="_Toc226337228"/>
      <w:r/>
      <w:bookmarkStart w:id="351" w:name="_Toc264969222"/>
      <w:r/>
      <w:bookmarkStart w:id="352" w:name="_Toc127151733"/>
      <w:r/>
      <w:bookmarkStart w:id="353" w:name="_Toc150480770"/>
      <w:r/>
      <w:bookmarkStart w:id="354" w:name="_Toc164351626"/>
      <w:r/>
      <w:bookmarkStart w:id="355" w:name="_Toc151193630"/>
      <w:r/>
      <w:bookmarkStart w:id="356" w:name="_Toc226309776"/>
      <w:r/>
      <w:bookmarkStart w:id="357" w:name="_Toc265228370"/>
      <w:r/>
      <w:bookmarkStart w:id="358" w:name="_Toc151193920"/>
      <w:r/>
      <w:bookmarkStart w:id="359" w:name="_Toc150509283"/>
      <w:r/>
      <w:bookmarkStart w:id="360" w:name="_Toc151193702"/>
      <w:r/>
      <w:bookmarkStart w:id="361" w:name="_Toc520356157"/>
      <w:r/>
      <w:bookmarkStart w:id="362" w:name="_Toc142311034"/>
      <w:r/>
      <w:bookmarkStart w:id="363" w:name="_Toc150774737"/>
      <w:r/>
      <w:bookmarkStart w:id="364" w:name="_Toc164229227"/>
      <w:r/>
      <w:bookmarkStart w:id="365" w:name="_Toc127151532"/>
      <w:r/>
      <w:bookmarkStart w:id="366" w:name="_Toc127161446"/>
      <w:r/>
      <w:bookmarkStart w:id="367" w:name="_Toc151193774"/>
      <w:r/>
      <w:bookmarkStart w:id="368" w:name="_Toc305158874"/>
      <w:r/>
      <w:bookmarkStart w:id="369" w:name="_Toc226965805"/>
      <w:r/>
      <w:bookmarkStart w:id="370" w:name="_Toc150774632"/>
      <w:r/>
      <w:bookmarkStart w:id="371" w:name="_Toc151190159"/>
      <w:r>
        <w:rPr>
          <w:color w:val="000000"/>
          <w:sz w:val="24"/>
          <w:highlight w:val="none"/>
        </w:rPr>
        <w:t xml:space="preserve">响应有效期</w:t>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rPr>
          <w:color w:val="000000"/>
          <w:sz w:val="24"/>
          <w:highlight w:val="none"/>
        </w:rPr>
      </w:r>
      <w:r/>
    </w:p>
    <w:p>
      <w:pPr>
        <w:pStyle w:val="1288"/>
        <w:numPr>
          <w:ilvl w:val="1"/>
          <w:numId w:val="2"/>
        </w:numPr>
        <w:ind w:left="1077" w:hanging="720"/>
        <w:spacing w:line="360" w:lineRule="auto"/>
        <w:tabs>
          <w:tab w:val="left" w:pos="1080" w:leader="none"/>
          <w:tab w:val="left" w:pos="1447" w:leader="none"/>
          <w:tab w:val="left" w:pos="1589" w:leader="none"/>
          <w:tab w:val="left" w:pos="2014" w:leader="none"/>
        </w:tabs>
        <w:rPr>
          <w:color w:val="000000"/>
          <w:sz w:val="24"/>
          <w:highlight w:val="none"/>
        </w:rPr>
      </w:pPr>
      <w:r>
        <w:rPr>
          <w:color w:val="000000"/>
          <w:sz w:val="24"/>
          <w:highlight w:val="none"/>
        </w:rPr>
        <w:t xml:space="preserve">响应文件应在本</w:t>
      </w:r>
      <w:r>
        <w:rPr>
          <w:rFonts w:hint="eastAsia"/>
          <w:color w:val="000000"/>
          <w:sz w:val="24"/>
          <w:highlight w:val="none"/>
        </w:rPr>
        <w:t xml:space="preserve">谈判</w:t>
      </w:r>
      <w:r>
        <w:rPr>
          <w:color w:val="000000"/>
          <w:sz w:val="24"/>
          <w:highlight w:val="none"/>
        </w:rPr>
        <w:t xml:space="preserve">文件《供应商须知资料表》中规定的响应有效期内保持有效，响应有效期少于</w:t>
      </w:r>
      <w:r>
        <w:rPr>
          <w:rFonts w:hint="eastAsia"/>
          <w:color w:val="000000"/>
          <w:sz w:val="24"/>
          <w:highlight w:val="none"/>
        </w:rPr>
        <w:t xml:space="preserve">谈判</w:t>
      </w:r>
      <w:r>
        <w:rPr>
          <w:color w:val="000000"/>
          <w:sz w:val="24"/>
          <w:highlight w:val="none"/>
        </w:rPr>
        <w:t xml:space="preserve">文件规定期限的，其</w:t>
      </w:r>
      <w:r>
        <w:rPr>
          <w:b/>
          <w:color w:val="000000"/>
          <w:sz w:val="24"/>
          <w:highlight w:val="none"/>
        </w:rPr>
        <w:t xml:space="preserve">响应无效</w:t>
      </w:r>
      <w:r>
        <w:rPr>
          <w:color w:val="000000"/>
          <w:sz w:val="24"/>
          <w:highlight w:val="none"/>
        </w:rPr>
        <w:t xml:space="preserve">。</w:t>
      </w:r>
      <w:r>
        <w:rPr>
          <w:color w:val="000000"/>
          <w:sz w:val="24"/>
          <w:highlight w:val="none"/>
        </w:rPr>
      </w:r>
      <w:r/>
    </w:p>
    <w:p>
      <w:pPr>
        <w:pStyle w:val="1288"/>
        <w:numPr>
          <w:ilvl w:val="0"/>
          <w:numId w:val="2"/>
        </w:numPr>
        <w:ind w:left="357" w:hanging="357"/>
        <w:spacing w:line="360" w:lineRule="auto"/>
        <w:tabs>
          <w:tab w:val="left" w:pos="360" w:leader="none"/>
          <w:tab w:val="left" w:pos="900" w:leader="none"/>
        </w:tabs>
        <w:rPr>
          <w:color w:val="000000"/>
          <w:sz w:val="24"/>
          <w:highlight w:val="none"/>
        </w:rPr>
        <w:outlineLvl w:val="1"/>
      </w:pPr>
      <w:r/>
      <w:bookmarkStart w:id="372" w:name="_Toc164229228"/>
      <w:r/>
      <w:bookmarkStart w:id="373" w:name="_Toc151193847"/>
      <w:r/>
      <w:bookmarkStart w:id="374" w:name="_Toc151193775"/>
      <w:r/>
      <w:bookmarkStart w:id="375" w:name="_Toc149720826"/>
      <w:r/>
      <w:bookmarkStart w:id="376" w:name="_Toc127151734"/>
      <w:r/>
      <w:bookmarkStart w:id="377" w:name="_Toc150774633"/>
      <w:r/>
      <w:bookmarkStart w:id="378" w:name="_Toc150774738"/>
      <w:r/>
      <w:bookmarkStart w:id="379" w:name="_Toc264969223"/>
      <w:r/>
      <w:bookmarkStart w:id="380" w:name="_Toc151193921"/>
      <w:r/>
      <w:bookmarkStart w:id="381" w:name="_Toc226309777"/>
      <w:r/>
      <w:bookmarkStart w:id="382" w:name="_Toc305158875"/>
      <w:r/>
      <w:bookmarkStart w:id="383" w:name="_Toc164608802"/>
      <w:r/>
      <w:bookmarkStart w:id="384" w:name="_Toc150480771"/>
      <w:r/>
      <w:bookmarkStart w:id="385" w:name="_Toc127161447"/>
      <w:r/>
      <w:bookmarkStart w:id="386" w:name="_Toc305158801"/>
      <w:r/>
      <w:bookmarkStart w:id="387" w:name="_Toc520356158"/>
      <w:r/>
      <w:bookmarkStart w:id="388" w:name="_Toc164229374"/>
      <w:r/>
      <w:bookmarkStart w:id="389" w:name="_Toc151193703"/>
      <w:r/>
      <w:bookmarkStart w:id="390" w:name="_Toc151190160"/>
      <w:r/>
      <w:bookmarkStart w:id="391" w:name="_Toc142311035"/>
      <w:r/>
      <w:bookmarkStart w:id="392" w:name="_Toc226337229"/>
      <w:r/>
      <w:bookmarkStart w:id="393" w:name="_Toc226965723"/>
      <w:r/>
      <w:bookmarkStart w:id="394" w:name="_Toc265228371"/>
      <w:r/>
      <w:bookmarkStart w:id="395" w:name="_Toc127151533"/>
      <w:r/>
      <w:bookmarkStart w:id="396" w:name="_Toc164608647"/>
      <w:r/>
      <w:bookmarkStart w:id="397" w:name="_Toc151193631"/>
      <w:r/>
      <w:bookmarkStart w:id="398" w:name="_Toc150509284"/>
      <w:r/>
      <w:bookmarkStart w:id="399" w:name="_Toc195842898"/>
      <w:r/>
      <w:bookmarkStart w:id="400" w:name="_Toc164351627"/>
      <w:r/>
      <w:bookmarkStart w:id="401" w:name="_Toc226965806"/>
      <w:r>
        <w:rPr>
          <w:color w:val="000000"/>
          <w:sz w:val="24"/>
          <w:highlight w:val="none"/>
        </w:rPr>
        <w:t xml:space="preserve">响应文件的签署</w:t>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bookmarkEnd w:id="400"/>
      <w:r/>
      <w:bookmarkEnd w:id="401"/>
      <w:r>
        <w:rPr>
          <w:color w:val="000000"/>
          <w:sz w:val="24"/>
          <w:highlight w:val="none"/>
        </w:rPr>
        <w:t xml:space="preserve">、盖章</w:t>
      </w:r>
      <w:r>
        <w:rPr>
          <w:color w:val="000000"/>
          <w:sz w:val="24"/>
          <w:highlight w:val="none"/>
        </w:rPr>
      </w:r>
      <w:r/>
    </w:p>
    <w:p>
      <w:pPr>
        <w:pStyle w:val="1288"/>
        <w:numPr>
          <w:ilvl w:val="1"/>
          <w:numId w:val="2"/>
        </w:numPr>
        <w:spacing w:line="360" w:lineRule="auto"/>
        <w:tabs>
          <w:tab w:val="left" w:pos="1080" w:leader="none"/>
          <w:tab w:val="left" w:pos="1447" w:leader="none"/>
          <w:tab w:val="left" w:pos="1589" w:leader="none"/>
          <w:tab w:val="left" w:pos="2014" w:leader="none"/>
        </w:tabs>
        <w:rPr>
          <w:color w:val="000000"/>
          <w:sz w:val="24"/>
          <w:highlight w:val="none"/>
        </w:rPr>
      </w:pPr>
      <w:r/>
      <w:bookmarkStart w:id="402" w:name="_Toc226337230"/>
      <w:r/>
      <w:bookmarkStart w:id="403" w:name="_Toc151193704"/>
      <w:r/>
      <w:bookmarkStart w:id="404" w:name="_Toc305158876"/>
      <w:r/>
      <w:bookmarkStart w:id="405" w:name="_Toc264969224"/>
      <w:r/>
      <w:bookmarkStart w:id="406" w:name="_Toc265228372"/>
      <w:r/>
      <w:bookmarkStart w:id="407" w:name="_Toc520356159"/>
      <w:r/>
      <w:bookmarkStart w:id="408" w:name="_Toc226965724"/>
      <w:r/>
      <w:bookmarkStart w:id="409" w:name="_Toc142311036"/>
      <w:r/>
      <w:bookmarkStart w:id="410" w:name="_Toc151190161"/>
      <w:r/>
      <w:bookmarkStart w:id="411" w:name="_Toc151193632"/>
      <w:r/>
      <w:bookmarkStart w:id="412" w:name="_Toc151193922"/>
      <w:r/>
      <w:bookmarkStart w:id="413" w:name="_Toc195842899"/>
      <w:r/>
      <w:bookmarkStart w:id="414" w:name="_Toc150509285"/>
      <w:r/>
      <w:bookmarkStart w:id="415" w:name="_Toc150774739"/>
      <w:r/>
      <w:bookmarkStart w:id="416" w:name="_Toc226965807"/>
      <w:r/>
      <w:bookmarkStart w:id="417" w:name="_Toc150774634"/>
      <w:r/>
      <w:bookmarkStart w:id="418" w:name="_Toc150480772"/>
      <w:r/>
      <w:bookmarkStart w:id="419" w:name="_Toc226309778"/>
      <w:r/>
      <w:bookmarkStart w:id="420" w:name="_Toc127151534"/>
      <w:r/>
      <w:bookmarkStart w:id="421" w:name="_Toc305158802"/>
      <w:r/>
      <w:bookmarkStart w:id="422" w:name="_Toc151193776"/>
      <w:r/>
      <w:bookmarkStart w:id="423" w:name="_Toc151193848"/>
      <w:r>
        <w:rPr>
          <w:rFonts w:hint="eastAsia"/>
          <w:color w:val="000000"/>
          <w:sz w:val="24"/>
          <w:highlight w:val="none"/>
        </w:rPr>
        <w:t xml:space="preserve">谈判</w:t>
      </w:r>
      <w:r>
        <w:rPr>
          <w:color w:val="000000"/>
          <w:sz w:val="24"/>
          <w:highlight w:val="none"/>
        </w:rPr>
        <w:t xml:space="preserve">文件要求签字或盖章的内容必须</w:t>
      </w:r>
      <w:r>
        <w:rPr>
          <w:rFonts w:hint="eastAsia"/>
          <w:color w:val="000000"/>
          <w:sz w:val="24"/>
          <w:highlight w:val="none"/>
        </w:rPr>
        <w:t xml:space="preserve">签字或盖章</w:t>
      </w:r>
      <w:r>
        <w:rPr>
          <w:color w:val="000000"/>
          <w:sz w:val="24"/>
          <w:highlight w:val="none"/>
        </w:rPr>
        <w:t xml:space="preserve">。</w:t>
      </w:r>
      <w:r>
        <w:rPr>
          <w:color w:val="000000"/>
          <w:sz w:val="24"/>
          <w:highlight w:val="none"/>
        </w:rPr>
      </w:r>
      <w:r/>
    </w:p>
    <w:p>
      <w:pPr>
        <w:pStyle w:val="1290"/>
        <w:spacing w:before="0" w:line="360" w:lineRule="auto"/>
        <w:rPr>
          <w:rFonts w:hint="eastAsia" w:ascii="Times New Roman" w:hAnsi="Times New Roman" w:eastAsia="宋体"/>
          <w:color w:val="000000"/>
          <w:sz w:val="28"/>
          <w:highlight w:val="none"/>
        </w:rPr>
      </w:pPr>
      <w:r>
        <w:rPr>
          <w:rFonts w:ascii="Times New Roman" w:hAnsi="Times New Roman" w:eastAsia="宋体"/>
          <w:color w:val="000000"/>
          <w:sz w:val="28"/>
          <w:highlight w:val="none"/>
        </w:rPr>
        <w:t xml:space="preserve">四   响应文件的提交</w:t>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rPr>
          <w:rFonts w:hint="eastAsia" w:ascii="Times New Roman" w:hAnsi="Times New Roman" w:eastAsia="宋体"/>
          <w:color w:val="000000"/>
          <w:sz w:val="28"/>
          <w:highlight w:val="none"/>
        </w:rPr>
      </w:r>
      <w:r/>
    </w:p>
    <w:p>
      <w:pPr>
        <w:pStyle w:val="1296"/>
        <w:rPr>
          <w:color w:val="000000"/>
          <w:highlight w:val="none"/>
        </w:rPr>
      </w:pPr>
      <w:r>
        <w:rPr>
          <w:color w:val="000000"/>
          <w:highlight w:val="none"/>
        </w:rPr>
      </w:r>
      <w:r/>
    </w:p>
    <w:p>
      <w:pPr>
        <w:pStyle w:val="1288"/>
        <w:numPr>
          <w:ilvl w:val="0"/>
          <w:numId w:val="2"/>
        </w:numPr>
        <w:ind w:left="357" w:hanging="357"/>
        <w:spacing w:line="360" w:lineRule="auto"/>
        <w:tabs>
          <w:tab w:val="left" w:pos="360" w:leader="none"/>
          <w:tab w:val="left" w:pos="900" w:leader="none"/>
        </w:tabs>
        <w:rPr>
          <w:color w:val="000000"/>
          <w:sz w:val="24"/>
          <w:highlight w:val="none"/>
        </w:rPr>
        <w:outlineLvl w:val="1"/>
      </w:pPr>
      <w:r/>
      <w:bookmarkStart w:id="424" w:name="_Toc127151535"/>
      <w:r/>
      <w:bookmarkStart w:id="425" w:name="_Toc226309779"/>
      <w:r/>
      <w:bookmarkStart w:id="426" w:name="_Toc151193923"/>
      <w:r/>
      <w:bookmarkStart w:id="427" w:name="_Toc164608804"/>
      <w:r/>
      <w:bookmarkStart w:id="428" w:name="_Toc264969225"/>
      <w:r/>
      <w:bookmarkStart w:id="429" w:name="_Toc150509286"/>
      <w:r/>
      <w:bookmarkStart w:id="430" w:name="_Toc151193849"/>
      <w:r/>
      <w:bookmarkStart w:id="431" w:name="_Toc127151736"/>
      <w:r/>
      <w:bookmarkStart w:id="432" w:name="_Toc142311037"/>
      <w:r/>
      <w:bookmarkStart w:id="433" w:name="_Toc164229376"/>
      <w:r/>
      <w:bookmarkStart w:id="434" w:name="_Toc127161449"/>
      <w:r/>
      <w:bookmarkStart w:id="435" w:name="_Toc151193777"/>
      <w:r/>
      <w:bookmarkStart w:id="436" w:name="_Toc150480773"/>
      <w:r/>
      <w:bookmarkStart w:id="437" w:name="_Toc226337231"/>
      <w:r/>
      <w:bookmarkStart w:id="438" w:name="_Toc164608649"/>
      <w:r/>
      <w:bookmarkStart w:id="439" w:name="_Toc164229230"/>
      <w:r/>
      <w:bookmarkStart w:id="440" w:name="_Toc151190162"/>
      <w:r/>
      <w:bookmarkStart w:id="441" w:name="_Toc520356160"/>
      <w:r/>
      <w:bookmarkStart w:id="442" w:name="_Toc226965725"/>
      <w:r/>
      <w:bookmarkStart w:id="443" w:name="_Toc265228373"/>
      <w:r/>
      <w:bookmarkStart w:id="444" w:name="_Toc164351629"/>
      <w:r/>
      <w:bookmarkStart w:id="445" w:name="_Toc305158803"/>
      <w:r/>
      <w:bookmarkStart w:id="446" w:name="_Toc150774635"/>
      <w:r/>
      <w:bookmarkStart w:id="447" w:name="_Toc226965808"/>
      <w:r/>
      <w:bookmarkStart w:id="448" w:name="_Toc150774740"/>
      <w:r/>
      <w:bookmarkStart w:id="449" w:name="_Toc149720828"/>
      <w:r/>
      <w:bookmarkStart w:id="450" w:name="_Toc151193705"/>
      <w:r/>
      <w:bookmarkStart w:id="451" w:name="_Toc195842900"/>
      <w:r/>
      <w:bookmarkStart w:id="452" w:name="_Toc151193633"/>
      <w:r/>
      <w:bookmarkStart w:id="453" w:name="_Toc305158877"/>
      <w:r>
        <w:rPr>
          <w:color w:val="000000"/>
          <w:sz w:val="24"/>
          <w:highlight w:val="none"/>
        </w:rPr>
        <w:t xml:space="preserve">响应文件的</w:t>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bookmarkEnd w:id="450"/>
      <w:r/>
      <w:bookmarkEnd w:id="451"/>
      <w:r/>
      <w:bookmarkEnd w:id="452"/>
      <w:r/>
      <w:bookmarkEnd w:id="453"/>
      <w:r>
        <w:rPr>
          <w:color w:val="000000"/>
          <w:sz w:val="24"/>
          <w:highlight w:val="none"/>
        </w:rPr>
        <w:t xml:space="preserve">提交</w:t>
      </w:r>
      <w:r>
        <w:rPr>
          <w:color w:val="000000"/>
          <w:sz w:val="24"/>
          <w:highlight w:val="none"/>
        </w:rPr>
      </w:r>
      <w:r/>
    </w:p>
    <w:p>
      <w:pPr>
        <w:pStyle w:val="1288"/>
        <w:numPr>
          <w:ilvl w:val="1"/>
          <w:numId w:val="2"/>
        </w:numPr>
        <w:ind w:left="1134" w:hanging="567"/>
        <w:spacing w:line="360" w:lineRule="auto"/>
        <w:tabs>
          <w:tab w:val="left" w:pos="1080" w:leader="none"/>
          <w:tab w:val="left" w:pos="1589" w:leader="none"/>
          <w:tab w:val="left" w:pos="2014" w:leader="none"/>
        </w:tabs>
        <w:rPr>
          <w:rFonts w:hint="eastAsia"/>
          <w:color w:val="000000"/>
          <w:sz w:val="24"/>
          <w:highlight w:val="none"/>
        </w:rPr>
      </w:pPr>
      <w:r/>
      <w:bookmarkStart w:id="454" w:name="OLE_LINK44"/>
      <w:r/>
      <w:bookmarkStart w:id="455" w:name="OLE_LINK43"/>
      <w:r/>
      <w:bookmarkStart w:id="456" w:name="OLE_LINK4"/>
      <w:r>
        <w:rPr>
          <w:rFonts w:hint="eastAsia"/>
          <w:color w:val="000000"/>
          <w:sz w:val="24"/>
          <w:highlight w:val="none"/>
        </w:rPr>
        <w:t xml:space="preserve">本项目使用</w:t>
      </w:r>
      <w:r>
        <w:rPr>
          <w:rFonts w:hint="eastAsia"/>
          <w:color w:val="000000"/>
          <w:sz w:val="24"/>
          <w:highlight w:val="none"/>
          <w:lang w:bidi="ar"/>
        </w:rPr>
        <w:t xml:space="preserve">政府采购一体化平台</w:t>
      </w:r>
      <w:r>
        <w:rPr>
          <w:color w:val="000000"/>
          <w:sz w:val="24"/>
          <w:highlight w:val="none"/>
          <w:lang w:bidi="ar"/>
        </w:rPr>
        <w:t xml:space="preserve">“</w:t>
      </w:r>
      <w:r>
        <w:rPr>
          <w:rFonts w:hint="eastAsia"/>
          <w:color w:val="000000"/>
          <w:sz w:val="24"/>
          <w:highlight w:val="none"/>
          <w:lang w:bidi="ar"/>
        </w:rPr>
        <w:t xml:space="preserve">苏采云</w:t>
      </w:r>
      <w:r>
        <w:rPr>
          <w:color w:val="000000"/>
          <w:sz w:val="24"/>
          <w:highlight w:val="none"/>
          <w:lang w:bidi="ar"/>
        </w:rPr>
        <w:t xml:space="preserve">”</w:t>
      </w:r>
      <w:r>
        <w:rPr>
          <w:rFonts w:hint="eastAsia"/>
          <w:color w:val="000000"/>
          <w:sz w:val="24"/>
          <w:highlight w:val="none"/>
        </w:rPr>
        <w:t xml:space="preserve">。供应商根据谈判文件及</w:t>
      </w:r>
      <w:r>
        <w:rPr>
          <w:rFonts w:hint="eastAsia"/>
          <w:color w:val="000000"/>
          <w:sz w:val="24"/>
          <w:highlight w:val="none"/>
          <w:lang w:bidi="ar"/>
        </w:rPr>
        <w:t xml:space="preserve">政府采购一体化平台</w:t>
      </w:r>
      <w:r>
        <w:rPr>
          <w:color w:val="000000"/>
          <w:sz w:val="24"/>
          <w:highlight w:val="none"/>
          <w:lang w:bidi="ar"/>
        </w:rPr>
        <w:t xml:space="preserve">“</w:t>
      </w:r>
      <w:r>
        <w:rPr>
          <w:rFonts w:hint="eastAsia"/>
          <w:color w:val="000000"/>
          <w:sz w:val="24"/>
          <w:highlight w:val="none"/>
          <w:lang w:bidi="ar"/>
        </w:rPr>
        <w:t xml:space="preserve">苏采云</w:t>
      </w:r>
      <w:r>
        <w:rPr>
          <w:color w:val="000000"/>
          <w:sz w:val="24"/>
          <w:highlight w:val="none"/>
          <w:lang w:bidi="ar"/>
        </w:rPr>
        <w:t xml:space="preserve">”</w:t>
      </w:r>
      <w:r>
        <w:rPr>
          <w:rFonts w:hint="eastAsia"/>
          <w:color w:val="000000"/>
          <w:sz w:val="24"/>
          <w:highlight w:val="none"/>
        </w:rPr>
        <w:t xml:space="preserve">供应商操作手册要求编制、生成并提交电子响应文件。</w:t>
      </w:r>
      <w:bookmarkEnd w:id="454"/>
      <w:r/>
      <w:bookmarkEnd w:id="455"/>
      <w:r/>
      <w:bookmarkEnd w:id="456"/>
      <w:r>
        <w:rPr>
          <w:rFonts w:hint="eastAsia"/>
          <w:color w:val="000000"/>
          <w:sz w:val="24"/>
          <w:highlight w:val="none"/>
        </w:rPr>
      </w:r>
      <w:r/>
    </w:p>
    <w:p>
      <w:pPr>
        <w:pStyle w:val="1288"/>
        <w:numPr>
          <w:ilvl w:val="1"/>
          <w:numId w:val="2"/>
        </w:numPr>
        <w:ind w:left="1134" w:hanging="567"/>
        <w:spacing w:line="360" w:lineRule="auto"/>
        <w:tabs>
          <w:tab w:val="left" w:pos="1080" w:leader="none"/>
          <w:tab w:val="left" w:pos="2014" w:leader="none"/>
        </w:tabs>
        <w:rPr>
          <w:rFonts w:hint="eastAsia" w:ascii="Calibri" w:hAnsi="Calibri"/>
          <w:color w:val="000000"/>
          <w:sz w:val="24"/>
          <w:highlight w:val="none"/>
        </w:rPr>
      </w:pPr>
      <w:r/>
      <w:bookmarkStart w:id="457" w:name="OLE_LINK24"/>
      <w:r/>
      <w:bookmarkStart w:id="458" w:name="OLE_LINK16"/>
      <w:r/>
      <w:bookmarkStart w:id="459" w:name="OLE_LINK19"/>
      <w:r>
        <w:rPr>
          <w:rFonts w:hint="eastAsia" w:ascii="Calibri" w:hAnsi="Calibri"/>
          <w:color w:val="000000"/>
          <w:sz w:val="24"/>
          <w:highlight w:val="none"/>
        </w:rPr>
        <w:t xml:space="preserve">采购人及采购代理机构拒绝接受通过“苏采云”政府采购一体化平台以外任何形式提交的响应文件。</w:t>
      </w:r>
      <w:r>
        <w:rPr>
          <w:rFonts w:hint="eastAsia" w:ascii="Calibri" w:hAnsi="Calibri"/>
          <w:color w:val="000000"/>
          <w:sz w:val="24"/>
          <w:highlight w:val="none"/>
        </w:rPr>
      </w:r>
      <w:r/>
    </w:p>
    <w:p>
      <w:pPr>
        <w:numPr>
          <w:ilvl w:val="1"/>
          <w:numId w:val="2"/>
        </w:numPr>
        <w:ind w:left="1134" w:hanging="567"/>
        <w:spacing w:line="360" w:lineRule="auto"/>
        <w:tabs>
          <w:tab w:val="left" w:pos="1080" w:leader="none"/>
          <w:tab w:val="clear" w:pos="1447" w:leader="none"/>
          <w:tab w:val="left" w:pos="2014" w:leader="none"/>
        </w:tabs>
        <w:rPr>
          <w:rFonts w:hint="eastAsia" w:ascii="Calibri" w:hAnsi="Calibri"/>
          <w:color w:val="000000"/>
          <w:sz w:val="24"/>
          <w:szCs w:val="24"/>
          <w:highlight w:val="none"/>
          <w14:ligatures w14:val="none"/>
        </w:rPr>
      </w:pPr>
      <w:r>
        <w:rPr>
          <w:rFonts w:hint="eastAsia" w:ascii="Calibri" w:hAnsi="Calibri"/>
          <w:color w:val="000000"/>
          <w:sz w:val="24"/>
          <w:szCs w:val="24"/>
          <w:highlight w:val="none"/>
        </w:rPr>
      </w:r>
      <w:bookmarkStart w:id="460" w:name="OLE_LINK104"/>
      <w:r>
        <w:rPr>
          <w:rFonts w:hint="eastAsia" w:ascii="Calibri" w:hAnsi="Calibri"/>
          <w:color w:val="000000"/>
          <w:sz w:val="24"/>
          <w:szCs w:val="24"/>
          <w:highlight w:val="none"/>
        </w:rPr>
      </w:r>
      <w:bookmarkStart w:id="461" w:name="OLE_LINK105"/>
      <w:r>
        <w:rPr>
          <w:rFonts w:hint="eastAsia" w:ascii="Calibri" w:hAnsi="Calibri"/>
          <w:color w:val="000000"/>
          <w:sz w:val="24"/>
          <w:szCs w:val="24"/>
          <w:highlight w:val="none"/>
        </w:rPr>
        <w:t xml:space="preserve">中标后，中标供应商5个工作日内需提供响应文件共一式叁份送至代理机构，“正本”壹份、“副本”贰份、“U盘”壹份（电子文件中含全套正本响应文件。在每一份响应文件上要标明“正本”或“副本”字样，一旦正本和副本有差异，以正本为准,正本、副本应分别装订成册。</w:t>
      </w:r>
      <w:bookmarkEnd w:id="461"/>
      <w:r>
        <w:rPr>
          <w:rFonts w:hint="eastAsia" w:ascii="Calibri" w:hAnsi="Calibri"/>
          <w:color w:val="000000"/>
          <w:sz w:val="24"/>
          <w:szCs w:val="24"/>
          <w:highlight w:val="none"/>
        </w:rPr>
      </w:r>
      <w:r/>
    </w:p>
    <w:p>
      <w:pPr>
        <w:pStyle w:val="1288"/>
        <w:numPr>
          <w:ilvl w:val="0"/>
          <w:numId w:val="2"/>
        </w:numPr>
        <w:ind w:left="357" w:hanging="357"/>
        <w:spacing w:line="360" w:lineRule="auto"/>
        <w:tabs>
          <w:tab w:val="left" w:pos="360" w:leader="none"/>
          <w:tab w:val="left" w:pos="4445" w:leader="none"/>
        </w:tabs>
        <w:rPr>
          <w:color w:val="000000"/>
          <w:sz w:val="24"/>
          <w:highlight w:val="none"/>
        </w:rPr>
        <w:outlineLvl w:val="1"/>
      </w:pPr>
      <w:r/>
      <w:bookmarkEnd w:id="460"/>
      <w:r/>
      <w:bookmarkStart w:id="462" w:name="_Toc164229231"/>
      <w:r/>
      <w:bookmarkStart w:id="463" w:name="OLE_LINK13"/>
      <w:r/>
      <w:bookmarkStart w:id="464" w:name="_Toc164608650"/>
      <w:r/>
      <w:bookmarkStart w:id="465" w:name="_Toc520356161"/>
      <w:r/>
      <w:bookmarkStart w:id="466" w:name="_Toc226309780"/>
      <w:r/>
      <w:bookmarkStart w:id="467" w:name="_Toc226965811"/>
      <w:r/>
      <w:bookmarkStart w:id="468" w:name="_Toc265228376"/>
      <w:r/>
      <w:bookmarkStart w:id="469" w:name="_Toc264969228"/>
      <w:r/>
      <w:bookmarkStart w:id="470" w:name="_Toc305158806"/>
      <w:r/>
      <w:bookmarkStart w:id="471" w:name="_Toc151193636"/>
      <w:r/>
      <w:bookmarkStart w:id="472" w:name="_Toc127151538"/>
      <w:r/>
      <w:bookmarkStart w:id="473" w:name="_Toc226309782"/>
      <w:r/>
      <w:bookmarkStart w:id="474" w:name="_Toc142311040"/>
      <w:r/>
      <w:bookmarkStart w:id="475" w:name="_Toc151193926"/>
      <w:r/>
      <w:bookmarkStart w:id="476" w:name="_Toc226965728"/>
      <w:r/>
      <w:bookmarkStart w:id="477" w:name="_Toc151193780"/>
      <w:r/>
      <w:bookmarkStart w:id="478" w:name="_Toc151193852"/>
      <w:r/>
      <w:bookmarkStart w:id="479" w:name="_Toc520356163"/>
      <w:r/>
      <w:bookmarkStart w:id="480" w:name="_Toc150774743"/>
      <w:r/>
      <w:bookmarkStart w:id="481" w:name="_Toc226337234"/>
      <w:r/>
      <w:bookmarkStart w:id="482" w:name="_Toc150480776"/>
      <w:r/>
      <w:bookmarkStart w:id="483" w:name="_Toc305158880"/>
      <w:r/>
      <w:bookmarkStart w:id="484" w:name="_Toc151190165"/>
      <w:r/>
      <w:bookmarkStart w:id="485" w:name="_Toc150774638"/>
      <w:r/>
      <w:bookmarkStart w:id="486" w:name="_Toc150509289"/>
      <w:r/>
      <w:bookmarkStart w:id="487" w:name="_Toc195842903"/>
      <w:r/>
      <w:bookmarkStart w:id="488" w:name="_Toc151193708"/>
      <w:r/>
      <w:bookmarkStart w:id="489" w:name="_Toc151193778"/>
      <w:r/>
      <w:bookmarkStart w:id="490" w:name="_Toc142311038"/>
      <w:r/>
      <w:bookmarkStart w:id="491" w:name="_Toc305158804"/>
      <w:r/>
      <w:bookmarkStart w:id="492" w:name="_Toc226965726"/>
      <w:r/>
      <w:bookmarkStart w:id="493" w:name="_Toc151193924"/>
      <w:r/>
      <w:bookmarkStart w:id="494" w:name="_Toc265228374"/>
      <w:r/>
      <w:bookmarkStart w:id="495" w:name="_Toc226965809"/>
      <w:r/>
      <w:bookmarkStart w:id="496" w:name="_Toc127161450"/>
      <w:r/>
      <w:bookmarkStart w:id="497" w:name="_Toc164229377"/>
      <w:r/>
      <w:bookmarkStart w:id="498" w:name="_Toc127151536"/>
      <w:r/>
      <w:bookmarkStart w:id="499" w:name="_Toc127151737"/>
      <w:r/>
      <w:bookmarkStart w:id="500" w:name="_Toc150509287"/>
      <w:r/>
      <w:bookmarkStart w:id="501" w:name="_Toc150774741"/>
      <w:r/>
      <w:bookmarkStart w:id="502" w:name="_Toc264969226"/>
      <w:r/>
      <w:bookmarkStart w:id="503" w:name="_Toc195842901"/>
      <w:r/>
      <w:bookmarkStart w:id="504" w:name="_Toc226337232"/>
      <w:r/>
      <w:bookmarkStart w:id="505" w:name="_Toc150774636"/>
      <w:r/>
      <w:bookmarkStart w:id="506" w:name="_Toc151193706"/>
      <w:r/>
      <w:bookmarkStart w:id="507" w:name="_Toc151190163"/>
      <w:r/>
      <w:bookmarkStart w:id="508" w:name="_Toc151193850"/>
      <w:r/>
      <w:bookmarkStart w:id="509" w:name="_Toc164608805"/>
      <w:r/>
      <w:bookmarkStart w:id="510" w:name="_Toc164351630"/>
      <w:r/>
      <w:bookmarkStart w:id="511" w:name="_Toc151193634"/>
      <w:r/>
      <w:bookmarkStart w:id="512" w:name="_Toc149720829"/>
      <w:r/>
      <w:bookmarkStart w:id="513" w:name="_Toc150480774"/>
      <w:r/>
      <w:bookmarkStart w:id="514" w:name="_Toc305158878"/>
      <w:r>
        <w:rPr>
          <w:rFonts w:hint="eastAsia"/>
          <w:color w:val="000000"/>
          <w:sz w:val="24"/>
          <w:highlight w:val="none"/>
        </w:rPr>
        <w:t xml:space="preserve">响应文件截止</w:t>
      </w:r>
      <w:bookmarkEnd w:id="462"/>
      <w:r/>
      <w:bookmarkEnd w:id="464"/>
      <w:r/>
      <w:bookmarkEnd w:id="465"/>
      <w:r/>
      <w:bookmarkEnd w:id="466"/>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bookmarkEnd w:id="510"/>
      <w:r/>
      <w:bookmarkEnd w:id="511"/>
      <w:r/>
      <w:bookmarkEnd w:id="512"/>
      <w:r/>
      <w:bookmarkEnd w:id="513"/>
      <w:r/>
      <w:bookmarkEnd w:id="514"/>
      <w:r>
        <w:rPr>
          <w:rFonts w:hint="eastAsia"/>
          <w:color w:val="000000"/>
          <w:sz w:val="24"/>
          <w:highlight w:val="none"/>
        </w:rPr>
        <w:t xml:space="preserve">时间</w:t>
      </w:r>
      <w:r>
        <w:rPr>
          <w:color w:val="000000"/>
          <w:sz w:val="24"/>
          <w:highlight w:val="none"/>
        </w:rPr>
      </w:r>
      <w:r/>
    </w:p>
    <w:p>
      <w:pPr>
        <w:pStyle w:val="1288"/>
        <w:ind w:left="990" w:hanging="511"/>
        <w:spacing w:line="360" w:lineRule="auto"/>
        <w:tabs>
          <w:tab w:val="left" w:pos="1080" w:leader="none"/>
          <w:tab w:val="left" w:pos="1589" w:leader="none"/>
          <w:tab w:val="left" w:pos="2014" w:leader="none"/>
        </w:tabs>
        <w:rPr>
          <w:rFonts w:ascii="Calibri" w:hAnsi="Calibri"/>
          <w:color w:val="000000"/>
          <w:sz w:val="24"/>
          <w:highlight w:val="none"/>
        </w:rPr>
      </w:pPr>
      <w:r>
        <w:rPr>
          <w:rFonts w:hint="eastAsia"/>
          <w:color w:val="000000"/>
          <w:sz w:val="24"/>
          <w:highlight w:val="none"/>
        </w:rPr>
        <w:t xml:space="preserve">14.1</w:t>
      </w:r>
      <w:r>
        <w:rPr>
          <w:rFonts w:hint="eastAsia" w:ascii="Calibri" w:hAnsi="Calibri"/>
          <w:color w:val="000000"/>
          <w:sz w:val="24"/>
          <w:highlight w:val="none"/>
        </w:rPr>
        <w:t xml:space="preserve">供应商应在谈判文件要求提交响应文件截止时间前，将电子响应文件提交至“苏采云”政府采购一体化平台。</w:t>
      </w:r>
      <w:r>
        <w:rPr>
          <w:rFonts w:ascii="Calibri" w:hAnsi="Calibri"/>
          <w:color w:val="000000"/>
          <w:sz w:val="24"/>
          <w:highlight w:val="none"/>
        </w:rPr>
      </w:r>
      <w:r/>
    </w:p>
    <w:p>
      <w:pPr>
        <w:pStyle w:val="1288"/>
        <w:numPr>
          <w:ilvl w:val="0"/>
          <w:numId w:val="2"/>
        </w:numPr>
        <w:ind w:left="357" w:hanging="357"/>
        <w:spacing w:line="360" w:lineRule="auto"/>
        <w:tabs>
          <w:tab w:val="left" w:pos="360" w:leader="none"/>
          <w:tab w:val="left" w:pos="4445" w:leader="none"/>
        </w:tabs>
        <w:rPr>
          <w:color w:val="000000"/>
          <w:sz w:val="24"/>
          <w:highlight w:val="none"/>
        </w:rPr>
        <w:outlineLvl w:val="1"/>
      </w:pPr>
      <w:r/>
      <w:bookmarkStart w:id="515" w:name="_Toc151193635"/>
      <w:r/>
      <w:bookmarkStart w:id="516" w:name="_Toc151193707"/>
      <w:r/>
      <w:bookmarkStart w:id="517" w:name="_Toc305158805"/>
      <w:r/>
      <w:bookmarkStart w:id="518" w:name="_Toc164608651"/>
      <w:r/>
      <w:bookmarkStart w:id="519" w:name="_Toc226965810"/>
      <w:r/>
      <w:bookmarkStart w:id="520" w:name="_Toc226965727"/>
      <w:r/>
      <w:bookmarkStart w:id="521" w:name="_Toc127151537"/>
      <w:r/>
      <w:bookmarkStart w:id="522" w:name="_Toc195842902"/>
      <w:r/>
      <w:bookmarkStart w:id="523" w:name="_Toc164351631"/>
      <w:r/>
      <w:bookmarkStart w:id="524" w:name="_Toc142311039"/>
      <w:r/>
      <w:bookmarkStart w:id="525" w:name="_Toc127151738"/>
      <w:r/>
      <w:bookmarkStart w:id="526" w:name="_Toc150509288"/>
      <w:r/>
      <w:bookmarkStart w:id="527" w:name="_Toc151193779"/>
      <w:r/>
      <w:bookmarkStart w:id="528" w:name="_Toc151193851"/>
      <w:r/>
      <w:bookmarkStart w:id="529" w:name="_Toc264969227"/>
      <w:r/>
      <w:bookmarkStart w:id="530" w:name="_Toc151190164"/>
      <w:r/>
      <w:bookmarkStart w:id="531" w:name="_Toc150480775"/>
      <w:r/>
      <w:bookmarkStart w:id="532" w:name="_Toc164229378"/>
      <w:r/>
      <w:bookmarkStart w:id="533" w:name="_Toc520356162"/>
      <w:r/>
      <w:bookmarkStart w:id="534" w:name="_Toc127161451"/>
      <w:r/>
      <w:bookmarkStart w:id="535" w:name="_Toc226337233"/>
      <w:r/>
      <w:bookmarkStart w:id="536" w:name="_Toc305158879"/>
      <w:r/>
      <w:bookmarkStart w:id="537" w:name="_Toc150774637"/>
      <w:r/>
      <w:bookmarkStart w:id="538" w:name="_Toc151193925"/>
      <w:r/>
      <w:bookmarkStart w:id="539" w:name="_Toc265228375"/>
      <w:r/>
      <w:bookmarkStart w:id="540" w:name="_Toc164229232"/>
      <w:r/>
      <w:bookmarkStart w:id="541" w:name="_Toc164608806"/>
      <w:r/>
      <w:bookmarkStart w:id="542" w:name="_Toc150774742"/>
      <w:r/>
      <w:bookmarkStart w:id="543" w:name="_Toc226309781"/>
      <w:r/>
      <w:bookmarkStart w:id="544" w:name="_Toc149720830"/>
      <w:r>
        <w:rPr>
          <w:rFonts w:hint="eastAsia"/>
          <w:color w:val="000000"/>
          <w:sz w:val="24"/>
          <w:highlight w:val="none"/>
        </w:rPr>
        <w:t xml:space="preserve">响应文件的修改与撤回</w:t>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bookmarkEnd w:id="532"/>
      <w:r/>
      <w:bookmarkEnd w:id="533"/>
      <w:r/>
      <w:bookmarkEnd w:id="534"/>
      <w:r/>
      <w:bookmarkEnd w:id="535"/>
      <w:r/>
      <w:bookmarkEnd w:id="536"/>
      <w:r/>
      <w:bookmarkEnd w:id="537"/>
      <w:r/>
      <w:bookmarkEnd w:id="538"/>
      <w:r/>
      <w:bookmarkEnd w:id="539"/>
      <w:r/>
      <w:bookmarkEnd w:id="540"/>
      <w:r/>
      <w:bookmarkEnd w:id="541"/>
      <w:r/>
      <w:bookmarkEnd w:id="542"/>
      <w:r/>
      <w:bookmarkEnd w:id="543"/>
      <w:r/>
      <w:bookmarkEnd w:id="544"/>
      <w:r>
        <w:rPr>
          <w:color w:val="000000"/>
          <w:sz w:val="24"/>
          <w:highlight w:val="none"/>
        </w:rPr>
      </w:r>
      <w:r/>
    </w:p>
    <w:p>
      <w:pPr>
        <w:pStyle w:val="1288"/>
        <w:ind w:left="991" w:hanging="422"/>
        <w:spacing w:line="360" w:lineRule="auto"/>
        <w:tabs>
          <w:tab w:val="left" w:pos="1589" w:leader="none"/>
          <w:tab w:val="left" w:pos="2014" w:leader="none"/>
        </w:tabs>
        <w:rPr>
          <w:color w:val="000000"/>
          <w:sz w:val="24"/>
          <w:highlight w:val="none"/>
        </w:rPr>
      </w:pPr>
      <w:r>
        <w:rPr>
          <w:rFonts w:hint="eastAsia"/>
          <w:color w:val="000000"/>
          <w:sz w:val="24"/>
          <w:highlight w:val="none"/>
        </w:rPr>
        <w:t xml:space="preserve">15.1提交响应文件截止时间前，供应商可以通过电子交易平台对所提交的响应文件进行补充、修改或者撤回。</w:t>
      </w:r>
      <w:r>
        <w:rPr>
          <w:color w:val="000000"/>
          <w:sz w:val="24"/>
          <w:highlight w:val="none"/>
        </w:rPr>
      </w:r>
      <w:r/>
    </w:p>
    <w:p>
      <w:pPr>
        <w:pStyle w:val="1288"/>
        <w:ind w:left="991" w:hanging="422"/>
        <w:spacing w:line="360" w:lineRule="auto"/>
        <w:tabs>
          <w:tab w:val="left" w:pos="1589" w:leader="none"/>
          <w:tab w:val="left" w:pos="2014" w:leader="none"/>
        </w:tabs>
        <w:rPr>
          <w:rFonts w:hint="eastAsia"/>
          <w:color w:val="000000"/>
          <w:sz w:val="24"/>
          <w:highlight w:val="none"/>
        </w:rPr>
      </w:pPr>
      <w:r>
        <w:rPr>
          <w:rFonts w:hint="eastAsia"/>
          <w:color w:val="000000"/>
          <w:sz w:val="24"/>
          <w:highlight w:val="none"/>
        </w:rPr>
        <w:t xml:space="preserve">15.2供应商对响应文件的补充、修改的内容应当按照谈判文件要求签署、盖章，作为响应文件的组成部分。补充、修改的内容与响应文件不一致的，以补充、修改的内容为准。</w:t>
      </w:r>
      <w:bookmarkEnd w:id="463"/>
      <w:r>
        <w:rPr>
          <w:rFonts w:hint="eastAsia"/>
          <w:color w:val="000000"/>
          <w:sz w:val="24"/>
          <w:highlight w:val="none"/>
        </w:rPr>
      </w:r>
      <w:r/>
    </w:p>
    <w:p>
      <w:pPr>
        <w:pStyle w:val="1290"/>
        <w:spacing w:before="0" w:line="360" w:lineRule="auto"/>
        <w:rPr>
          <w:rFonts w:ascii="Times New Roman" w:hAnsi="Times New Roman" w:eastAsia="宋体"/>
          <w:color w:val="000000"/>
          <w:sz w:val="28"/>
          <w:highlight w:val="none"/>
        </w:rPr>
      </w:pPr>
      <w:r>
        <w:rPr>
          <w:rFonts w:hint="eastAsia" w:ascii="Times New Roman" w:hAnsi="Times New Roman" w:eastAsia="宋体"/>
          <w:color w:val="000000"/>
          <w:sz w:val="28"/>
          <w:highlight w:val="none"/>
        </w:rPr>
        <w:t xml:space="preserve">五</w:t>
      </w:r>
      <w:bookmarkStart w:id="545" w:name="_Hlk97413571"/>
      <w:r>
        <w:rPr>
          <w:rFonts w:ascii="Times New Roman" w:hAnsi="Times New Roman" w:eastAsia="宋体"/>
          <w:color w:val="000000"/>
          <w:sz w:val="28"/>
          <w:highlight w:val="none"/>
        </w:rPr>
        <w:t xml:space="preserve">  </w:t>
      </w:r>
      <w:r>
        <w:rPr>
          <w:rFonts w:hint="eastAsia" w:ascii="Times New Roman" w:hAnsi="Times New Roman" w:eastAsia="宋体"/>
          <w:color w:val="000000"/>
          <w:sz w:val="28"/>
          <w:highlight w:val="none"/>
        </w:rPr>
        <w:t xml:space="preserve">评审</w:t>
      </w:r>
      <w:bookmarkEnd w:id="545"/>
      <w:r>
        <w:rPr>
          <w:rFonts w:ascii="Times New Roman" w:hAnsi="Times New Roman" w:eastAsia="宋体"/>
          <w:color w:val="000000"/>
          <w:sz w:val="28"/>
          <w:highlight w:val="none"/>
        </w:rPr>
      </w:r>
      <w:r/>
    </w:p>
    <w:p>
      <w:pPr>
        <w:pStyle w:val="1288"/>
        <w:numPr>
          <w:ilvl w:val="0"/>
          <w:numId w:val="2"/>
        </w:numPr>
        <w:ind w:left="357" w:hanging="357"/>
        <w:spacing w:line="360" w:lineRule="auto"/>
        <w:tabs>
          <w:tab w:val="left" w:pos="360" w:leader="none"/>
          <w:tab w:val="left" w:pos="4445" w:leader="none"/>
        </w:tabs>
        <w:rPr>
          <w:color w:val="000000"/>
          <w:sz w:val="24"/>
          <w:highlight w:val="none"/>
        </w:rPr>
        <w:outlineLvl w:val="1"/>
      </w:pPr>
      <w:r/>
      <w:bookmarkStart w:id="546" w:name="_Toc249515304"/>
      <w:r/>
      <w:bookmarkStart w:id="547" w:name="_Toc501547521"/>
      <w:r/>
      <w:bookmarkStart w:id="548" w:name="_Toc501505903"/>
      <w:r/>
      <w:bookmarkStart w:id="549" w:name="_Toc493590991"/>
      <w:r/>
      <w:bookmarkStart w:id="550" w:name="_Toc493711048"/>
      <w:r/>
      <w:bookmarkStart w:id="551" w:name="_Toc249515416"/>
      <w:r/>
      <w:bookmarkStart w:id="552" w:name="_Toc388010432"/>
      <w:r/>
      <w:bookmarkStart w:id="553" w:name="_Toc501504681"/>
      <w:r/>
      <w:bookmarkStart w:id="554" w:name="_Toc249525185"/>
      <w:r/>
      <w:bookmarkStart w:id="555" w:name="_Toc493661679"/>
      <w:r/>
      <w:bookmarkStart w:id="556" w:name="_Toc461642305"/>
      <w:r>
        <w:rPr>
          <w:rFonts w:hint="eastAsia"/>
          <w:color w:val="000000"/>
          <w:sz w:val="24"/>
          <w:highlight w:val="none"/>
        </w:rPr>
        <w:t xml:space="preserve">解密</w:t>
      </w:r>
      <w:bookmarkEnd w:id="546"/>
      <w:r/>
      <w:bookmarkEnd w:id="547"/>
      <w:r/>
      <w:bookmarkEnd w:id="548"/>
      <w:r/>
      <w:bookmarkEnd w:id="549"/>
      <w:r/>
      <w:bookmarkEnd w:id="550"/>
      <w:r/>
      <w:bookmarkEnd w:id="551"/>
      <w:r/>
      <w:bookmarkEnd w:id="552"/>
      <w:r/>
      <w:bookmarkEnd w:id="553"/>
      <w:r/>
      <w:bookmarkEnd w:id="554"/>
      <w:r/>
      <w:bookmarkEnd w:id="555"/>
      <w:r/>
      <w:bookmarkEnd w:id="556"/>
      <w:r>
        <w:rPr>
          <w:color w:val="000000"/>
          <w:sz w:val="24"/>
          <w:highlight w:val="none"/>
        </w:rPr>
      </w:r>
      <w:r/>
    </w:p>
    <w:p>
      <w:pPr>
        <w:pStyle w:val="1288"/>
        <w:numPr>
          <w:ilvl w:val="1"/>
          <w:numId w:val="6"/>
        </w:numPr>
        <w:ind w:left="1077" w:hanging="720"/>
        <w:spacing w:line="360" w:lineRule="auto"/>
        <w:tabs>
          <w:tab w:val="left" w:pos="1080" w:leader="none"/>
          <w:tab w:val="left" w:pos="1589" w:leader="none"/>
          <w:tab w:val="left" w:pos="2014" w:leader="none"/>
        </w:tabs>
        <w:rPr>
          <w:color w:val="000000"/>
          <w:sz w:val="24"/>
          <w:highlight w:val="none"/>
        </w:rPr>
      </w:pPr>
      <w:r>
        <w:rPr>
          <w:rFonts w:hint="eastAsia"/>
          <w:color w:val="000000"/>
          <w:sz w:val="24"/>
          <w:highlight w:val="none"/>
        </w:rPr>
        <w:t xml:space="preserve">采购人或采购代理机构将按谈判文件的规定，在响应文件提交截止时间的同一时间和谈判文件约定的地点组织解密。</w:t>
      </w:r>
      <w:r>
        <w:rPr>
          <w:color w:val="000000"/>
          <w:sz w:val="24"/>
          <w:highlight w:val="none"/>
        </w:rPr>
        <w:t xml:space="preserve"> </w:t>
      </w:r>
      <w:r>
        <w:rPr>
          <w:color w:val="000000"/>
          <w:sz w:val="24"/>
          <w:highlight w:val="none"/>
        </w:rPr>
      </w:r>
      <w:r/>
    </w:p>
    <w:p>
      <w:pPr>
        <w:pStyle w:val="1288"/>
        <w:numPr>
          <w:ilvl w:val="1"/>
          <w:numId w:val="6"/>
        </w:numPr>
        <w:ind w:left="1077" w:hanging="720"/>
        <w:spacing w:line="360" w:lineRule="auto"/>
        <w:tabs>
          <w:tab w:val="left" w:pos="1080" w:leader="none"/>
          <w:tab w:val="left" w:pos="1589" w:leader="none"/>
          <w:tab w:val="left" w:pos="2014" w:leader="none"/>
        </w:tabs>
        <w:rPr>
          <w:color w:val="000000"/>
          <w:sz w:val="24"/>
          <w:highlight w:val="none"/>
        </w:rPr>
      </w:pPr>
      <w:r>
        <w:rPr>
          <w:rFonts w:hint="eastAsia"/>
          <w:color w:val="000000"/>
          <w:sz w:val="24"/>
          <w:highlight w:val="none"/>
        </w:rPr>
        <w:t xml:space="preserve">本项目</w:t>
      </w:r>
      <w:r>
        <w:rPr>
          <w:rFonts w:hint="eastAsia" w:ascii="宋体" w:hAnsi="宋体"/>
          <w:color w:val="000000"/>
          <w:sz w:val="24"/>
          <w:highlight w:val="none"/>
        </w:rPr>
        <w:t xml:space="preserve">采用不见面</w:t>
      </w:r>
      <w:bookmarkStart w:id="557" w:name="OLE_LINK31"/>
      <w:r>
        <w:rPr>
          <w:rFonts w:hint="eastAsia" w:ascii="宋体" w:hAnsi="宋体"/>
          <w:color w:val="000000"/>
          <w:sz w:val="24"/>
          <w:highlight w:val="none"/>
        </w:rPr>
        <w:t xml:space="preserve">招投标</w:t>
      </w:r>
      <w:bookmarkEnd w:id="557"/>
      <w:r>
        <w:rPr>
          <w:rFonts w:hint="eastAsia" w:ascii="宋体" w:hAnsi="宋体"/>
          <w:color w:val="000000"/>
          <w:sz w:val="24"/>
          <w:highlight w:val="none"/>
        </w:rPr>
        <w:t xml:space="preserve">模式，</w:t>
      </w:r>
      <w:r>
        <w:rPr>
          <w:rFonts w:hint="eastAsia"/>
          <w:color w:val="000000"/>
          <w:sz w:val="24"/>
          <w:highlight w:val="none"/>
        </w:rPr>
        <w:t xml:space="preserve">使用</w:t>
      </w:r>
      <w:bookmarkStart w:id="558" w:name="OLE_LINK146"/>
      <w:r/>
      <w:bookmarkStart w:id="559" w:name="OLE_LINK144"/>
      <w:r/>
      <w:bookmarkStart w:id="560" w:name="OLE_LINK145"/>
      <w:r>
        <w:rPr>
          <w:rFonts w:hint="eastAsia"/>
          <w:color w:val="000000"/>
          <w:sz w:val="24"/>
          <w:highlight w:val="none"/>
        </w:rPr>
        <w:t xml:space="preserve">“苏采云”政府采购一体化平台</w:t>
      </w:r>
      <w:bookmarkEnd w:id="558"/>
      <w:r/>
      <w:bookmarkEnd w:id="559"/>
      <w:r/>
      <w:bookmarkEnd w:id="560"/>
      <w:r>
        <w:rPr>
          <w:rFonts w:hint="eastAsia"/>
          <w:color w:val="000000"/>
          <w:sz w:val="24"/>
          <w:highlight w:val="none"/>
        </w:rPr>
        <w:t xml:space="preserve">在线进行解密。供应商应在规定的时间内对响应文件进行解密，</w:t>
      </w:r>
      <w:bookmarkStart w:id="561" w:name="OLE_LINK147"/>
      <w:r/>
      <w:bookmarkStart w:id="562" w:name="OLE_LINK148"/>
      <w:r>
        <w:rPr>
          <w:rFonts w:hint="eastAsia"/>
          <w:color w:val="000000"/>
          <w:sz w:val="24"/>
          <w:highlight w:val="none"/>
        </w:rPr>
        <w:t xml:space="preserve">因非系统原因导致的解密失败，视为</w:t>
      </w:r>
      <w:r>
        <w:rPr>
          <w:rFonts w:hint="eastAsia"/>
          <w:b/>
          <w:color w:val="000000"/>
          <w:sz w:val="24"/>
          <w:highlight w:val="none"/>
        </w:rPr>
        <w:t xml:space="preserve">响应无效</w:t>
      </w:r>
      <w:r>
        <w:rPr>
          <w:rFonts w:hint="eastAsia"/>
          <w:color w:val="000000"/>
          <w:sz w:val="24"/>
          <w:highlight w:val="none"/>
        </w:rPr>
        <w:t xml:space="preserve">。</w:t>
      </w:r>
      <w:bookmarkEnd w:id="561"/>
      <w:r/>
      <w:bookmarkEnd w:id="562"/>
      <w:r>
        <w:rPr>
          <w:color w:val="000000"/>
          <w:sz w:val="24"/>
          <w:highlight w:val="none"/>
        </w:rPr>
      </w:r>
      <w:r/>
    </w:p>
    <w:p>
      <w:pPr>
        <w:pStyle w:val="1288"/>
        <w:numPr>
          <w:ilvl w:val="1"/>
          <w:numId w:val="6"/>
        </w:numPr>
        <w:ind w:left="1077" w:hanging="720"/>
        <w:spacing w:line="360" w:lineRule="auto"/>
        <w:tabs>
          <w:tab w:val="left" w:pos="1080" w:leader="none"/>
          <w:tab w:val="left" w:pos="1589" w:leader="none"/>
          <w:tab w:val="left" w:pos="2014" w:leader="none"/>
        </w:tabs>
        <w:rPr>
          <w:color w:val="000000"/>
          <w:sz w:val="24"/>
          <w:highlight w:val="none"/>
        </w:rPr>
      </w:pPr>
      <w:r>
        <w:rPr>
          <w:rFonts w:hint="eastAsia"/>
          <w:color w:val="000000"/>
          <w:sz w:val="24"/>
          <w:highlight w:val="none"/>
        </w:rPr>
        <w:t xml:space="preserve">供应商不足</w:t>
      </w:r>
      <w:r>
        <w:rPr>
          <w:color w:val="000000"/>
          <w:sz w:val="24"/>
          <w:highlight w:val="none"/>
        </w:rPr>
        <w:t xml:space="preserve">3</w:t>
      </w:r>
      <w:r>
        <w:rPr>
          <w:rFonts w:hint="eastAsia"/>
          <w:color w:val="000000"/>
          <w:sz w:val="24"/>
          <w:highlight w:val="none"/>
        </w:rPr>
        <w:t xml:space="preserve">家的，不予解密（法律法规或谈判文件另有规定的除外）。</w:t>
      </w:r>
      <w:r>
        <w:rPr>
          <w:color w:val="000000"/>
          <w:sz w:val="24"/>
          <w:highlight w:val="none"/>
        </w:rPr>
      </w:r>
      <w:r/>
    </w:p>
    <w:p>
      <w:pPr>
        <w:pStyle w:val="1288"/>
        <w:numPr>
          <w:ilvl w:val="1"/>
          <w:numId w:val="6"/>
        </w:numPr>
        <w:ind w:left="1077" w:hanging="720"/>
        <w:spacing w:line="360" w:lineRule="auto"/>
        <w:tabs>
          <w:tab w:val="left" w:pos="1080" w:leader="none"/>
          <w:tab w:val="left" w:pos="1589" w:leader="none"/>
          <w:tab w:val="left" w:pos="2014" w:leader="none"/>
        </w:tabs>
        <w:rPr>
          <w:color w:val="000000"/>
          <w:sz w:val="24"/>
          <w:highlight w:val="none"/>
        </w:rPr>
      </w:pPr>
      <w:r>
        <w:rPr>
          <w:rFonts w:hint="eastAsia"/>
          <w:color w:val="000000"/>
          <w:sz w:val="24"/>
          <w:highlight w:val="none"/>
        </w:rPr>
        <w:t xml:space="preserve">本项目不公开报价。</w:t>
      </w:r>
      <w:r>
        <w:rPr>
          <w:color w:val="000000"/>
          <w:sz w:val="24"/>
          <w:highlight w:val="none"/>
        </w:rPr>
      </w:r>
      <w:r/>
    </w:p>
    <w:p>
      <w:pPr>
        <w:pStyle w:val="1288"/>
        <w:numPr>
          <w:ilvl w:val="1"/>
          <w:numId w:val="6"/>
        </w:numPr>
        <w:ind w:left="1077" w:hanging="720"/>
        <w:spacing w:line="360" w:lineRule="auto"/>
        <w:tabs>
          <w:tab w:val="left" w:pos="1080" w:leader="none"/>
          <w:tab w:val="left" w:pos="1589" w:leader="none"/>
          <w:tab w:val="left" w:pos="2014" w:leader="none"/>
        </w:tabs>
        <w:rPr>
          <w:color w:val="000000"/>
          <w:sz w:val="24"/>
          <w:highlight w:val="none"/>
        </w:rPr>
      </w:pPr>
      <w:r>
        <w:rPr>
          <w:rFonts w:hint="eastAsia"/>
          <w:color w:val="000000"/>
          <w:sz w:val="24"/>
          <w:highlight w:val="none"/>
        </w:rPr>
        <w:t xml:space="preserve">供应商须在开标前使用</w:t>
      </w:r>
      <w:r>
        <w:rPr>
          <w:color w:val="000000"/>
          <w:sz w:val="24"/>
          <w:highlight w:val="none"/>
        </w:rPr>
        <w:t xml:space="preserve">“</w:t>
      </w:r>
      <w:r>
        <w:rPr>
          <w:rFonts w:hint="eastAsia"/>
          <w:color w:val="000000"/>
          <w:sz w:val="24"/>
          <w:highlight w:val="none"/>
        </w:rPr>
        <w:t xml:space="preserve">验证</w:t>
      </w:r>
      <w:r>
        <w:rPr>
          <w:color w:val="000000"/>
          <w:sz w:val="24"/>
          <w:highlight w:val="none"/>
        </w:rPr>
        <w:t xml:space="preserve">CA”</w:t>
      </w:r>
      <w:r>
        <w:rPr>
          <w:rFonts w:hint="eastAsia"/>
          <w:color w:val="000000"/>
          <w:sz w:val="24"/>
          <w:highlight w:val="none"/>
        </w:rPr>
        <w:t xml:space="preserve">功能验证本地计算机的控件环境是否正常，并且在解密、评审过程中不可随意更换计算机，必须使用验证成功的计算机进行操作，否则造成相应后果由供应商自行承担。本地计算机要求安装摄像头、麦克风和音箱，保持网络通畅。</w:t>
      </w:r>
      <w:r>
        <w:rPr>
          <w:color w:val="000000"/>
          <w:sz w:val="24"/>
          <w:highlight w:val="none"/>
        </w:rPr>
      </w:r>
      <w:r/>
    </w:p>
    <w:p>
      <w:pPr>
        <w:pStyle w:val="1288"/>
        <w:numPr>
          <w:ilvl w:val="1"/>
          <w:numId w:val="6"/>
        </w:numPr>
        <w:ind w:left="1077" w:hanging="720"/>
        <w:spacing w:line="360" w:lineRule="auto"/>
        <w:tabs>
          <w:tab w:val="left" w:pos="1080" w:leader="none"/>
          <w:tab w:val="left" w:pos="1589" w:leader="none"/>
          <w:tab w:val="left" w:pos="2014" w:leader="none"/>
        </w:tabs>
        <w:rPr>
          <w:color w:val="000000"/>
          <w:sz w:val="24"/>
          <w:highlight w:val="none"/>
        </w:rPr>
      </w:pPr>
      <w:r>
        <w:rPr>
          <w:rFonts w:hint="eastAsia"/>
          <w:color w:val="000000"/>
          <w:sz w:val="24"/>
          <w:highlight w:val="none"/>
        </w:rPr>
        <w:t xml:space="preserve">因本项目采用不见面交易的方式，在解密、评审过程中，供应商需要保持操作计算机前有相关责任人值守，及时对于系统或者谈判小组发出的指令和要求进行响应操作。如果因为无人值守造成不能及时回应系统或者谈判小组指令和要求从而导致影响开标、评审结果的，责任由供应商承担。</w:t>
      </w:r>
      <w:r>
        <w:rPr>
          <w:color w:val="000000"/>
          <w:sz w:val="24"/>
          <w:highlight w:val="none"/>
        </w:rPr>
      </w:r>
      <w:r/>
    </w:p>
    <w:p>
      <w:pPr>
        <w:pStyle w:val="1288"/>
        <w:numPr>
          <w:ilvl w:val="1"/>
          <w:numId w:val="6"/>
        </w:numPr>
        <w:ind w:left="1077" w:hanging="720"/>
        <w:spacing w:line="360" w:lineRule="auto"/>
        <w:tabs>
          <w:tab w:val="left" w:pos="1080" w:leader="none"/>
          <w:tab w:val="left" w:pos="1589" w:leader="none"/>
          <w:tab w:val="left" w:pos="2014" w:leader="none"/>
        </w:tabs>
        <w:rPr>
          <w:color w:val="000000"/>
          <w:sz w:val="24"/>
          <w:highlight w:val="none"/>
        </w:rPr>
      </w:pPr>
      <w:r>
        <w:rPr>
          <w:rFonts w:hint="eastAsia"/>
          <w:color w:val="000000"/>
          <w:sz w:val="24"/>
          <w:highlight w:val="none"/>
        </w:rPr>
        <w:t xml:space="preserve">如果在采购活动过程中出现以下情形，导致““苏采云”政府采购一体化平台”系统无法正常运行，或者无法保证本项目采购活动的公平、公正和安全时，代理机构可以延缓或者暂停采购活动，情况严重的可以终止采购活动：</w:t>
      </w:r>
      <w:r>
        <w:rPr>
          <w:color w:val="000000"/>
          <w:sz w:val="24"/>
          <w:highlight w:val="none"/>
        </w:rPr>
        <w:br w:type="textWrapping" w:clear="all"/>
      </w:r>
      <w:r>
        <w:rPr>
          <w:color w:val="000000"/>
          <w:sz w:val="24"/>
          <w:highlight w:val="none"/>
        </w:rPr>
        <w:t xml:space="preserve"> 1)</w:t>
      </w:r>
      <w:r>
        <w:rPr>
          <w:rFonts w:hint="eastAsia"/>
          <w:color w:val="000000"/>
          <w:sz w:val="24"/>
          <w:highlight w:val="none"/>
        </w:rPr>
        <w:t xml:space="preserve">平台系统发生故障而无法登录访问的；</w:t>
      </w:r>
      <w:r>
        <w:rPr>
          <w:color w:val="000000"/>
          <w:sz w:val="24"/>
          <w:highlight w:val="none"/>
        </w:rPr>
      </w:r>
      <w:r/>
    </w:p>
    <w:p>
      <w:pPr>
        <w:pStyle w:val="1288"/>
        <w:ind w:left="357" w:firstLine="84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2)</w:t>
      </w:r>
      <w:r>
        <w:rPr>
          <w:rFonts w:hint="eastAsia"/>
          <w:color w:val="000000"/>
          <w:sz w:val="24"/>
          <w:highlight w:val="none"/>
        </w:rPr>
        <w:t xml:space="preserve">平台系统应用或数据库出现错误，不能进行正常操作的；</w:t>
      </w:r>
      <w:r>
        <w:rPr>
          <w:color w:val="000000"/>
          <w:sz w:val="24"/>
          <w:highlight w:val="none"/>
        </w:rPr>
      </w:r>
      <w:r/>
    </w:p>
    <w:p>
      <w:pPr>
        <w:pStyle w:val="1288"/>
        <w:ind w:left="357" w:firstLine="84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3)</w:t>
      </w:r>
      <w:r>
        <w:rPr>
          <w:rFonts w:hint="eastAsia"/>
          <w:color w:val="000000"/>
          <w:sz w:val="24"/>
          <w:highlight w:val="none"/>
        </w:rPr>
        <w:t xml:space="preserve">平台系统发现严重安全漏洞，有潜在泄密危险的；</w:t>
      </w:r>
      <w:r>
        <w:rPr>
          <w:color w:val="000000"/>
          <w:sz w:val="24"/>
          <w:highlight w:val="none"/>
        </w:rPr>
      </w:r>
      <w:r/>
    </w:p>
    <w:p>
      <w:pPr>
        <w:pStyle w:val="1288"/>
        <w:ind w:left="357" w:firstLine="84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4)</w:t>
      </w:r>
      <w:r>
        <w:rPr>
          <w:rFonts w:hint="eastAsia"/>
          <w:color w:val="000000"/>
          <w:sz w:val="24"/>
          <w:highlight w:val="none"/>
        </w:rPr>
        <w:t xml:space="preserve">病毒发作导致平台系统不能进行正常操作的；</w:t>
      </w:r>
      <w:r>
        <w:rPr>
          <w:color w:val="000000"/>
          <w:sz w:val="24"/>
          <w:highlight w:val="none"/>
        </w:rPr>
      </w:r>
      <w:r/>
    </w:p>
    <w:p>
      <w:pPr>
        <w:pStyle w:val="1288"/>
        <w:ind w:left="357" w:firstLine="84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5)</w:t>
      </w:r>
      <w:r>
        <w:rPr>
          <w:rFonts w:hint="eastAsia"/>
          <w:color w:val="000000"/>
          <w:sz w:val="24"/>
          <w:highlight w:val="none"/>
        </w:rPr>
        <w:t xml:space="preserve">其他无法保证本次采购活动的公平、公正和安全的情况。</w:t>
      </w:r>
      <w:r>
        <w:rPr>
          <w:color w:val="000000"/>
          <w:sz w:val="24"/>
          <w:highlight w:val="none"/>
        </w:rPr>
      </w:r>
      <w:r/>
    </w:p>
    <w:p>
      <w:pPr>
        <w:pStyle w:val="1288"/>
        <w:ind w:left="1134"/>
        <w:spacing w:line="360" w:lineRule="auto"/>
        <w:tabs>
          <w:tab w:val="left" w:pos="1080" w:leader="none"/>
          <w:tab w:val="left" w:pos="1589" w:leader="none"/>
          <w:tab w:val="left" w:pos="2014" w:leader="none"/>
        </w:tabs>
        <w:rPr>
          <w:color w:val="000000"/>
          <w:sz w:val="24"/>
          <w:highlight w:val="none"/>
        </w:rPr>
      </w:pPr>
      <w:r>
        <w:rPr>
          <w:rFonts w:hint="eastAsia"/>
          <w:color w:val="000000"/>
          <w:sz w:val="24"/>
          <w:highlight w:val="none"/>
        </w:rPr>
        <w:t xml:space="preserve">出现上述情形，不影响采购活动公平、公正性的，代理机构可以待上述情形消除后继续组织不见面交易采购活动，也可以决定某些环节以纸质形式进行；影响或可能影响采购活动公平、公正性的，应当终止本次项目，重新组织采购。</w:t>
      </w:r>
      <w:r>
        <w:rPr>
          <w:color w:val="000000"/>
          <w:sz w:val="24"/>
          <w:highlight w:val="none"/>
        </w:rPr>
      </w:r>
      <w:r/>
    </w:p>
    <w:p>
      <w:pPr>
        <w:pStyle w:val="1288"/>
        <w:numPr>
          <w:ilvl w:val="0"/>
          <w:numId w:val="6"/>
        </w:numPr>
        <w:ind w:left="357" w:hanging="357"/>
        <w:spacing w:line="360" w:lineRule="auto"/>
        <w:tabs>
          <w:tab w:val="left" w:pos="360" w:leader="none"/>
          <w:tab w:val="left" w:pos="900" w:leader="none"/>
        </w:tabs>
        <w:rPr>
          <w:color w:val="000000"/>
          <w:sz w:val="24"/>
          <w:highlight w:val="none"/>
        </w:rPr>
        <w:outlineLvl w:val="1"/>
      </w:pPr>
      <w:r/>
      <w:bookmarkStart w:id="563" w:name="_Toc150774745"/>
      <w:r/>
      <w:bookmarkStart w:id="564" w:name="_Toc305158882"/>
      <w:r/>
      <w:bookmarkStart w:id="565" w:name="_Toc164351634"/>
      <w:r/>
      <w:bookmarkStart w:id="566" w:name="_Toc164608809"/>
      <w:r/>
      <w:bookmarkStart w:id="567" w:name="_Toc226965730"/>
      <w:r/>
      <w:bookmarkStart w:id="568" w:name="_Toc264969230"/>
      <w:r/>
      <w:bookmarkStart w:id="569" w:name="_Toc142311042"/>
      <w:r/>
      <w:bookmarkStart w:id="570" w:name="_Toc265228378"/>
      <w:r/>
      <w:bookmarkStart w:id="571" w:name="_Toc150774640"/>
      <w:r/>
      <w:bookmarkStart w:id="572" w:name="_Toc149720833"/>
      <w:r/>
      <w:bookmarkStart w:id="573" w:name="_Toc164229381"/>
      <w:r/>
      <w:bookmarkStart w:id="574" w:name="_Toc164608654"/>
      <w:r/>
      <w:bookmarkStart w:id="575" w:name="_Toc150480778"/>
      <w:r/>
      <w:bookmarkStart w:id="576" w:name="_Toc127151540"/>
      <w:r/>
      <w:bookmarkStart w:id="577" w:name="_Toc127161454"/>
      <w:r/>
      <w:bookmarkStart w:id="578" w:name="_Toc151190167"/>
      <w:r/>
      <w:bookmarkStart w:id="579" w:name="_Toc151193928"/>
      <w:r/>
      <w:bookmarkStart w:id="580" w:name="_Toc151193782"/>
      <w:r/>
      <w:bookmarkStart w:id="581" w:name="_Toc151193854"/>
      <w:r/>
      <w:bookmarkStart w:id="582" w:name="_Toc150509291"/>
      <w:r/>
      <w:bookmarkStart w:id="583" w:name="_Toc151193638"/>
      <w:r/>
      <w:bookmarkStart w:id="584" w:name="_Toc305158808"/>
      <w:r/>
      <w:bookmarkStart w:id="585" w:name="_Toc195842905"/>
      <w:r/>
      <w:bookmarkStart w:id="586" w:name="_Toc164229235"/>
      <w:r/>
      <w:bookmarkStart w:id="587" w:name="_Toc127151741"/>
      <w:r/>
      <w:bookmarkStart w:id="588" w:name="_Toc226309784"/>
      <w:r/>
      <w:bookmarkStart w:id="589" w:name="_Toc226965813"/>
      <w:r/>
      <w:bookmarkStart w:id="590" w:name="_Toc151193710"/>
      <w:r/>
      <w:bookmarkStart w:id="591" w:name="_Toc226337236"/>
      <w:r>
        <w:rPr>
          <w:rFonts w:hint="eastAsia"/>
          <w:color w:val="000000"/>
          <w:sz w:val="24"/>
          <w:highlight w:val="none"/>
        </w:rPr>
        <w:t xml:space="preserve">谈判小组</w:t>
      </w:r>
      <w:bookmarkEnd w:id="563"/>
      <w:r/>
      <w:bookmarkEnd w:id="564"/>
      <w:r/>
      <w:bookmarkEnd w:id="565"/>
      <w:r/>
      <w:bookmarkEnd w:id="566"/>
      <w:r/>
      <w:bookmarkEnd w:id="567"/>
      <w:r/>
      <w:bookmarkEnd w:id="568"/>
      <w:r/>
      <w:bookmarkEnd w:id="569"/>
      <w:r/>
      <w:bookmarkEnd w:id="570"/>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bookmarkEnd w:id="590"/>
      <w:r/>
      <w:bookmarkEnd w:id="591"/>
      <w:r>
        <w:rPr>
          <w:color w:val="000000"/>
          <w:sz w:val="24"/>
          <w:highlight w:val="none"/>
        </w:rPr>
      </w:r>
      <w:r/>
    </w:p>
    <w:p>
      <w:pPr>
        <w:pStyle w:val="1288"/>
        <w:numPr>
          <w:ilvl w:val="1"/>
          <w:numId w:val="6"/>
        </w:numPr>
        <w:ind w:left="1077" w:hanging="720"/>
        <w:spacing w:line="360" w:lineRule="auto"/>
        <w:tabs>
          <w:tab w:val="left" w:pos="1080" w:leader="none"/>
          <w:tab w:val="left" w:pos="1589" w:leader="none"/>
          <w:tab w:val="left" w:pos="2014" w:leader="none"/>
        </w:tabs>
        <w:rPr>
          <w:color w:val="000000"/>
          <w:sz w:val="24"/>
          <w:highlight w:val="none"/>
        </w:rPr>
      </w:pPr>
      <w:r>
        <w:rPr>
          <w:rFonts w:hint="eastAsia"/>
          <w:color w:val="000000"/>
          <w:sz w:val="24"/>
          <w:highlight w:val="none"/>
        </w:rPr>
        <w:t xml:space="preserve">谈判小组根据政府采购有关规定和本次竞争性谈判采购项目的特点进行组建，并负责具体评审与谈判事务，独立履行职责。</w:t>
      </w:r>
      <w:bookmarkStart w:id="592" w:name="_Toc520356166"/>
      <w:r>
        <w:rPr>
          <w:color w:val="000000"/>
          <w:sz w:val="24"/>
          <w:highlight w:val="none"/>
        </w:rPr>
      </w:r>
      <w:r/>
    </w:p>
    <w:p>
      <w:pPr>
        <w:pStyle w:val="1288"/>
        <w:numPr>
          <w:ilvl w:val="1"/>
          <w:numId w:val="6"/>
        </w:numPr>
        <w:ind w:left="1077" w:hanging="720"/>
        <w:spacing w:line="360" w:lineRule="auto"/>
        <w:tabs>
          <w:tab w:val="left" w:pos="1080" w:leader="none"/>
          <w:tab w:val="left" w:pos="1589" w:leader="none"/>
          <w:tab w:val="left" w:pos="2014" w:leader="none"/>
        </w:tabs>
        <w:rPr>
          <w:color w:val="000000"/>
          <w:sz w:val="24"/>
          <w:highlight w:val="none"/>
        </w:rPr>
      </w:pPr>
      <w:r>
        <w:rPr>
          <w:rFonts w:hint="eastAsia"/>
          <w:color w:val="000000"/>
          <w:sz w:val="24"/>
          <w:highlight w:val="none"/>
        </w:rPr>
        <w:t xml:space="preserve">评审专家须符合相关规定。依法自行选定评审专家的，采购人和采购代理机构将查询有关信用记录，对具有行贿、受贿、欺诈等不良信用记录的人员，拒绝其参与政府采购活动。</w:t>
      </w:r>
      <w:bookmarkEnd w:id="592"/>
      <w:r>
        <w:rPr>
          <w:color w:val="000000"/>
          <w:sz w:val="24"/>
          <w:highlight w:val="none"/>
        </w:rPr>
      </w:r>
      <w:r/>
    </w:p>
    <w:p>
      <w:pPr>
        <w:pStyle w:val="1288"/>
        <w:numPr>
          <w:ilvl w:val="0"/>
          <w:numId w:val="6"/>
        </w:numPr>
        <w:ind w:left="357" w:hanging="357"/>
        <w:spacing w:line="360" w:lineRule="auto"/>
        <w:tabs>
          <w:tab w:val="left" w:pos="360" w:leader="none"/>
          <w:tab w:val="left" w:pos="900" w:leader="none"/>
        </w:tabs>
        <w:rPr>
          <w:color w:val="000000"/>
          <w:sz w:val="24"/>
          <w:highlight w:val="none"/>
        </w:rPr>
        <w:outlineLvl w:val="1"/>
      </w:pPr>
      <w:r/>
      <w:bookmarkStart w:id="593" w:name="_Hlk97413435"/>
      <w:r>
        <w:rPr>
          <w:rFonts w:hint="eastAsia"/>
          <w:color w:val="000000"/>
          <w:sz w:val="24"/>
          <w:highlight w:val="none"/>
        </w:rPr>
        <w:t xml:space="preserve">评审程序和评定成交的标准</w:t>
      </w:r>
      <w:r>
        <w:rPr>
          <w:color w:val="000000"/>
          <w:sz w:val="24"/>
          <w:highlight w:val="none"/>
        </w:rPr>
      </w:r>
      <w:r/>
    </w:p>
    <w:p>
      <w:pPr>
        <w:pStyle w:val="1288"/>
        <w:numPr>
          <w:ilvl w:val="1"/>
          <w:numId w:val="6"/>
        </w:numPr>
        <w:ind w:left="1077" w:hanging="720"/>
        <w:spacing w:line="360" w:lineRule="auto"/>
        <w:tabs>
          <w:tab w:val="left" w:pos="1080" w:leader="none"/>
          <w:tab w:val="left" w:pos="1589" w:leader="none"/>
          <w:tab w:val="left" w:pos="2014" w:leader="none"/>
        </w:tabs>
        <w:rPr>
          <w:color w:val="000000"/>
          <w:sz w:val="24"/>
          <w:highlight w:val="none"/>
        </w:rPr>
      </w:pPr>
      <w:r/>
      <w:bookmarkStart w:id="594" w:name="_Toc83547671"/>
      <w:r>
        <w:rPr>
          <w:rFonts w:hint="eastAsia"/>
          <w:color w:val="000000"/>
          <w:sz w:val="24"/>
          <w:highlight w:val="none"/>
        </w:rPr>
        <w:t xml:space="preserve">见第三章《评审程序和评定成交的标准》。</w:t>
      </w:r>
      <w:bookmarkEnd w:id="593"/>
      <w:r/>
      <w:bookmarkEnd w:id="594"/>
      <w:r>
        <w:rPr>
          <w:color w:val="000000"/>
          <w:sz w:val="24"/>
          <w:highlight w:val="none"/>
        </w:rPr>
      </w:r>
      <w:r/>
    </w:p>
    <w:p>
      <w:pPr>
        <w:pStyle w:val="1290"/>
        <w:spacing w:before="0" w:line="360" w:lineRule="auto"/>
        <w:rPr>
          <w:rFonts w:ascii="Times New Roman" w:hAnsi="Times New Roman" w:eastAsia="宋体"/>
          <w:color w:val="000000"/>
          <w:sz w:val="28"/>
          <w:highlight w:val="none"/>
        </w:rPr>
      </w:pPr>
      <w:r/>
      <w:bookmarkEnd w:id="457"/>
      <w:r/>
      <w:bookmarkEnd w:id="458"/>
      <w:r/>
      <w:bookmarkEnd w:id="459"/>
      <w:r>
        <w:rPr>
          <w:rFonts w:ascii="Times New Roman" w:hAnsi="Times New Roman" w:eastAsia="宋体"/>
          <w:color w:val="000000"/>
          <w:sz w:val="28"/>
          <w:highlight w:val="none"/>
        </w:rPr>
        <w:t xml:space="preserve">六  </w:t>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bookmarkEnd w:id="480"/>
      <w:r/>
      <w:bookmarkEnd w:id="481"/>
      <w:r/>
      <w:bookmarkEnd w:id="482"/>
      <w:r/>
      <w:bookmarkEnd w:id="483"/>
      <w:r/>
      <w:bookmarkEnd w:id="484"/>
      <w:r/>
      <w:bookmarkEnd w:id="485"/>
      <w:r/>
      <w:bookmarkEnd w:id="486"/>
      <w:r/>
      <w:bookmarkEnd w:id="487"/>
      <w:r/>
      <w:bookmarkEnd w:id="488"/>
      <w:r/>
      <w:bookmarkStart w:id="595" w:name="_Toc151190172"/>
      <w:r/>
      <w:bookmarkStart w:id="596" w:name="_Toc305158887"/>
      <w:r/>
      <w:bookmarkStart w:id="597" w:name="_Toc226965735"/>
      <w:r/>
      <w:bookmarkStart w:id="598" w:name="_Toc226337241"/>
      <w:r/>
      <w:bookmarkStart w:id="599" w:name="_Toc264969235"/>
      <w:r/>
      <w:bookmarkStart w:id="600" w:name="_Toc151193859"/>
      <w:r/>
      <w:bookmarkStart w:id="601" w:name="_Toc150509296"/>
      <w:r/>
      <w:bookmarkStart w:id="602" w:name="_Toc150774750"/>
      <w:r/>
      <w:bookmarkStart w:id="603" w:name="_Toc127151545"/>
      <w:r/>
      <w:bookmarkStart w:id="604" w:name="_Toc226965818"/>
      <w:r/>
      <w:bookmarkStart w:id="605" w:name="_Toc151193787"/>
      <w:r/>
      <w:bookmarkStart w:id="606" w:name="_Toc142311047"/>
      <w:r/>
      <w:bookmarkStart w:id="607" w:name="_Toc151193715"/>
      <w:r/>
      <w:bookmarkStart w:id="608" w:name="_Toc151193643"/>
      <w:r/>
      <w:bookmarkStart w:id="609" w:name="_Toc265228383"/>
      <w:r/>
      <w:bookmarkStart w:id="610" w:name="_Toc226309789"/>
      <w:r/>
      <w:bookmarkStart w:id="611" w:name="_Toc150480783"/>
      <w:r/>
      <w:bookmarkStart w:id="612" w:name="_Toc151193933"/>
      <w:r/>
      <w:bookmarkStart w:id="613" w:name="_Toc195842910"/>
      <w:r/>
      <w:bookmarkStart w:id="614" w:name="_Toc305158813"/>
      <w:r/>
      <w:bookmarkStart w:id="615" w:name="_Toc150774645"/>
      <w:r>
        <w:rPr>
          <w:rFonts w:ascii="Times New Roman" w:hAnsi="Times New Roman" w:eastAsia="宋体"/>
          <w:color w:val="000000"/>
          <w:sz w:val="28"/>
          <w:highlight w:val="none"/>
        </w:rPr>
        <w:t xml:space="preserve">确定</w:t>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bookmarkEnd w:id="614"/>
      <w:r/>
      <w:bookmarkEnd w:id="615"/>
      <w:r>
        <w:rPr>
          <w:rFonts w:ascii="Times New Roman" w:hAnsi="Times New Roman" w:eastAsia="宋体"/>
          <w:color w:val="000000"/>
          <w:sz w:val="28"/>
          <w:highlight w:val="none"/>
        </w:rPr>
        <w:t xml:space="preserve">成交供应商</w:t>
      </w:r>
      <w:r>
        <w:rPr>
          <w:rFonts w:ascii="Times New Roman" w:hAnsi="Times New Roman" w:eastAsia="宋体"/>
          <w:color w:val="000000"/>
          <w:sz w:val="28"/>
          <w:highlight w:val="none"/>
        </w:rPr>
      </w:r>
      <w:r/>
    </w:p>
    <w:p>
      <w:pPr>
        <w:pStyle w:val="1288"/>
        <w:ind w:left="900"/>
        <w:spacing w:line="360" w:lineRule="auto"/>
        <w:tabs>
          <w:tab w:val="left" w:pos="900" w:leader="none"/>
          <w:tab w:val="left" w:pos="1080" w:leader="none"/>
          <w:tab w:val="left" w:pos="1589" w:leader="none"/>
        </w:tabs>
        <w:rPr>
          <w:color w:val="000000"/>
          <w:sz w:val="24"/>
          <w:highlight w:val="none"/>
        </w:rPr>
      </w:pPr>
      <w:r/>
      <w:bookmarkStart w:id="616" w:name="_Toc151193861"/>
      <w:r/>
      <w:bookmarkStart w:id="617" w:name="_Toc164229242"/>
      <w:r/>
      <w:bookmarkStart w:id="618" w:name="_Toc151193789"/>
      <w:r/>
      <w:bookmarkStart w:id="619" w:name="_Toc195842912"/>
      <w:r/>
      <w:bookmarkStart w:id="620" w:name="_Toc150509298"/>
      <w:r/>
      <w:bookmarkStart w:id="621" w:name="_Toc150774752"/>
      <w:r/>
      <w:bookmarkStart w:id="622" w:name="_Toc151193645"/>
      <w:r/>
      <w:bookmarkStart w:id="623" w:name="_Toc226965737"/>
      <w:r/>
      <w:bookmarkStart w:id="624" w:name="_Toc149720840"/>
      <w:r/>
      <w:bookmarkStart w:id="625" w:name="_Toc305158815"/>
      <w:r/>
      <w:bookmarkStart w:id="626" w:name="_Toc127151748"/>
      <w:r/>
      <w:bookmarkStart w:id="627" w:name="_Toc164608661"/>
      <w:r/>
      <w:bookmarkStart w:id="628" w:name="_Toc226965820"/>
      <w:r/>
      <w:bookmarkStart w:id="629" w:name="_Toc142311049"/>
      <w:r/>
      <w:bookmarkStart w:id="630" w:name="_Toc226309791"/>
      <w:r/>
      <w:bookmarkStart w:id="631" w:name="_Toc164608816"/>
      <w:r/>
      <w:bookmarkStart w:id="632" w:name="_Toc226337243"/>
      <w:r/>
      <w:bookmarkStart w:id="633" w:name="_Toc264969237"/>
      <w:r/>
      <w:bookmarkStart w:id="634" w:name="_Toc127151547"/>
      <w:r/>
      <w:bookmarkStart w:id="635" w:name="_Toc127161461"/>
      <w:r/>
      <w:bookmarkStart w:id="636" w:name="_Toc151190174"/>
      <w:r/>
      <w:bookmarkStart w:id="637" w:name="_Toc265228385"/>
      <w:r/>
      <w:bookmarkStart w:id="638" w:name="_Toc151193935"/>
      <w:r/>
      <w:bookmarkStart w:id="639" w:name="_Toc151193717"/>
      <w:r/>
      <w:bookmarkStart w:id="640" w:name="_Toc164229388"/>
      <w:r/>
      <w:bookmarkStart w:id="641" w:name="_Toc305158889"/>
      <w:r/>
      <w:bookmarkStart w:id="642" w:name="_Toc150480785"/>
      <w:r/>
      <w:bookmarkStart w:id="643" w:name="_Toc150774647"/>
      <w:r/>
      <w:bookmarkStart w:id="644" w:name="_Toc164351641"/>
      <w:r>
        <w:rPr>
          <w:color w:val="000000"/>
          <w:sz w:val="24"/>
          <w:highlight w:val="none"/>
        </w:rPr>
      </w:r>
      <w:r/>
    </w:p>
    <w:p>
      <w:pPr>
        <w:pStyle w:val="1288"/>
        <w:numPr>
          <w:ilvl w:val="0"/>
          <w:numId w:val="6"/>
        </w:numPr>
        <w:ind w:left="357" w:hanging="357"/>
        <w:spacing w:line="360" w:lineRule="auto"/>
        <w:tabs>
          <w:tab w:val="left" w:pos="360" w:leader="none"/>
          <w:tab w:val="left" w:pos="900" w:leader="none"/>
        </w:tabs>
        <w:rPr>
          <w:color w:val="000000"/>
          <w:sz w:val="24"/>
          <w:highlight w:val="none"/>
        </w:rPr>
        <w:outlineLvl w:val="1"/>
      </w:pPr>
      <w:r>
        <w:rPr>
          <w:color w:val="000000"/>
          <w:sz w:val="24"/>
          <w:highlight w:val="none"/>
        </w:rPr>
        <w:t xml:space="preserve">确定</w:t>
      </w:r>
      <w:bookmarkEnd w:id="616"/>
      <w:r/>
      <w:bookmarkEnd w:id="617"/>
      <w:r/>
      <w:bookmarkEnd w:id="618"/>
      <w:r/>
      <w:bookmarkEnd w:id="619"/>
      <w:r/>
      <w:bookmarkEnd w:id="620"/>
      <w:r/>
      <w:bookmarkEnd w:id="621"/>
      <w:r/>
      <w:bookmarkEnd w:id="622"/>
      <w:r/>
      <w:bookmarkEnd w:id="623"/>
      <w:r/>
      <w:bookmarkEnd w:id="624"/>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bookmarkEnd w:id="637"/>
      <w:r/>
      <w:bookmarkEnd w:id="638"/>
      <w:r/>
      <w:bookmarkEnd w:id="639"/>
      <w:r/>
      <w:bookmarkEnd w:id="640"/>
      <w:r/>
      <w:bookmarkEnd w:id="641"/>
      <w:r/>
      <w:bookmarkEnd w:id="642"/>
      <w:r/>
      <w:bookmarkEnd w:id="643"/>
      <w:r/>
      <w:bookmarkEnd w:id="644"/>
      <w:r>
        <w:rPr>
          <w:color w:val="000000"/>
          <w:sz w:val="24"/>
          <w:highlight w:val="none"/>
        </w:rPr>
        <w:t xml:space="preserve">成交供应商</w:t>
      </w:r>
      <w:r>
        <w:rPr>
          <w:color w:val="000000"/>
          <w:sz w:val="24"/>
          <w:highlight w:val="none"/>
        </w:rPr>
      </w:r>
      <w:r/>
    </w:p>
    <w:p>
      <w:pPr>
        <w:pStyle w:val="1288"/>
        <w:numPr>
          <w:ilvl w:val="1"/>
          <w:numId w:val="6"/>
        </w:numPr>
        <w:ind w:left="1077" w:hanging="720"/>
        <w:spacing w:line="360" w:lineRule="auto"/>
        <w:tabs>
          <w:tab w:val="left" w:pos="1080" w:leader="none"/>
          <w:tab w:val="left" w:pos="1589" w:leader="none"/>
          <w:tab w:val="left" w:pos="2014" w:leader="none"/>
        </w:tabs>
        <w:rPr>
          <w:color w:val="000000"/>
          <w:sz w:val="24"/>
          <w:highlight w:val="none"/>
        </w:rPr>
      </w:pPr>
      <w:r/>
      <w:bookmarkStart w:id="645" w:name="OLE_LINK45"/>
      <w:r/>
      <w:bookmarkStart w:id="646" w:name="OLE_LINK46"/>
      <w:r/>
      <w:bookmarkStart w:id="647" w:name="OLE_LINK42"/>
      <w:r/>
      <w:bookmarkStart w:id="648" w:name="OLE_LINK41"/>
      <w:r>
        <w:rPr>
          <w:color w:val="000000"/>
          <w:sz w:val="24"/>
          <w:highlight w:val="none"/>
        </w:rPr>
        <w:t xml:space="preserve">采购人将从评审报告提出的成交候选人中，根据质量和服务均能满足</w:t>
      </w:r>
      <w:r>
        <w:rPr>
          <w:rFonts w:hint="eastAsia"/>
          <w:color w:val="000000"/>
          <w:sz w:val="24"/>
          <w:highlight w:val="none"/>
        </w:rPr>
        <w:t xml:space="preserve">采购</w:t>
      </w:r>
      <w:r>
        <w:rPr>
          <w:color w:val="000000"/>
          <w:sz w:val="24"/>
          <w:highlight w:val="none"/>
        </w:rPr>
        <w:t xml:space="preserve">文件实质性响应要求且最终报价最低的原则确定成交供应商</w:t>
      </w:r>
      <w:r>
        <w:rPr>
          <w:rFonts w:hint="eastAsia"/>
          <w:color w:val="000000"/>
          <w:sz w:val="24"/>
          <w:highlight w:val="none"/>
        </w:rPr>
        <w:t xml:space="preserve">。成交候选人并列的</w:t>
      </w:r>
      <w:r>
        <w:rPr>
          <w:color w:val="000000"/>
          <w:sz w:val="24"/>
          <w:highlight w:val="none"/>
        </w:rPr>
        <w:t xml:space="preserve">，由采购人</w:t>
      </w:r>
      <w:r>
        <w:rPr>
          <w:rFonts w:hint="eastAsia"/>
          <w:color w:val="000000"/>
          <w:sz w:val="24"/>
          <w:highlight w:val="none"/>
        </w:rPr>
        <w:t xml:space="preserve">依法</w:t>
      </w:r>
      <w:r>
        <w:rPr>
          <w:color w:val="000000"/>
          <w:sz w:val="24"/>
          <w:highlight w:val="none"/>
        </w:rPr>
        <w:t xml:space="preserve">确定</w:t>
      </w:r>
      <w:r>
        <w:rPr>
          <w:rFonts w:hint="eastAsia"/>
          <w:color w:val="000000"/>
          <w:sz w:val="24"/>
          <w:highlight w:val="none"/>
        </w:rPr>
        <w:t xml:space="preserve">。</w:t>
      </w:r>
      <w:bookmarkEnd w:id="645"/>
      <w:r/>
      <w:bookmarkEnd w:id="646"/>
      <w:r/>
      <w:bookmarkEnd w:id="647"/>
      <w:r/>
      <w:bookmarkEnd w:id="648"/>
      <w:r>
        <w:rPr>
          <w:color w:val="000000"/>
          <w:sz w:val="24"/>
          <w:highlight w:val="none"/>
        </w:rPr>
      </w:r>
      <w:r/>
    </w:p>
    <w:p>
      <w:pPr>
        <w:pStyle w:val="1288"/>
        <w:numPr>
          <w:ilvl w:val="0"/>
          <w:numId w:val="6"/>
        </w:numPr>
        <w:ind w:left="357" w:hanging="357"/>
        <w:spacing w:line="360" w:lineRule="auto"/>
        <w:tabs>
          <w:tab w:val="left" w:pos="360" w:leader="none"/>
          <w:tab w:val="left" w:pos="900" w:leader="none"/>
        </w:tabs>
        <w:rPr>
          <w:color w:val="000000"/>
          <w:sz w:val="24"/>
          <w:highlight w:val="none"/>
        </w:rPr>
        <w:outlineLvl w:val="1"/>
      </w:pPr>
      <w:r/>
      <w:bookmarkStart w:id="649" w:name="_Toc226337245"/>
      <w:r/>
      <w:bookmarkStart w:id="650" w:name="_Toc151193647"/>
      <w:r/>
      <w:bookmarkStart w:id="651" w:name="_Toc164229244"/>
      <w:r/>
      <w:bookmarkStart w:id="652" w:name="_Toc305158817"/>
      <w:r/>
      <w:bookmarkStart w:id="653" w:name="_Toc150774754"/>
      <w:r/>
      <w:bookmarkStart w:id="654" w:name="_Toc151193791"/>
      <w:r/>
      <w:bookmarkStart w:id="655" w:name="_Toc127151549"/>
      <w:r/>
      <w:bookmarkStart w:id="656" w:name="_Toc151193863"/>
      <w:r/>
      <w:bookmarkStart w:id="657" w:name="_Ref467307090"/>
      <w:r/>
      <w:bookmarkStart w:id="658" w:name="_Toc265228387"/>
      <w:r/>
      <w:bookmarkStart w:id="659" w:name="_Ref467306425"/>
      <w:r/>
      <w:bookmarkStart w:id="660" w:name="_Toc164229390"/>
      <w:r/>
      <w:bookmarkStart w:id="661" w:name="_Toc151193937"/>
      <w:r/>
      <w:bookmarkStart w:id="662" w:name="_Toc164608818"/>
      <w:r/>
      <w:bookmarkStart w:id="663" w:name="_Toc150774649"/>
      <w:r/>
      <w:bookmarkStart w:id="664" w:name="_Toc151193719"/>
      <w:r/>
      <w:bookmarkStart w:id="665" w:name="_Toc142311051"/>
      <w:r/>
      <w:bookmarkStart w:id="666" w:name="_Toc127161463"/>
      <w:r/>
      <w:bookmarkStart w:id="667" w:name="_Toc164608663"/>
      <w:r/>
      <w:bookmarkStart w:id="668" w:name="_Toc264969239"/>
      <w:r/>
      <w:bookmarkStart w:id="669" w:name="_Toc520356176"/>
      <w:r/>
      <w:bookmarkStart w:id="670" w:name="_Toc195842914"/>
      <w:r/>
      <w:bookmarkStart w:id="671" w:name="_Toc305158891"/>
      <w:r/>
      <w:bookmarkStart w:id="672" w:name="_Toc164351643"/>
      <w:r/>
      <w:bookmarkStart w:id="673" w:name="_Toc151190176"/>
      <w:r/>
      <w:bookmarkStart w:id="674" w:name="_Toc150480787"/>
      <w:r/>
      <w:bookmarkStart w:id="675" w:name="_Toc149720842"/>
      <w:r/>
      <w:bookmarkStart w:id="676" w:name="_Toc127151750"/>
      <w:r/>
      <w:bookmarkStart w:id="677" w:name="_Toc226965739"/>
      <w:r/>
      <w:bookmarkStart w:id="678" w:name="_Toc150509300"/>
      <w:r/>
      <w:bookmarkStart w:id="679" w:name="_Toc226965822"/>
      <w:r/>
      <w:bookmarkStart w:id="680" w:name="_Toc226309793"/>
      <w:r>
        <w:rPr>
          <w:color w:val="000000"/>
          <w:sz w:val="24"/>
          <w:highlight w:val="none"/>
        </w:rPr>
        <w:t xml:space="preserve">成交公告与成交通知书</w:t>
      </w:r>
      <w:bookmarkEnd w:id="652"/>
      <w:r/>
      <w:bookmarkEnd w:id="671"/>
      <w:r>
        <w:rPr>
          <w:color w:val="000000"/>
          <w:sz w:val="24"/>
          <w:highlight w:val="none"/>
        </w:rPr>
      </w:r>
      <w:r/>
    </w:p>
    <w:p>
      <w:pPr>
        <w:pStyle w:val="1288"/>
        <w:numPr>
          <w:ilvl w:val="1"/>
          <w:numId w:val="6"/>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采购人或采购代理机构自成交供应商确定后2个工作日内，在常州市政府采购网公告成交结果，同时向成交供应商发出成交通知书，成交公告期限为1个工作日。</w:t>
      </w:r>
      <w:r>
        <w:rPr>
          <w:color w:val="000000"/>
          <w:sz w:val="24"/>
          <w:highlight w:val="none"/>
        </w:rPr>
      </w:r>
      <w:r/>
    </w:p>
    <w:p>
      <w:pPr>
        <w:pStyle w:val="1288"/>
        <w:numPr>
          <w:ilvl w:val="1"/>
          <w:numId w:val="6"/>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成交通知书对采购人和成交供应商具有同等法律效力。成交通知书发出后，采购人改变成交结果的，或者成交供应商放弃成交项目的，应当依法承担法律责任。</w:t>
      </w:r>
      <w:r>
        <w:rPr>
          <w:color w:val="000000"/>
          <w:sz w:val="24"/>
          <w:highlight w:val="none"/>
        </w:rPr>
      </w:r>
      <w:r/>
    </w:p>
    <w:p>
      <w:pPr>
        <w:pStyle w:val="1288"/>
        <w:numPr>
          <w:ilvl w:val="0"/>
          <w:numId w:val="6"/>
        </w:numPr>
        <w:ind w:left="357" w:hanging="357"/>
        <w:spacing w:line="360" w:lineRule="auto"/>
        <w:tabs>
          <w:tab w:val="left" w:pos="360" w:leader="none"/>
          <w:tab w:val="left" w:pos="900" w:leader="none"/>
        </w:tabs>
        <w:rPr>
          <w:color w:val="000000"/>
          <w:sz w:val="24"/>
          <w:highlight w:val="none"/>
        </w:rPr>
        <w:outlineLvl w:val="1"/>
      </w:pPr>
      <w:r>
        <w:rPr>
          <w:color w:val="000000"/>
          <w:sz w:val="24"/>
          <w:highlight w:val="none"/>
        </w:rPr>
        <w:t xml:space="preserve">终止</w:t>
      </w:r>
      <w:r>
        <w:rPr>
          <w:color w:val="000000"/>
          <w:sz w:val="24"/>
          <w:highlight w:val="none"/>
        </w:rPr>
      </w:r>
      <w:r/>
    </w:p>
    <w:p>
      <w:pPr>
        <w:pStyle w:val="1288"/>
        <w:numPr>
          <w:ilvl w:val="1"/>
          <w:numId w:val="6"/>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出现下列情形之一的，采购人或采购代理机构将终止竞争性谈判采购活动，发布项目终止公告并说明原因，重新开展采购活动：</w:t>
      </w:r>
      <w:r>
        <w:rPr>
          <w:color w:val="000000"/>
          <w:sz w:val="24"/>
          <w:highlight w:val="none"/>
        </w:rPr>
      </w:r>
      <w:r/>
    </w:p>
    <w:p>
      <w:pPr>
        <w:pStyle w:val="1288"/>
        <w:numPr>
          <w:ilvl w:val="2"/>
          <w:numId w:val="2"/>
        </w:numPr>
        <w:spacing w:line="360" w:lineRule="auto"/>
        <w:tabs>
          <w:tab w:val="left" w:pos="1980" w:leader="none"/>
        </w:tabs>
        <w:rPr>
          <w:color w:val="000000"/>
          <w:sz w:val="24"/>
          <w:highlight w:val="none"/>
        </w:rPr>
      </w:pPr>
      <w:r>
        <w:rPr>
          <w:color w:val="000000"/>
          <w:sz w:val="24"/>
          <w:highlight w:val="none"/>
        </w:rPr>
        <w:t xml:space="preserve">因情况变化，不再符合规定的竞争性谈判采购方式适用情形的；</w:t>
      </w:r>
      <w:r>
        <w:rPr>
          <w:color w:val="000000"/>
          <w:sz w:val="24"/>
          <w:highlight w:val="none"/>
        </w:rPr>
      </w:r>
      <w:r/>
    </w:p>
    <w:p>
      <w:pPr>
        <w:pStyle w:val="1288"/>
        <w:numPr>
          <w:ilvl w:val="2"/>
          <w:numId w:val="2"/>
        </w:numPr>
        <w:spacing w:line="360" w:lineRule="auto"/>
        <w:tabs>
          <w:tab w:val="left" w:pos="1980" w:leader="none"/>
        </w:tabs>
        <w:rPr>
          <w:color w:val="000000"/>
          <w:sz w:val="24"/>
          <w:highlight w:val="none"/>
        </w:rPr>
      </w:pPr>
      <w:r>
        <w:rPr>
          <w:color w:val="000000"/>
          <w:sz w:val="24"/>
          <w:highlight w:val="none"/>
        </w:rPr>
        <w:t xml:space="preserve">出现影响采购公正的违法、违规行为的；</w:t>
      </w:r>
      <w:r>
        <w:rPr>
          <w:color w:val="000000"/>
          <w:sz w:val="24"/>
          <w:highlight w:val="none"/>
        </w:rPr>
      </w:r>
      <w:r/>
    </w:p>
    <w:p>
      <w:pPr>
        <w:pStyle w:val="1288"/>
        <w:numPr>
          <w:ilvl w:val="2"/>
          <w:numId w:val="2"/>
        </w:numPr>
        <w:spacing w:line="360" w:lineRule="auto"/>
        <w:tabs>
          <w:tab w:val="left" w:pos="1980" w:leader="none"/>
        </w:tabs>
        <w:rPr>
          <w:rFonts w:hint="eastAsia"/>
          <w:color w:val="000000"/>
          <w:sz w:val="24"/>
          <w:highlight w:val="none"/>
        </w:rPr>
      </w:pPr>
      <w:r/>
      <w:bookmarkEnd w:id="649"/>
      <w:r/>
      <w:bookmarkEnd w:id="650"/>
      <w:r/>
      <w:bookmarkEnd w:id="651"/>
      <w:r/>
      <w:bookmarkEnd w:id="653"/>
      <w:r/>
      <w:bookmarkEnd w:id="654"/>
      <w:r/>
      <w:bookmarkEnd w:id="655"/>
      <w:r/>
      <w:bookmarkEnd w:id="656"/>
      <w:r/>
      <w:bookmarkEnd w:id="658"/>
      <w:r/>
      <w:bookmarkEnd w:id="660"/>
      <w:r/>
      <w:bookmarkEnd w:id="661"/>
      <w:r/>
      <w:bookmarkEnd w:id="662"/>
      <w:r/>
      <w:bookmarkEnd w:id="663"/>
      <w:r/>
      <w:bookmarkEnd w:id="664"/>
      <w:r/>
      <w:bookmarkEnd w:id="665"/>
      <w:r/>
      <w:bookmarkEnd w:id="666"/>
      <w:r/>
      <w:bookmarkEnd w:id="667"/>
      <w:r/>
      <w:bookmarkEnd w:id="668"/>
      <w:r/>
      <w:bookmarkEnd w:id="670"/>
      <w:r/>
      <w:bookmarkEnd w:id="672"/>
      <w:r/>
      <w:bookmarkEnd w:id="673"/>
      <w:r/>
      <w:bookmarkEnd w:id="674"/>
      <w:r/>
      <w:bookmarkEnd w:id="675"/>
      <w:r/>
      <w:bookmarkEnd w:id="676"/>
      <w:r/>
      <w:bookmarkEnd w:id="677"/>
      <w:r/>
      <w:bookmarkEnd w:id="678"/>
      <w:r/>
      <w:bookmarkEnd w:id="679"/>
      <w:r/>
      <w:bookmarkEnd w:id="680"/>
      <w:r/>
      <w:bookmarkStart w:id="681" w:name="_Toc226309794"/>
      <w:r/>
      <w:bookmarkStart w:id="682" w:name="_Toc150774650"/>
      <w:r/>
      <w:bookmarkStart w:id="683" w:name="_Toc127161464"/>
      <w:r/>
      <w:bookmarkStart w:id="684" w:name="_Toc195842915"/>
      <w:r/>
      <w:bookmarkStart w:id="685" w:name="_Toc151193938"/>
      <w:r/>
      <w:bookmarkStart w:id="686" w:name="_Toc151193720"/>
      <w:r/>
      <w:bookmarkStart w:id="687" w:name="_Toc164229391"/>
      <w:r/>
      <w:bookmarkStart w:id="688" w:name="_Toc305158892"/>
      <w:r/>
      <w:bookmarkStart w:id="689" w:name="_Toc149720843"/>
      <w:r/>
      <w:bookmarkStart w:id="690" w:name="_Ref467307062"/>
      <w:r/>
      <w:bookmarkStart w:id="691" w:name="_Toc164229245"/>
      <w:r/>
      <w:bookmarkStart w:id="692" w:name="_Toc265228388"/>
      <w:r/>
      <w:bookmarkStart w:id="693" w:name="_Toc226337246"/>
      <w:r/>
      <w:bookmarkStart w:id="694" w:name="_Toc150509301"/>
      <w:r/>
      <w:bookmarkStart w:id="695" w:name="_Toc142311052"/>
      <w:r/>
      <w:bookmarkStart w:id="696" w:name="_Toc164351644"/>
      <w:r/>
      <w:bookmarkStart w:id="697" w:name="_Ref467306377"/>
      <w:r/>
      <w:bookmarkStart w:id="698" w:name="_Toc150774755"/>
      <w:r/>
      <w:bookmarkStart w:id="699" w:name="_Toc226965740"/>
      <w:r/>
      <w:bookmarkStart w:id="700" w:name="_Toc151193792"/>
      <w:r/>
      <w:bookmarkStart w:id="701" w:name="_Toc226965823"/>
      <w:r/>
      <w:bookmarkStart w:id="702" w:name="_Ref467307204"/>
      <w:r/>
      <w:bookmarkStart w:id="703" w:name="_Toc127151550"/>
      <w:r/>
      <w:bookmarkStart w:id="704" w:name="_Ref467306978"/>
      <w:r/>
      <w:bookmarkStart w:id="705" w:name="_Toc520356175"/>
      <w:r/>
      <w:bookmarkStart w:id="706" w:name="_Toc127151751"/>
      <w:r/>
      <w:bookmarkStart w:id="707" w:name="_Toc151193864"/>
      <w:r/>
      <w:bookmarkStart w:id="708" w:name="_Toc151190177"/>
      <w:r/>
      <w:bookmarkStart w:id="709" w:name="_Toc164608664"/>
      <w:r/>
      <w:bookmarkStart w:id="710" w:name="_Toc305158818"/>
      <w:r/>
      <w:bookmarkStart w:id="711" w:name="_Toc150480788"/>
      <w:r/>
      <w:bookmarkStart w:id="712" w:name="_Toc151193648"/>
      <w:r/>
      <w:bookmarkStart w:id="713" w:name="_Toc264969240"/>
      <w:r/>
      <w:bookmarkStart w:id="714" w:name="_Toc164608819"/>
      <w:r>
        <w:rPr>
          <w:color w:val="000000"/>
          <w:sz w:val="24"/>
          <w:highlight w:val="none"/>
        </w:rPr>
        <w:t xml:space="preserve">在采购过程中符合竞争要求的供应商或者报价未超过采购预算的供应商不足3家的，但公开招标的货物、服务采购项目，经财政部门批准后可以与两家供应商进行竞争性谈判采购的情形除外。</w:t>
      </w:r>
      <w:r>
        <w:rPr>
          <w:rFonts w:hint="eastAsia"/>
          <w:color w:val="000000"/>
          <w:sz w:val="24"/>
          <w:highlight w:val="none"/>
        </w:rPr>
      </w:r>
      <w:r/>
    </w:p>
    <w:p>
      <w:pPr>
        <w:pStyle w:val="1288"/>
        <w:numPr>
          <w:ilvl w:val="2"/>
          <w:numId w:val="2"/>
        </w:numPr>
        <w:spacing w:line="360" w:lineRule="auto"/>
        <w:tabs>
          <w:tab w:val="left" w:pos="1980" w:leader="none"/>
        </w:tabs>
        <w:rPr>
          <w:color w:val="000000"/>
          <w:sz w:val="24"/>
          <w:highlight w:val="none"/>
        </w:rPr>
      </w:pPr>
      <w:r>
        <w:rPr>
          <w:rFonts w:hint="eastAsia" w:ascii="宋体" w:hAnsi="宋体"/>
          <w:color w:val="000000"/>
          <w:spacing w:val="2"/>
          <w:sz w:val="24"/>
          <w:highlight w:val="none"/>
        </w:rPr>
        <w:t xml:space="preserve">平台系统</w:t>
      </w:r>
      <w:r>
        <w:rPr>
          <w:rFonts w:ascii="宋体" w:hAnsi="宋体"/>
          <w:color w:val="000000"/>
          <w:sz w:val="24"/>
          <w:highlight w:val="none"/>
        </w:rPr>
        <w:t xml:space="preserve">出现</w:t>
      </w:r>
      <w:r>
        <w:rPr>
          <w:rFonts w:hint="eastAsia" w:ascii="宋体" w:hAnsi="宋体"/>
          <w:color w:val="000000"/>
          <w:sz w:val="24"/>
          <w:highlight w:val="none"/>
        </w:rPr>
        <w:t xml:space="preserve">序号16.7的所述</w:t>
      </w:r>
      <w:r>
        <w:rPr>
          <w:rFonts w:ascii="宋体" w:hAnsi="宋体"/>
          <w:color w:val="000000"/>
          <w:sz w:val="24"/>
          <w:highlight w:val="none"/>
        </w:rPr>
        <w:t xml:space="preserve">情形，</w:t>
      </w:r>
      <w:r>
        <w:rPr>
          <w:rFonts w:hint="eastAsia" w:ascii="宋体" w:hAnsi="宋体"/>
          <w:color w:val="000000"/>
          <w:sz w:val="24"/>
          <w:highlight w:val="none"/>
        </w:rPr>
        <w:t xml:space="preserve">情况严重且</w:t>
      </w:r>
      <w:r>
        <w:rPr>
          <w:rFonts w:ascii="宋体" w:hAnsi="宋体"/>
          <w:color w:val="000000"/>
          <w:sz w:val="24"/>
          <w:highlight w:val="none"/>
        </w:rPr>
        <w:t xml:space="preserve">影响采购</w:t>
      </w:r>
      <w:r>
        <w:rPr>
          <w:rFonts w:hint="eastAsia" w:ascii="宋体" w:hAnsi="宋体"/>
          <w:color w:val="000000"/>
          <w:sz w:val="24"/>
          <w:highlight w:val="none"/>
        </w:rPr>
        <w:t xml:space="preserve">活动</w:t>
      </w:r>
      <w:r>
        <w:rPr>
          <w:rFonts w:ascii="宋体" w:hAnsi="宋体"/>
          <w:color w:val="000000"/>
          <w:sz w:val="24"/>
          <w:highlight w:val="none"/>
        </w:rPr>
        <w:t xml:space="preserve">公平、公正性的</w:t>
      </w:r>
      <w:r>
        <w:rPr>
          <w:rFonts w:hint="eastAsia" w:ascii="宋体" w:hAnsi="宋体"/>
          <w:color w:val="000000"/>
          <w:sz w:val="24"/>
          <w:highlight w:val="none"/>
        </w:rPr>
        <w:t xml:space="preserve">。</w:t>
      </w:r>
      <w:r>
        <w:rPr>
          <w:color w:val="000000"/>
          <w:sz w:val="24"/>
          <w:highlight w:val="none"/>
        </w:rPr>
      </w:r>
      <w:r/>
    </w:p>
    <w:p>
      <w:pPr>
        <w:pStyle w:val="1288"/>
        <w:numPr>
          <w:ilvl w:val="0"/>
          <w:numId w:val="6"/>
        </w:numPr>
        <w:ind w:left="357" w:hanging="357"/>
        <w:spacing w:line="360" w:lineRule="auto"/>
        <w:tabs>
          <w:tab w:val="left" w:pos="360" w:leader="none"/>
          <w:tab w:val="left" w:pos="900" w:leader="none"/>
        </w:tabs>
        <w:rPr>
          <w:color w:val="000000"/>
          <w:sz w:val="24"/>
          <w:highlight w:val="none"/>
        </w:rPr>
        <w:outlineLvl w:val="1"/>
      </w:pPr>
      <w:r>
        <w:rPr>
          <w:color w:val="000000"/>
          <w:sz w:val="24"/>
          <w:highlight w:val="none"/>
        </w:rPr>
        <w:t xml:space="preserve">签订合同</w:t>
      </w:r>
      <w:bookmarkEnd w:id="681"/>
      <w:r/>
      <w:bookmarkEnd w:id="682"/>
      <w:r/>
      <w:bookmarkEnd w:id="683"/>
      <w:r/>
      <w:bookmarkEnd w:id="684"/>
      <w:r/>
      <w:bookmarkEnd w:id="685"/>
      <w:r/>
      <w:bookmarkEnd w:id="686"/>
      <w:r/>
      <w:bookmarkEnd w:id="687"/>
      <w:r/>
      <w:bookmarkEnd w:id="688"/>
      <w:r/>
      <w:bookmarkEnd w:id="689"/>
      <w:r/>
      <w:bookmarkEnd w:id="690"/>
      <w:r/>
      <w:bookmarkEnd w:id="691"/>
      <w:r/>
      <w:bookmarkEnd w:id="692"/>
      <w:r/>
      <w:bookmarkEnd w:id="693"/>
      <w:r/>
      <w:bookmarkEnd w:id="694"/>
      <w:r/>
      <w:bookmarkEnd w:id="695"/>
      <w:r/>
      <w:bookmarkEnd w:id="696"/>
      <w:r/>
      <w:bookmarkEnd w:id="697"/>
      <w:r/>
      <w:bookmarkEnd w:id="698"/>
      <w:r/>
      <w:bookmarkEnd w:id="699"/>
      <w:r/>
      <w:bookmarkEnd w:id="700"/>
      <w:r/>
      <w:bookmarkEnd w:id="701"/>
      <w:r/>
      <w:bookmarkEnd w:id="702"/>
      <w:r/>
      <w:bookmarkEnd w:id="703"/>
      <w:r/>
      <w:bookmarkEnd w:id="704"/>
      <w:r/>
      <w:bookmarkEnd w:id="705"/>
      <w:r/>
      <w:bookmarkEnd w:id="706"/>
      <w:r/>
      <w:bookmarkEnd w:id="707"/>
      <w:r/>
      <w:bookmarkEnd w:id="708"/>
      <w:r/>
      <w:bookmarkEnd w:id="709"/>
      <w:r/>
      <w:bookmarkEnd w:id="710"/>
      <w:r/>
      <w:bookmarkEnd w:id="711"/>
      <w:r/>
      <w:bookmarkEnd w:id="712"/>
      <w:r/>
      <w:bookmarkEnd w:id="713"/>
      <w:r/>
      <w:bookmarkEnd w:id="714"/>
      <w:r>
        <w:rPr>
          <w:color w:val="000000"/>
          <w:sz w:val="24"/>
          <w:highlight w:val="none"/>
        </w:rPr>
      </w:r>
      <w:r/>
    </w:p>
    <w:p>
      <w:pPr>
        <w:pStyle w:val="1288"/>
        <w:numPr>
          <w:ilvl w:val="1"/>
          <w:numId w:val="6"/>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采购人与成交供应商应当自成交通知书发出之日起30日内，按照</w:t>
      </w:r>
      <w:r>
        <w:rPr>
          <w:rFonts w:hint="eastAsia"/>
          <w:color w:val="000000"/>
          <w:sz w:val="24"/>
          <w:highlight w:val="none"/>
        </w:rPr>
        <w:t xml:space="preserve">谈判</w:t>
      </w:r>
      <w:r>
        <w:rPr>
          <w:color w:val="000000"/>
          <w:sz w:val="24"/>
          <w:highlight w:val="none"/>
        </w:rPr>
        <w:t xml:space="preserve">文件确定的合同文本以及采购标的、规格型号、采购金额、采购数量、技术和服务要求等事项签订政府采购合同。</w:t>
      </w:r>
      <w:r>
        <w:rPr>
          <w:color w:val="000000"/>
          <w:sz w:val="24"/>
          <w:highlight w:val="none"/>
        </w:rPr>
      </w:r>
      <w:r/>
    </w:p>
    <w:p>
      <w:pPr>
        <w:pStyle w:val="1288"/>
        <w:numPr>
          <w:ilvl w:val="1"/>
          <w:numId w:val="6"/>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成交供应商拒绝签订政府采购合同的，</w:t>
      </w:r>
      <w:r>
        <w:rPr>
          <w:rFonts w:hint="eastAsia"/>
          <w:color w:val="000000"/>
          <w:sz w:val="24"/>
          <w:highlight w:val="none"/>
        </w:rPr>
        <w:t xml:space="preserve">采购人可以按照评审报告推荐的成交候选人名单排序，确定下一候选人为成交供应商，也可以重新开展采购活动。</w:t>
      </w:r>
      <w:r>
        <w:rPr>
          <w:color w:val="000000"/>
          <w:sz w:val="24"/>
          <w:highlight w:val="none"/>
        </w:rPr>
        <w:t xml:space="preserve">拒绝签订政府采购合同的成交供应商不得参加对该项目重新开展的采购活动。</w:t>
      </w:r>
      <w:r>
        <w:rPr>
          <w:color w:val="000000"/>
          <w:sz w:val="24"/>
          <w:highlight w:val="none"/>
        </w:rPr>
      </w:r>
      <w:r/>
    </w:p>
    <w:p>
      <w:pPr>
        <w:pStyle w:val="1288"/>
        <w:numPr>
          <w:ilvl w:val="1"/>
          <w:numId w:val="6"/>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联合体成交的，联合体各方应当共同与采购人签订合同，就成交项目向采购人承担连带责任。</w:t>
      </w:r>
      <w:r>
        <w:rPr>
          <w:color w:val="000000"/>
          <w:sz w:val="24"/>
          <w:highlight w:val="none"/>
        </w:rPr>
      </w:r>
      <w:r/>
    </w:p>
    <w:p>
      <w:pPr>
        <w:pStyle w:val="1288"/>
        <w:numPr>
          <w:ilvl w:val="1"/>
          <w:numId w:val="6"/>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政府采购合同不能转包。</w:t>
      </w:r>
      <w:r>
        <w:rPr>
          <w:color w:val="000000"/>
          <w:sz w:val="24"/>
          <w:highlight w:val="none"/>
        </w:rPr>
      </w:r>
      <w:r/>
    </w:p>
    <w:p>
      <w:pPr>
        <w:pStyle w:val="1288"/>
        <w:numPr>
          <w:ilvl w:val="1"/>
          <w:numId w:val="6"/>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采购人允许采用分包方式履行合同的，成交供应商可以依法采取分包方式履行合同。本项目是否允许分包，见《供应商须知资料表》。政府采购合同分包履行的，应当在响应文件中载明分包承担主体，分包承担主体应当具备相应资质条件且不得再次分包，否则</w:t>
      </w:r>
      <w:r>
        <w:rPr>
          <w:b/>
          <w:color w:val="000000"/>
          <w:sz w:val="24"/>
          <w:highlight w:val="none"/>
        </w:rPr>
        <w:t xml:space="preserve">响应无效</w:t>
      </w:r>
      <w:r>
        <w:rPr>
          <w:color w:val="000000"/>
          <w:sz w:val="24"/>
          <w:highlight w:val="none"/>
        </w:rPr>
        <w:t xml:space="preserve">。成交供应商就采购项目和分包项目向采购人负责，分包供应商就分包项目承担责任。</w:t>
      </w:r>
      <w:r>
        <w:rPr>
          <w:color w:val="000000"/>
          <w:sz w:val="24"/>
          <w:highlight w:val="none"/>
        </w:rPr>
      </w:r>
      <w:r/>
    </w:p>
    <w:p>
      <w:pPr>
        <w:pStyle w:val="1288"/>
        <w:numPr>
          <w:ilvl w:val="0"/>
          <w:numId w:val="6"/>
        </w:numPr>
        <w:ind w:left="357" w:hanging="357"/>
        <w:spacing w:line="360" w:lineRule="auto"/>
        <w:tabs>
          <w:tab w:val="left" w:pos="360" w:leader="none"/>
          <w:tab w:val="left" w:pos="900" w:leader="none"/>
        </w:tabs>
        <w:rPr>
          <w:color w:val="000000"/>
          <w:sz w:val="24"/>
          <w:highlight w:val="none"/>
        </w:rPr>
        <w:outlineLvl w:val="1"/>
      </w:pPr>
      <w:r/>
      <w:bookmarkEnd w:id="657"/>
      <w:r/>
      <w:bookmarkEnd w:id="659"/>
      <w:r/>
      <w:bookmarkEnd w:id="669"/>
      <w:r>
        <w:rPr>
          <w:color w:val="000000"/>
          <w:sz w:val="24"/>
          <w:highlight w:val="none"/>
        </w:rPr>
        <w:t xml:space="preserve">询问与质疑</w:t>
      </w:r>
      <w:r>
        <w:rPr>
          <w:color w:val="000000"/>
          <w:sz w:val="24"/>
          <w:highlight w:val="none"/>
        </w:rPr>
      </w:r>
      <w:r/>
    </w:p>
    <w:p>
      <w:pPr>
        <w:pStyle w:val="1288"/>
        <w:numPr>
          <w:ilvl w:val="1"/>
          <w:numId w:val="6"/>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询问</w:t>
      </w:r>
      <w:r>
        <w:rPr>
          <w:color w:val="000000"/>
          <w:sz w:val="24"/>
          <w:highlight w:val="none"/>
        </w:rPr>
      </w:r>
      <w:r/>
    </w:p>
    <w:p>
      <w:pPr>
        <w:pStyle w:val="1288"/>
        <w:numPr>
          <w:ilvl w:val="2"/>
          <w:numId w:val="2"/>
        </w:numPr>
        <w:spacing w:line="360" w:lineRule="auto"/>
        <w:tabs>
          <w:tab w:val="left" w:pos="1980" w:leader="none"/>
        </w:tabs>
        <w:rPr>
          <w:color w:val="000000"/>
          <w:sz w:val="24"/>
          <w:highlight w:val="none"/>
        </w:rPr>
      </w:pPr>
      <w:r>
        <w:rPr>
          <w:color w:val="000000"/>
          <w:sz w:val="24"/>
          <w:highlight w:val="none"/>
        </w:rPr>
        <w:t xml:space="preserve">供应商对政府采购活动事项有疑问的，可依法提出询问，并按《供应商须知资料表》载明的形式送达采购人或采购代理机构。</w:t>
      </w:r>
      <w:r>
        <w:rPr>
          <w:color w:val="000000"/>
          <w:sz w:val="24"/>
          <w:highlight w:val="none"/>
        </w:rPr>
      </w:r>
      <w:r/>
    </w:p>
    <w:p>
      <w:pPr>
        <w:pStyle w:val="1288"/>
        <w:numPr>
          <w:ilvl w:val="2"/>
          <w:numId w:val="2"/>
        </w:numPr>
        <w:spacing w:line="360" w:lineRule="auto"/>
        <w:tabs>
          <w:tab w:val="left" w:pos="1980" w:leader="none"/>
        </w:tabs>
        <w:rPr>
          <w:color w:val="000000"/>
          <w:sz w:val="24"/>
          <w:highlight w:val="none"/>
        </w:rPr>
      </w:pPr>
      <w:r>
        <w:rPr>
          <w:color w:val="000000"/>
          <w:sz w:val="24"/>
          <w:highlight w:val="none"/>
        </w:rPr>
        <w:t xml:space="preserve">采购人或采购代理机构对供应商依法提出的询问，在3个工作日内作出答复，但答复的内容不得涉及商业秘密。</w:t>
      </w:r>
      <w:r>
        <w:rPr>
          <w:color w:val="000000"/>
          <w:sz w:val="24"/>
          <w:highlight w:val="none"/>
        </w:rPr>
      </w:r>
      <w:r/>
    </w:p>
    <w:p>
      <w:pPr>
        <w:pStyle w:val="1288"/>
        <w:numPr>
          <w:ilvl w:val="1"/>
          <w:numId w:val="6"/>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质疑</w:t>
      </w:r>
      <w:r>
        <w:rPr>
          <w:color w:val="000000"/>
          <w:sz w:val="24"/>
          <w:highlight w:val="none"/>
        </w:rPr>
      </w:r>
      <w:r/>
    </w:p>
    <w:p>
      <w:pPr>
        <w:pStyle w:val="1288"/>
        <w:numPr>
          <w:ilvl w:val="2"/>
          <w:numId w:val="2"/>
        </w:numPr>
        <w:spacing w:line="360" w:lineRule="auto"/>
        <w:tabs>
          <w:tab w:val="left" w:pos="1980" w:leader="none"/>
        </w:tabs>
        <w:rPr>
          <w:rFonts w:hint="eastAsia"/>
          <w:color w:val="000000"/>
          <w:sz w:val="24"/>
          <w:highlight w:val="none"/>
        </w:rPr>
      </w:pPr>
      <w:r>
        <w:rPr>
          <w:color w:val="000000"/>
          <w:sz w:val="24"/>
          <w:highlight w:val="none"/>
        </w:rPr>
        <w:t xml:space="preserve">供应商认为</w:t>
      </w:r>
      <w:r>
        <w:rPr>
          <w:rFonts w:hint="eastAsia"/>
          <w:color w:val="000000"/>
          <w:sz w:val="24"/>
          <w:highlight w:val="none"/>
        </w:rPr>
        <w:t xml:space="preserve">谈判</w:t>
      </w:r>
      <w:r>
        <w:rPr>
          <w:color w:val="000000"/>
          <w:sz w:val="24"/>
          <w:highlight w:val="none"/>
        </w:rPr>
        <w:t xml:space="preserve">文件、采购过程、中标结果使自己的权益受到损害的，可以在知道或者应知其权益受到损害之日起7个工作日内，由供应商派授权代表以书面形式向采购人、采购代理机构提出质疑。采购人、采购代理机构在收到质疑函后7个工作日内作出答复。</w:t>
      </w:r>
      <w:r>
        <w:rPr>
          <w:rFonts w:hint="eastAsia"/>
          <w:color w:val="000000"/>
          <w:sz w:val="24"/>
          <w:highlight w:val="none"/>
        </w:rPr>
      </w:r>
      <w:r/>
    </w:p>
    <w:p>
      <w:pPr>
        <w:pStyle w:val="1288"/>
        <w:numPr>
          <w:ilvl w:val="2"/>
          <w:numId w:val="2"/>
        </w:numPr>
        <w:spacing w:line="360" w:lineRule="auto"/>
        <w:tabs>
          <w:tab w:val="left" w:pos="1980" w:leader="none"/>
        </w:tabs>
        <w:rPr>
          <w:color w:val="000000"/>
          <w:sz w:val="24"/>
          <w:highlight w:val="none"/>
        </w:rPr>
      </w:pPr>
      <w:r>
        <w:rPr>
          <w:color w:val="000000"/>
          <w:sz w:val="24"/>
          <w:highlight w:val="none"/>
        </w:rPr>
        <w:t xml:space="preserve">质疑函须使用财政部制定的范本文件。</w:t>
      </w:r>
      <w:r>
        <w:rPr>
          <w:rFonts w:hint="eastAsia"/>
          <w:color w:val="000000"/>
          <w:sz w:val="24"/>
          <w:highlight w:val="none"/>
        </w:rPr>
        <w:t xml:space="preserve">（下载网址：</w:t>
      </w:r>
      <w:r>
        <w:rPr>
          <w:color w:val="000000"/>
          <w:sz w:val="24"/>
          <w:highlight w:val="none"/>
        </w:rPr>
        <w:t xml:space="preserve">http://gk</w:t>
      </w:r>
      <w:bookmarkStart w:id="715" w:name="_Hlt100654014"/>
      <w:r>
        <w:rPr>
          <w:color w:val="000000"/>
          <w:sz w:val="24"/>
          <w:highlight w:val="none"/>
        </w:rPr>
        <w:t xml:space="preserve">s</w:t>
      </w:r>
      <w:bookmarkEnd w:id="715"/>
      <w:r>
        <w:rPr>
          <w:color w:val="000000"/>
          <w:sz w:val="24"/>
          <w:highlight w:val="none"/>
        </w:rPr>
        <w:t xml:space="preserve">.m</w:t>
      </w:r>
      <w:bookmarkStart w:id="716" w:name="_Hlt100653994"/>
      <w:r/>
      <w:bookmarkStart w:id="717" w:name="_Hlt100653993"/>
      <w:r>
        <w:rPr>
          <w:color w:val="000000"/>
          <w:sz w:val="24"/>
          <w:highlight w:val="none"/>
        </w:rPr>
        <w:t xml:space="preserve">o</w:t>
      </w:r>
      <w:bookmarkEnd w:id="716"/>
      <w:r/>
      <w:bookmarkEnd w:id="717"/>
      <w:r>
        <w:rPr>
          <w:color w:val="000000"/>
          <w:sz w:val="24"/>
          <w:highlight w:val="none"/>
        </w:rPr>
        <w:t xml:space="preserve">f.gov.cn/ztztz/zhengfucaigouguanli/201802/t20180201_2804589.htm</w:t>
      </w:r>
      <w:r>
        <w:rPr>
          <w:rFonts w:hint="eastAsia"/>
          <w:color w:val="000000"/>
          <w:sz w:val="24"/>
          <w:highlight w:val="none"/>
        </w:rPr>
        <w:t xml:space="preserve">）</w:t>
      </w:r>
      <w:r>
        <w:rPr>
          <w:color w:val="000000"/>
          <w:sz w:val="24"/>
          <w:highlight w:val="none"/>
        </w:rPr>
      </w:r>
      <w:r/>
    </w:p>
    <w:p>
      <w:pPr>
        <w:pStyle w:val="1288"/>
        <w:numPr>
          <w:ilvl w:val="2"/>
          <w:numId w:val="2"/>
        </w:numPr>
        <w:spacing w:line="360" w:lineRule="auto"/>
        <w:tabs>
          <w:tab w:val="left" w:pos="1980" w:leader="none"/>
        </w:tabs>
        <w:rPr>
          <w:color w:val="000000"/>
          <w:sz w:val="24"/>
          <w:highlight w:val="none"/>
        </w:rPr>
      </w:pPr>
      <w:r>
        <w:rPr>
          <w:color w:val="000000"/>
          <w:sz w:val="24"/>
          <w:highlight w:val="none"/>
        </w:rPr>
        <w:t xml:space="preserve">供应商为自然人的，应当由本人签字；供应商为法人或者其他组织的，应当由法定代表人、主要负责人，或者其授权代表签字或者盖章，并加盖公章。</w:t>
      </w:r>
      <w:r>
        <w:rPr>
          <w:color w:val="000000"/>
          <w:sz w:val="24"/>
          <w:highlight w:val="none"/>
        </w:rPr>
      </w:r>
      <w:r/>
    </w:p>
    <w:p>
      <w:pPr>
        <w:pStyle w:val="1288"/>
        <w:numPr>
          <w:ilvl w:val="2"/>
          <w:numId w:val="2"/>
        </w:numPr>
        <w:spacing w:line="360" w:lineRule="auto"/>
        <w:tabs>
          <w:tab w:val="left" w:pos="1980" w:leader="none"/>
        </w:tabs>
        <w:rPr>
          <w:color w:val="000000"/>
          <w:sz w:val="24"/>
          <w:highlight w:val="none"/>
        </w:rPr>
      </w:pPr>
      <w:r>
        <w:rPr>
          <w:color w:val="000000"/>
          <w:sz w:val="24"/>
          <w:highlight w:val="none"/>
        </w:rPr>
        <w:t xml:space="preserve">供应商应在法定质疑期内一次性提出针对同一采购程序环节的质疑，法定质疑期内针对同一采购程序环节再次提出的质疑，采购人、采购代理机构有权不予答复。</w:t>
      </w:r>
      <w:r>
        <w:rPr>
          <w:color w:val="000000"/>
          <w:sz w:val="24"/>
          <w:highlight w:val="none"/>
        </w:rPr>
      </w:r>
      <w:r/>
    </w:p>
    <w:p>
      <w:pPr>
        <w:pStyle w:val="1288"/>
        <w:numPr>
          <w:ilvl w:val="1"/>
          <w:numId w:val="6"/>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接收询问和质疑的联系部门、联系电话和通讯地址见《供应商须知资料表》。</w:t>
      </w:r>
      <w:r>
        <w:rPr>
          <w:color w:val="000000"/>
          <w:sz w:val="24"/>
          <w:highlight w:val="none"/>
        </w:rPr>
      </w:r>
      <w:r/>
    </w:p>
    <w:p>
      <w:pPr>
        <w:pStyle w:val="1288"/>
        <w:numPr>
          <w:ilvl w:val="0"/>
          <w:numId w:val="6"/>
        </w:numPr>
        <w:ind w:left="357" w:hanging="357"/>
        <w:spacing w:line="360" w:lineRule="auto"/>
        <w:tabs>
          <w:tab w:val="left" w:pos="360" w:leader="none"/>
          <w:tab w:val="left" w:pos="900" w:leader="none"/>
        </w:tabs>
        <w:rPr>
          <w:color w:val="000000"/>
          <w:sz w:val="24"/>
          <w:highlight w:val="none"/>
        </w:rPr>
        <w:outlineLvl w:val="1"/>
      </w:pPr>
      <w:r>
        <w:rPr>
          <w:color w:val="000000"/>
          <w:sz w:val="24"/>
          <w:highlight w:val="none"/>
        </w:rPr>
        <w:t xml:space="preserve">代理费</w:t>
      </w:r>
      <w:r>
        <w:rPr>
          <w:color w:val="000000"/>
          <w:sz w:val="24"/>
          <w:highlight w:val="none"/>
        </w:rPr>
      </w:r>
      <w:r/>
    </w:p>
    <w:p>
      <w:pPr>
        <w:pStyle w:val="1288"/>
        <w:numPr>
          <w:ilvl w:val="1"/>
          <w:numId w:val="7"/>
        </w:numPr>
        <w:ind w:left="1077" w:hanging="720"/>
        <w:spacing w:line="360" w:lineRule="auto"/>
        <w:tabs>
          <w:tab w:val="left" w:pos="1080" w:leader="none"/>
          <w:tab w:val="left" w:pos="1447" w:leader="none"/>
          <w:tab w:val="left" w:pos="1589" w:leader="none"/>
          <w:tab w:val="left" w:pos="2014" w:leader="none"/>
        </w:tabs>
        <w:rPr>
          <w:color w:val="000000"/>
          <w:sz w:val="24"/>
          <w:highlight w:val="none"/>
        </w:rPr>
      </w:pPr>
      <w:r>
        <w:rPr>
          <w:color w:val="000000"/>
          <w:sz w:val="24"/>
          <w:highlight w:val="none"/>
        </w:rPr>
        <w:t xml:space="preserve">收费对象、收费标准及缴纳时间见《供应商须知资料表》。由成交供应商支付的，成交供应商须一次性向采购代理机构缴纳代理费，供应商的报价应包含代理费用及前期项目相关论证等费用。</w:t>
      </w:r>
      <w:bookmarkEnd w:id="47"/>
      <w:r/>
      <w:bookmarkEnd w:id="48"/>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Start w:id="718" w:name="_Hlt522424701"/>
      <w:r/>
      <w:bookmarkEnd w:id="718"/>
      <w:r/>
      <w:bookmarkStart w:id="719" w:name="_Hlt487972895"/>
      <w:r/>
      <w:bookmarkEnd w:id="719"/>
      <w:r/>
      <w:bookmarkStart w:id="720" w:name="_Hlt487900425"/>
      <w:r/>
      <w:bookmarkEnd w:id="720"/>
      <w:r/>
      <w:bookmarkStart w:id="721" w:name="_Toc353825550"/>
      <w:r/>
      <w:bookmarkStart w:id="722" w:name="_Toc127161490"/>
      <w:r/>
      <w:bookmarkStart w:id="723" w:name="_Toc127151779"/>
      <w:r/>
      <w:bookmarkStart w:id="724" w:name="_Toc226965858"/>
      <w:r/>
      <w:bookmarkStart w:id="725" w:name="_Toc353873940"/>
      <w:r>
        <w:rPr>
          <w:color w:val="000000"/>
          <w:sz w:val="24"/>
          <w:highlight w:val="none"/>
        </w:rPr>
      </w:r>
      <w:r/>
    </w:p>
    <w:p>
      <w:pPr>
        <w:pStyle w:val="1288"/>
        <w:jc w:val="center"/>
        <w:spacing w:line="360" w:lineRule="auto"/>
        <w:rPr>
          <w:b/>
          <w:color w:val="000000"/>
          <w:sz w:val="36"/>
          <w:szCs w:val="36"/>
          <w:highlight w:val="none"/>
        </w:rPr>
        <w:outlineLvl w:val="0"/>
      </w:pPr>
      <w:r>
        <w:rPr>
          <w:b/>
          <w:color w:val="000000"/>
          <w:sz w:val="36"/>
          <w:szCs w:val="36"/>
          <w:highlight w:val="none"/>
        </w:rPr>
        <w:br w:type="page" w:clear="all"/>
      </w:r>
      <w:bookmarkStart w:id="726" w:name="_Toc195013380"/>
      <w:r>
        <w:rPr>
          <w:b/>
          <w:color w:val="000000"/>
          <w:sz w:val="36"/>
          <w:szCs w:val="36"/>
          <w:highlight w:val="none"/>
        </w:rPr>
        <w:t xml:space="preserve">第三章   </w:t>
      </w:r>
      <w:bookmarkEnd w:id="721"/>
      <w:r/>
      <w:bookmarkEnd w:id="722"/>
      <w:r/>
      <w:bookmarkEnd w:id="723"/>
      <w:r/>
      <w:bookmarkEnd w:id="724"/>
      <w:r/>
      <w:bookmarkEnd w:id="725"/>
      <w:r/>
      <w:bookmarkStart w:id="727" w:name="_Hlt164229061"/>
      <w:r/>
      <w:bookmarkEnd w:id="727"/>
      <w:r/>
      <w:bookmarkStart w:id="728" w:name="_Hlk97413531"/>
      <w:r>
        <w:rPr>
          <w:b/>
          <w:color w:val="000000"/>
          <w:sz w:val="36"/>
          <w:szCs w:val="36"/>
          <w:highlight w:val="none"/>
        </w:rPr>
        <w:t xml:space="preserve">评审程序和</w:t>
      </w:r>
      <w:bookmarkEnd w:id="728"/>
      <w:r>
        <w:rPr>
          <w:b/>
          <w:color w:val="000000"/>
          <w:sz w:val="36"/>
          <w:szCs w:val="36"/>
          <w:highlight w:val="none"/>
        </w:rPr>
        <w:t xml:space="preserve">评定成交的标准</w:t>
      </w:r>
      <w:bookmarkEnd w:id="726"/>
      <w:r>
        <w:rPr>
          <w:b/>
          <w:color w:val="000000"/>
          <w:sz w:val="36"/>
          <w:szCs w:val="36"/>
          <w:highlight w:val="none"/>
        </w:rPr>
      </w:r>
      <w:r/>
    </w:p>
    <w:p>
      <w:pPr>
        <w:pStyle w:val="1288"/>
        <w:tabs>
          <w:tab w:val="left" w:pos="1080" w:leader="none"/>
        </w:tabs>
        <w:rPr>
          <w:color w:val="000000"/>
          <w:sz w:val="24"/>
          <w:highlight w:val="none"/>
        </w:rPr>
      </w:pPr>
      <w:r>
        <w:rPr>
          <w:color w:val="000000"/>
          <w:sz w:val="24"/>
          <w:highlight w:val="none"/>
        </w:rPr>
      </w:r>
      <w:r/>
    </w:p>
    <w:p>
      <w:pPr>
        <w:pStyle w:val="1288"/>
        <w:ind w:left="0" w:firstLine="0"/>
        <w:spacing w:line="360" w:lineRule="auto"/>
        <w:tabs>
          <w:tab w:val="left" w:pos="360" w:leader="none"/>
          <w:tab w:val="left" w:pos="900" w:leader="none"/>
        </w:tabs>
        <w:rPr>
          <w:color w:val="000000"/>
          <w:sz w:val="24"/>
          <w:highlight w:val="none"/>
        </w:rPr>
        <w:outlineLvl w:val="1"/>
      </w:pPr>
      <w:r>
        <w:rPr>
          <w:color w:val="000000"/>
          <w:sz w:val="24"/>
          <w:highlight w:val="none"/>
        </w:rPr>
        <w:t xml:space="preserve">响应文件的资格审查和符合性审查</w:t>
      </w:r>
      <w:r>
        <w:rPr>
          <w:color w:val="000000"/>
          <w:sz w:val="24"/>
          <w:highlight w:val="none"/>
        </w:rPr>
      </w:r>
      <w:r/>
    </w:p>
    <w:p>
      <w:pPr>
        <w:pStyle w:val="1288"/>
        <w:numPr>
          <w:ilvl w:val="1"/>
          <w:numId w:val="8"/>
        </w:numPr>
        <w:ind w:left="1077" w:hanging="720"/>
        <w:spacing w:line="360" w:lineRule="auto"/>
        <w:tabs>
          <w:tab w:val="left" w:pos="1080" w:leader="none"/>
          <w:tab w:val="left" w:pos="1447" w:leader="none"/>
          <w:tab w:val="left" w:pos="1589" w:leader="none"/>
        </w:tabs>
        <w:rPr>
          <w:color w:val="000000"/>
          <w:sz w:val="24"/>
          <w:highlight w:val="none"/>
        </w:rPr>
      </w:pPr>
      <w:r>
        <w:rPr>
          <w:rFonts w:hint="eastAsia"/>
          <w:color w:val="000000"/>
          <w:sz w:val="24"/>
          <w:highlight w:val="none"/>
        </w:rPr>
        <w:t xml:space="preserve">谈判</w:t>
      </w:r>
      <w:r>
        <w:rPr>
          <w:color w:val="000000"/>
          <w:sz w:val="24"/>
          <w:highlight w:val="none"/>
        </w:rPr>
        <w:t xml:space="preserve">小组将根据《资格审查要求》和《符合性审查要求》中规定的审查因素和审查内容，对供应商进行审查，并形成审查记录。</w:t>
      </w:r>
      <w:r>
        <w:rPr>
          <w:color w:val="000000"/>
          <w:sz w:val="24"/>
          <w:highlight w:val="none"/>
        </w:rPr>
        <w:t xml:space="preserve">供应商《响应文件》有任何一项不符合《资格审查要求》的，</w:t>
      </w:r>
      <w:r>
        <w:rPr>
          <w:rFonts w:hint="eastAsia"/>
          <w:color w:val="000000"/>
          <w:sz w:val="24"/>
          <w:highlight w:val="none"/>
        </w:rPr>
        <w:t xml:space="preserve">视为未实质性响应谈判文件</w:t>
      </w:r>
      <w:r>
        <w:rPr>
          <w:color w:val="000000"/>
          <w:sz w:val="24"/>
          <w:highlight w:val="none"/>
        </w:rPr>
        <w:t xml:space="preserve">。</w:t>
      </w:r>
      <w:r>
        <w:rPr>
          <w:rFonts w:hint="eastAsia"/>
          <w:color w:val="000000"/>
          <w:sz w:val="24"/>
          <w:highlight w:val="none"/>
        </w:rPr>
        <w:t xml:space="preserve">未实质性响应谈判文件的响应文件</w:t>
      </w:r>
      <w:r>
        <w:rPr>
          <w:rFonts w:hint="eastAsia"/>
          <w:b/>
          <w:bCs/>
          <w:color w:val="000000"/>
          <w:sz w:val="24"/>
          <w:highlight w:val="none"/>
        </w:rPr>
        <w:t xml:space="preserve">按无效处理</w:t>
      </w:r>
      <w:r>
        <w:rPr>
          <w:rFonts w:hint="eastAsia"/>
          <w:color w:val="000000"/>
          <w:sz w:val="24"/>
          <w:highlight w:val="none"/>
        </w:rPr>
        <w:t xml:space="preserve">，谈判小组应当告知有关供应商。</w:t>
      </w:r>
      <w:r>
        <w:rPr>
          <w:color w:val="000000"/>
          <w:sz w:val="24"/>
          <w:highlight w:val="none"/>
        </w:rPr>
      </w:r>
      <w:r/>
    </w:p>
    <w:p>
      <w:pPr>
        <w:pStyle w:val="1288"/>
        <w:numPr>
          <w:ilvl w:val="1"/>
          <w:numId w:val="8"/>
        </w:numPr>
        <w:ind w:left="1077" w:hanging="720"/>
        <w:spacing w:line="360" w:lineRule="auto"/>
        <w:tabs>
          <w:tab w:val="left" w:pos="1080" w:leader="none"/>
          <w:tab w:val="left" w:pos="1447" w:leader="none"/>
          <w:tab w:val="left" w:pos="1589" w:leader="none"/>
        </w:tabs>
        <w:rPr>
          <w:color w:val="000000"/>
          <w:sz w:val="24"/>
          <w:highlight w:val="none"/>
        </w:rPr>
      </w:pPr>
      <w:r>
        <w:rPr>
          <w:color w:val="000000"/>
          <w:sz w:val="24"/>
          <w:highlight w:val="none"/>
        </w:rPr>
        <w:t xml:space="preserve">《资格审查要求》和《符合性审查要求》中对格式有要求的，除</w:t>
      </w:r>
      <w:r>
        <w:rPr>
          <w:rFonts w:hint="eastAsia"/>
          <w:color w:val="000000"/>
          <w:sz w:val="24"/>
          <w:highlight w:val="none"/>
        </w:rPr>
        <w:t xml:space="preserve">谈判</w:t>
      </w:r>
      <w:r>
        <w:rPr>
          <w:color w:val="000000"/>
          <w:sz w:val="24"/>
          <w:highlight w:val="none"/>
        </w:rPr>
        <w:t xml:space="preserve">文件另有规定外，均为“实质性格式”文件。未实质性响应</w:t>
      </w:r>
      <w:r>
        <w:rPr>
          <w:rFonts w:hint="eastAsia"/>
          <w:color w:val="000000"/>
          <w:sz w:val="24"/>
          <w:highlight w:val="none"/>
        </w:rPr>
        <w:t xml:space="preserve">谈判</w:t>
      </w:r>
      <w:r>
        <w:rPr>
          <w:color w:val="000000"/>
          <w:sz w:val="24"/>
          <w:highlight w:val="none"/>
        </w:rPr>
        <w:t xml:space="preserve">文件的响应文件按</w:t>
      </w:r>
      <w:r>
        <w:rPr>
          <w:b/>
          <w:color w:val="000000"/>
          <w:sz w:val="24"/>
          <w:highlight w:val="none"/>
        </w:rPr>
        <w:t xml:space="preserve">无效响应</w:t>
      </w:r>
      <w:r>
        <w:rPr>
          <w:color w:val="000000"/>
          <w:sz w:val="24"/>
          <w:highlight w:val="none"/>
        </w:rPr>
        <w:t xml:space="preserve">处理，</w:t>
      </w:r>
      <w:r>
        <w:rPr>
          <w:rFonts w:hint="eastAsia"/>
          <w:color w:val="000000"/>
          <w:sz w:val="24"/>
          <w:highlight w:val="none"/>
        </w:rPr>
        <w:t xml:space="preserve">协商</w:t>
      </w:r>
      <w:r>
        <w:rPr>
          <w:color w:val="000000"/>
          <w:sz w:val="24"/>
          <w:highlight w:val="none"/>
        </w:rPr>
        <w:t xml:space="preserve">小组应当告知提交响应文件的供应商。</w:t>
      </w:r>
      <w:r>
        <w:rPr>
          <w:color w:val="000000"/>
          <w:sz w:val="24"/>
          <w:highlight w:val="none"/>
        </w:rPr>
      </w:r>
      <w:r/>
    </w:p>
    <w:p>
      <w:pPr>
        <w:pStyle w:val="1288"/>
        <w:numPr>
          <w:ilvl w:val="1"/>
          <w:numId w:val="8"/>
        </w:numPr>
        <w:ind w:left="1077" w:hanging="720"/>
        <w:spacing w:line="360" w:lineRule="auto"/>
        <w:tabs>
          <w:tab w:val="left" w:pos="1080" w:leader="none"/>
          <w:tab w:val="left" w:pos="1447" w:leader="none"/>
          <w:tab w:val="left" w:pos="1589" w:leader="none"/>
        </w:tabs>
        <w:rPr>
          <w:color w:val="000000"/>
          <w:sz w:val="24"/>
          <w:highlight w:val="none"/>
        </w:rPr>
      </w:pPr>
      <w:r>
        <w:rPr>
          <w:color w:val="000000"/>
          <w:sz w:val="24"/>
          <w:highlight w:val="none"/>
        </w:rPr>
        <w:t xml:space="preserve">《资格审查要求》见下表：</w:t>
      </w:r>
      <w:r>
        <w:rPr>
          <w:color w:val="000000"/>
          <w:sz w:val="24"/>
          <w:highlight w:val="none"/>
        </w:rPr>
      </w:r>
      <w:r/>
    </w:p>
    <w:p>
      <w:pPr>
        <w:pStyle w:val="1288"/>
        <w:jc w:val="center"/>
        <w:spacing w:line="360" w:lineRule="auto"/>
        <w:tabs>
          <w:tab w:val="left" w:pos="900" w:leader="none"/>
          <w:tab w:val="left" w:pos="1080" w:leader="none"/>
          <w:tab w:val="left" w:pos="1447" w:leader="none"/>
        </w:tabs>
        <w:rPr>
          <w:b/>
          <w:color w:val="000000"/>
          <w:sz w:val="24"/>
          <w:highlight w:val="none"/>
        </w:rPr>
      </w:pPr>
      <w:r>
        <w:rPr>
          <w:b/>
          <w:color w:val="000000"/>
          <w:sz w:val="24"/>
          <w:highlight w:val="none"/>
        </w:rPr>
        <w:t xml:space="preserve">资格审查要求</w:t>
      </w:r>
      <w:r>
        <w:rPr>
          <w:b/>
          <w:color w:val="000000"/>
          <w:sz w:val="24"/>
          <w:highlight w:val="none"/>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98"/>
        <w:gridCol w:w="1884"/>
        <w:gridCol w:w="4705"/>
        <w:gridCol w:w="2001"/>
      </w:tblGrid>
      <w:tr>
        <w:trPr>
          <w:cantSplit/>
          <w:trHeight w:val="20"/>
          <w:tblHeader/>
        </w:trPr>
        <w:tc>
          <w:tcPr>
            <w:tcW w:w="376" w:type="dxa"/>
            <w:vAlign w:val="center"/>
            <w:textDirection w:val="lrTb"/>
            <w:noWrap w:val="false"/>
          </w:tcPr>
          <w:p>
            <w:pPr>
              <w:pStyle w:val="1288"/>
              <w:jc w:val="center"/>
              <w:tabs>
                <w:tab w:val="left" w:pos="1080" w:leader="none"/>
              </w:tabs>
              <w:rPr>
                <w:b/>
                <w:color w:val="000000"/>
                <w:sz w:val="24"/>
                <w:highlight w:val="none"/>
              </w:rPr>
            </w:pPr>
            <w:r>
              <w:rPr>
                <w:b/>
                <w:color w:val="000000"/>
                <w:sz w:val="24"/>
                <w:highlight w:val="none"/>
              </w:rPr>
              <w:t xml:space="preserve">序号</w:t>
            </w:r>
            <w:r>
              <w:rPr>
                <w:b/>
                <w:color w:val="000000"/>
                <w:sz w:val="24"/>
                <w:highlight w:val="none"/>
              </w:rPr>
            </w:r>
            <w:r/>
          </w:p>
        </w:tc>
        <w:tc>
          <w:tcPr>
            <w:tcW w:w="1014" w:type="dxa"/>
            <w:vAlign w:val="center"/>
            <w:textDirection w:val="lrTb"/>
            <w:noWrap w:val="false"/>
          </w:tcPr>
          <w:p>
            <w:pPr>
              <w:pStyle w:val="1288"/>
              <w:jc w:val="center"/>
              <w:tabs>
                <w:tab w:val="left" w:pos="1080" w:leader="none"/>
              </w:tabs>
              <w:rPr>
                <w:b/>
                <w:color w:val="000000"/>
                <w:sz w:val="24"/>
                <w:highlight w:val="none"/>
              </w:rPr>
            </w:pPr>
            <w:r>
              <w:rPr>
                <w:b/>
                <w:color w:val="000000"/>
                <w:sz w:val="24"/>
                <w:highlight w:val="none"/>
              </w:rPr>
              <w:t xml:space="preserve">审查因素</w:t>
            </w:r>
            <w:r>
              <w:rPr>
                <w:b/>
                <w:color w:val="000000"/>
                <w:sz w:val="24"/>
                <w:highlight w:val="none"/>
              </w:rPr>
            </w:r>
            <w:r/>
          </w:p>
        </w:tc>
        <w:tc>
          <w:tcPr>
            <w:tcW w:w="2533" w:type="dxa"/>
            <w:vAlign w:val="center"/>
            <w:textDirection w:val="lrTb"/>
            <w:noWrap w:val="false"/>
          </w:tcPr>
          <w:p>
            <w:pPr>
              <w:pStyle w:val="1288"/>
              <w:jc w:val="center"/>
              <w:tabs>
                <w:tab w:val="left" w:pos="1080" w:leader="none"/>
              </w:tabs>
              <w:rPr>
                <w:b/>
                <w:color w:val="000000"/>
                <w:sz w:val="24"/>
                <w:highlight w:val="none"/>
              </w:rPr>
            </w:pPr>
            <w:r>
              <w:rPr>
                <w:b/>
                <w:color w:val="000000"/>
                <w:sz w:val="24"/>
                <w:highlight w:val="none"/>
              </w:rPr>
              <w:t xml:space="preserve">审查内容</w:t>
            </w:r>
            <w:r>
              <w:rPr>
                <w:b/>
                <w:color w:val="000000"/>
                <w:sz w:val="24"/>
                <w:highlight w:val="none"/>
              </w:rPr>
            </w:r>
            <w:r/>
          </w:p>
        </w:tc>
        <w:tc>
          <w:tcPr>
            <w:tcW w:w="1077" w:type="dxa"/>
            <w:vAlign w:val="center"/>
            <w:textDirection w:val="lrTb"/>
            <w:noWrap w:val="false"/>
          </w:tcPr>
          <w:p>
            <w:pPr>
              <w:pStyle w:val="1288"/>
              <w:jc w:val="center"/>
              <w:tabs>
                <w:tab w:val="left" w:pos="1080" w:leader="none"/>
              </w:tabs>
              <w:rPr>
                <w:b/>
                <w:color w:val="000000"/>
                <w:sz w:val="24"/>
                <w:highlight w:val="none"/>
              </w:rPr>
            </w:pPr>
            <w:r>
              <w:rPr>
                <w:b/>
                <w:color w:val="000000"/>
                <w:sz w:val="24"/>
                <w:highlight w:val="none"/>
              </w:rPr>
              <w:t xml:space="preserve">格式要求</w:t>
            </w:r>
            <w:r>
              <w:rPr>
                <w:b/>
                <w:color w:val="000000"/>
                <w:sz w:val="24"/>
                <w:highlight w:val="none"/>
              </w:rPr>
            </w:r>
            <w:r/>
          </w:p>
        </w:tc>
      </w:tr>
      <w:tr>
        <w:trPr>
          <w:cantSplit/>
          <w:trHeight w:val="20"/>
        </w:trPr>
        <w:tc>
          <w:tcPr>
            <w:tcW w:w="376" w:type="dxa"/>
            <w:vAlign w:val="center"/>
            <w:textDirection w:val="lrTb"/>
            <w:noWrap w:val="false"/>
          </w:tcPr>
          <w:p>
            <w:pPr>
              <w:pStyle w:val="1288"/>
              <w:jc w:val="center"/>
              <w:tabs>
                <w:tab w:val="left" w:pos="1080" w:leader="none"/>
              </w:tabs>
              <w:rPr>
                <w:color w:val="000000"/>
                <w:sz w:val="24"/>
                <w:highlight w:val="none"/>
              </w:rPr>
            </w:pPr>
            <w:r>
              <w:rPr>
                <w:color w:val="000000"/>
                <w:sz w:val="24"/>
                <w:highlight w:val="none"/>
              </w:rPr>
              <w:t xml:space="preserve">1</w:t>
            </w:r>
            <w:r>
              <w:rPr>
                <w:color w:val="000000"/>
                <w:sz w:val="24"/>
                <w:highlight w:val="none"/>
              </w:rPr>
            </w:r>
            <w:r/>
          </w:p>
        </w:tc>
        <w:tc>
          <w:tcPr>
            <w:tcW w:w="1014" w:type="dxa"/>
            <w:vAlign w:val="center"/>
            <w:textDirection w:val="lrTb"/>
            <w:noWrap w:val="false"/>
          </w:tcPr>
          <w:p>
            <w:pPr>
              <w:pStyle w:val="1288"/>
              <w:tabs>
                <w:tab w:val="left" w:pos="1080" w:leader="none"/>
              </w:tabs>
              <w:rPr>
                <w:color w:val="000000"/>
                <w:sz w:val="24"/>
                <w:highlight w:val="none"/>
              </w:rPr>
            </w:pPr>
            <w:r>
              <w:rPr>
                <w:color w:val="000000"/>
                <w:sz w:val="24"/>
                <w:highlight w:val="none"/>
              </w:rPr>
              <w:t xml:space="preserve">满足《中华人民共和国政府采购法》第二十二条规定及法律法规的其他规定</w:t>
            </w:r>
            <w:r>
              <w:rPr>
                <w:color w:val="000000"/>
                <w:sz w:val="24"/>
                <w:highlight w:val="none"/>
              </w:rPr>
            </w:r>
            <w:r/>
          </w:p>
        </w:tc>
        <w:tc>
          <w:tcPr>
            <w:tcW w:w="2533" w:type="dxa"/>
            <w:vAlign w:val="center"/>
            <w:textDirection w:val="lrTb"/>
            <w:noWrap w:val="false"/>
          </w:tcPr>
          <w:p>
            <w:pPr>
              <w:pStyle w:val="1288"/>
              <w:tabs>
                <w:tab w:val="left" w:pos="1080" w:leader="none"/>
              </w:tabs>
              <w:rPr>
                <w:color w:val="000000"/>
                <w:sz w:val="24"/>
                <w:highlight w:val="none"/>
              </w:rPr>
            </w:pPr>
            <w:r>
              <w:rPr>
                <w:color w:val="000000"/>
                <w:sz w:val="24"/>
                <w:highlight w:val="none"/>
              </w:rPr>
              <w:t xml:space="preserve">具体规定见第一章《采购邀请》</w:t>
            </w:r>
            <w:r>
              <w:rPr>
                <w:color w:val="000000"/>
                <w:sz w:val="24"/>
                <w:highlight w:val="none"/>
              </w:rPr>
            </w:r>
            <w:r/>
          </w:p>
        </w:tc>
        <w:tc>
          <w:tcPr>
            <w:tcW w:w="1077" w:type="dxa"/>
            <w:vAlign w:val="center"/>
            <w:textDirection w:val="lrTb"/>
            <w:noWrap w:val="false"/>
          </w:tcPr>
          <w:p>
            <w:pPr>
              <w:pStyle w:val="1288"/>
              <w:tabs>
                <w:tab w:val="left" w:pos="1080" w:leader="none"/>
              </w:tabs>
              <w:rPr>
                <w:color w:val="000000"/>
                <w:sz w:val="24"/>
                <w:highlight w:val="none"/>
              </w:rPr>
            </w:pPr>
            <w:r>
              <w:rPr>
                <w:color w:val="000000"/>
                <w:sz w:val="24"/>
                <w:highlight w:val="none"/>
              </w:rPr>
            </w:r>
            <w:r/>
          </w:p>
        </w:tc>
      </w:tr>
      <w:tr>
        <w:trPr>
          <w:cantSplit/>
          <w:trHeight w:val="468"/>
        </w:trPr>
        <w:tc>
          <w:tcPr>
            <w:tcW w:w="376" w:type="dxa"/>
            <w:vAlign w:val="center"/>
            <w:textDirection w:val="lrTb"/>
            <w:noWrap w:val="false"/>
          </w:tcPr>
          <w:p>
            <w:pPr>
              <w:pStyle w:val="1288"/>
              <w:jc w:val="center"/>
              <w:tabs>
                <w:tab w:val="left" w:pos="1080" w:leader="none"/>
              </w:tabs>
              <w:rPr>
                <w:color w:val="000000"/>
                <w:sz w:val="24"/>
                <w:highlight w:val="none"/>
              </w:rPr>
            </w:pPr>
            <w:r>
              <w:rPr>
                <w:color w:val="000000"/>
                <w:sz w:val="24"/>
                <w:highlight w:val="none"/>
              </w:rPr>
              <w:t xml:space="preserve">1-1</w:t>
            </w:r>
            <w:r>
              <w:rPr>
                <w:color w:val="000000"/>
                <w:sz w:val="24"/>
                <w:highlight w:val="none"/>
              </w:rPr>
            </w:r>
            <w:r/>
          </w:p>
        </w:tc>
        <w:tc>
          <w:tcPr>
            <w:tcW w:w="1014" w:type="dxa"/>
            <w:vAlign w:val="center"/>
            <w:textDirection w:val="lrTb"/>
            <w:noWrap w:val="false"/>
          </w:tcPr>
          <w:p>
            <w:pPr>
              <w:pStyle w:val="1288"/>
              <w:tabs>
                <w:tab w:val="left" w:pos="1080" w:leader="none"/>
              </w:tabs>
              <w:rPr>
                <w:color w:val="000000"/>
                <w:sz w:val="24"/>
                <w:highlight w:val="none"/>
              </w:rPr>
            </w:pPr>
            <w:r>
              <w:rPr>
                <w:rFonts w:hint="eastAsia"/>
                <w:color w:val="000000"/>
                <w:sz w:val="24"/>
                <w:highlight w:val="none"/>
              </w:rPr>
              <w:t xml:space="preserve">供应商资格声明函</w:t>
            </w:r>
            <w:r>
              <w:rPr>
                <w:color w:val="000000"/>
                <w:sz w:val="24"/>
                <w:highlight w:val="none"/>
              </w:rPr>
            </w:r>
            <w:r/>
          </w:p>
        </w:tc>
        <w:tc>
          <w:tcPr>
            <w:tcW w:w="2533" w:type="dxa"/>
            <w:vAlign w:val="center"/>
            <w:textDirection w:val="lrTb"/>
            <w:noWrap w:val="false"/>
          </w:tcPr>
          <w:p>
            <w:pPr>
              <w:pStyle w:val="1288"/>
              <w:tabs>
                <w:tab w:val="left" w:pos="1080" w:leader="none"/>
              </w:tabs>
              <w:rPr>
                <w:color w:val="000000"/>
                <w:sz w:val="24"/>
                <w:highlight w:val="none"/>
              </w:rPr>
            </w:pPr>
            <w:r>
              <w:rPr>
                <w:color w:val="000000"/>
                <w:sz w:val="24"/>
                <w:highlight w:val="none"/>
              </w:rPr>
              <w:t xml:space="preserve">提供了符合</w:t>
            </w:r>
            <w:r>
              <w:rPr>
                <w:rFonts w:hint="eastAsia"/>
                <w:color w:val="000000"/>
                <w:sz w:val="24"/>
                <w:highlight w:val="none"/>
              </w:rPr>
              <w:t xml:space="preserve">采购</w:t>
            </w:r>
            <w:r>
              <w:rPr>
                <w:color w:val="000000"/>
                <w:sz w:val="24"/>
                <w:highlight w:val="none"/>
              </w:rPr>
              <w:t xml:space="preserve">文件要求的《</w:t>
            </w:r>
            <w:r>
              <w:rPr>
                <w:rFonts w:hint="eastAsia"/>
                <w:color w:val="000000"/>
                <w:sz w:val="24"/>
                <w:highlight w:val="none"/>
              </w:rPr>
              <w:t xml:space="preserve">供应商资格声明函</w:t>
            </w:r>
            <w:r>
              <w:rPr>
                <w:color w:val="000000"/>
                <w:sz w:val="24"/>
                <w:highlight w:val="none"/>
              </w:rPr>
              <w:t xml:space="preserve">》。</w:t>
            </w:r>
            <w:r>
              <w:rPr>
                <w:color w:val="000000"/>
                <w:sz w:val="24"/>
                <w:highlight w:val="none"/>
              </w:rPr>
            </w:r>
            <w:r/>
          </w:p>
        </w:tc>
        <w:tc>
          <w:tcPr>
            <w:tcW w:w="1077" w:type="dxa"/>
            <w:vAlign w:val="center"/>
            <w:textDirection w:val="lrTb"/>
            <w:noWrap w:val="false"/>
          </w:tcPr>
          <w:p>
            <w:pPr>
              <w:pStyle w:val="1288"/>
              <w:tabs>
                <w:tab w:val="left" w:pos="1080" w:leader="none"/>
              </w:tabs>
              <w:rPr>
                <w:color w:val="000000"/>
                <w:sz w:val="24"/>
                <w:highlight w:val="none"/>
              </w:rPr>
            </w:pPr>
            <w:r>
              <w:rPr>
                <w:color w:val="000000"/>
                <w:sz w:val="24"/>
                <w:highlight w:val="none"/>
              </w:rPr>
              <w:t xml:space="preserve">格式见《</w:t>
            </w:r>
            <w:r>
              <w:rPr>
                <w:rFonts w:hint="eastAsia"/>
                <w:color w:val="000000"/>
                <w:sz w:val="24"/>
                <w:highlight w:val="none"/>
              </w:rPr>
              <w:t xml:space="preserve">响应</w:t>
            </w:r>
            <w:r>
              <w:rPr>
                <w:color w:val="000000"/>
                <w:sz w:val="24"/>
                <w:highlight w:val="none"/>
              </w:rPr>
              <w:t xml:space="preserve">文件格式》</w:t>
            </w:r>
            <w:r>
              <w:rPr>
                <w:color w:val="000000"/>
                <w:sz w:val="24"/>
                <w:highlight w:val="none"/>
              </w:rPr>
            </w:r>
            <w:r/>
          </w:p>
        </w:tc>
      </w:tr>
      <w:tr>
        <w:trPr>
          <w:cantSplit/>
          <w:trHeight w:val="20"/>
        </w:trPr>
        <w:tc>
          <w:tcPr>
            <w:tcW w:w="376" w:type="dxa"/>
            <w:vAlign w:val="center"/>
            <w:textDirection w:val="lrTb"/>
            <w:noWrap w:val="false"/>
          </w:tcPr>
          <w:p>
            <w:pPr>
              <w:pStyle w:val="1288"/>
              <w:jc w:val="center"/>
              <w:tabs>
                <w:tab w:val="left" w:pos="1080" w:leader="none"/>
              </w:tabs>
              <w:rPr>
                <w:color w:val="000000"/>
                <w:sz w:val="24"/>
                <w:highlight w:val="none"/>
              </w:rPr>
            </w:pPr>
            <w:r>
              <w:rPr>
                <w:rFonts w:hint="eastAsia"/>
                <w:color w:val="000000"/>
                <w:sz w:val="24"/>
                <w:highlight w:val="none"/>
              </w:rPr>
              <w:t xml:space="preserve">1</w:t>
            </w:r>
            <w:r>
              <w:rPr>
                <w:color w:val="000000"/>
                <w:sz w:val="24"/>
                <w:highlight w:val="none"/>
              </w:rPr>
              <w:t xml:space="preserve">-</w:t>
            </w:r>
            <w:r>
              <w:rPr>
                <w:rFonts w:hint="eastAsia"/>
                <w:color w:val="000000"/>
                <w:sz w:val="24"/>
                <w:highlight w:val="none"/>
              </w:rPr>
              <w:t xml:space="preserve">2</w:t>
            </w:r>
            <w:r>
              <w:rPr>
                <w:color w:val="000000"/>
                <w:sz w:val="24"/>
                <w:highlight w:val="none"/>
              </w:rPr>
            </w:r>
            <w:r/>
          </w:p>
        </w:tc>
        <w:tc>
          <w:tcPr>
            <w:tcW w:w="1014" w:type="dxa"/>
            <w:vAlign w:val="center"/>
            <w:textDirection w:val="lrTb"/>
            <w:noWrap w:val="false"/>
          </w:tcPr>
          <w:p>
            <w:pPr>
              <w:pStyle w:val="1288"/>
              <w:tabs>
                <w:tab w:val="left" w:pos="1080" w:leader="none"/>
              </w:tabs>
              <w:rPr>
                <w:color w:val="000000"/>
                <w:sz w:val="24"/>
                <w:highlight w:val="none"/>
              </w:rPr>
            </w:pPr>
            <w:r>
              <w:rPr>
                <w:color w:val="000000"/>
                <w:sz w:val="24"/>
                <w:highlight w:val="none"/>
              </w:rPr>
              <w:t xml:space="preserve">供应商信用记录</w:t>
            </w:r>
            <w:r>
              <w:rPr>
                <w:color w:val="000000"/>
                <w:sz w:val="24"/>
                <w:highlight w:val="none"/>
              </w:rPr>
            </w:r>
            <w:r/>
          </w:p>
        </w:tc>
        <w:tc>
          <w:tcPr>
            <w:tcW w:w="2533" w:type="dxa"/>
            <w:vAlign w:val="center"/>
            <w:textDirection w:val="lrTb"/>
            <w:noWrap w:val="false"/>
          </w:tcPr>
          <w:p>
            <w:pPr>
              <w:pStyle w:val="1288"/>
              <w:tabs>
                <w:tab w:val="left" w:pos="1080" w:leader="none"/>
              </w:tabs>
              <w:rPr>
                <w:color w:val="000000"/>
                <w:sz w:val="24"/>
                <w:highlight w:val="none"/>
              </w:rPr>
            </w:pPr>
            <w:r>
              <w:rPr>
                <w:color w:val="000000"/>
                <w:sz w:val="24"/>
                <w:highlight w:val="none"/>
              </w:rPr>
              <w:t xml:space="preserve">查询渠道：信用中国网站和中国政府采购网(www.creditchina.gov.cn</w:t>
            </w:r>
            <w:r>
              <w:rPr>
                <w:rFonts w:hint="eastAsia"/>
                <w:color w:val="000000"/>
                <w:sz w:val="24"/>
                <w:highlight w:val="none"/>
              </w:rPr>
              <w:t xml:space="preserve">､</w:t>
            </w:r>
            <w:r>
              <w:rPr>
                <w:color w:val="000000"/>
                <w:sz w:val="24"/>
                <w:highlight w:val="none"/>
              </w:rPr>
              <w:t xml:space="preserve">www.ccgp.gov.cn);</w:t>
            </w:r>
            <w:r>
              <w:rPr>
                <w:color w:val="000000"/>
                <w:sz w:val="24"/>
                <w:highlight w:val="none"/>
              </w:rPr>
            </w:r>
            <w:r/>
          </w:p>
          <w:p>
            <w:pPr>
              <w:pStyle w:val="1288"/>
              <w:tabs>
                <w:tab w:val="left" w:pos="1080" w:leader="none"/>
              </w:tabs>
              <w:rPr>
                <w:color w:val="000000"/>
                <w:sz w:val="24"/>
                <w:highlight w:val="none"/>
              </w:rPr>
            </w:pPr>
            <w:r>
              <w:rPr>
                <w:color w:val="000000"/>
                <w:sz w:val="24"/>
                <w:highlight w:val="none"/>
              </w:rPr>
              <w:t xml:space="preserve">截止时点：提交响应文件截止时间以后、</w:t>
            </w:r>
            <w:r>
              <w:rPr>
                <w:rFonts w:hint="eastAsia"/>
                <w:color w:val="000000"/>
                <w:sz w:val="24"/>
                <w:highlight w:val="none"/>
              </w:rPr>
              <w:t xml:space="preserve">资格审查阶段采购人或采购代理机构</w:t>
            </w:r>
            <w:r>
              <w:rPr>
                <w:color w:val="000000"/>
                <w:sz w:val="24"/>
                <w:highlight w:val="none"/>
              </w:rPr>
              <w:t xml:space="preserve">的实际查询时间；</w:t>
            </w:r>
            <w:r>
              <w:rPr>
                <w:color w:val="000000"/>
                <w:sz w:val="24"/>
                <w:highlight w:val="none"/>
              </w:rPr>
            </w:r>
            <w:r/>
          </w:p>
          <w:p>
            <w:pPr>
              <w:pStyle w:val="1288"/>
              <w:tabs>
                <w:tab w:val="left" w:pos="1080" w:leader="none"/>
              </w:tabs>
              <w:rPr>
                <w:color w:val="000000"/>
                <w:sz w:val="24"/>
                <w:highlight w:val="none"/>
              </w:rPr>
            </w:pPr>
            <w:r>
              <w:rPr>
                <w:color w:val="000000"/>
                <w:sz w:val="24"/>
                <w:highlight w:val="none"/>
              </w:rPr>
              <w:t xml:space="preserve">信用信息查询记录和证据留存具体方式：查询结果网页打印页作为查询记录和证据，与其他采购文件一并保存；</w:t>
            </w:r>
            <w:r>
              <w:rPr>
                <w:color w:val="000000"/>
                <w:sz w:val="24"/>
                <w:highlight w:val="none"/>
              </w:rPr>
            </w:r>
            <w:r/>
          </w:p>
          <w:p>
            <w:pPr>
              <w:pStyle w:val="1288"/>
              <w:tabs>
                <w:tab w:val="left" w:pos="1080" w:leader="none"/>
              </w:tabs>
              <w:rPr>
                <w:color w:val="000000"/>
                <w:sz w:val="24"/>
                <w:highlight w:val="none"/>
              </w:rPr>
            </w:pPr>
            <w:r>
              <w:rPr>
                <w:color w:val="000000"/>
                <w:sz w:val="24"/>
                <w:highlight w:val="none"/>
              </w:rPr>
              <w:t xml:space="preserve">信用信息的使用原则：经认定的被列入失信被执行人、重大税收违法案件当事人名单、政府采购严重违法失信行为记录名单的供应商，其响应无效。联合体形式响应的，联合体成员存在不良信用记录，视同联合体存在不良信用记录。</w:t>
            </w:r>
            <w:r>
              <w:rPr>
                <w:color w:val="000000"/>
                <w:sz w:val="24"/>
                <w:highlight w:val="none"/>
              </w:rPr>
            </w:r>
            <w:r/>
          </w:p>
        </w:tc>
        <w:tc>
          <w:tcPr>
            <w:tcW w:w="1077" w:type="dxa"/>
            <w:vAlign w:val="center"/>
            <w:textDirection w:val="lrTb"/>
            <w:noWrap w:val="false"/>
          </w:tcPr>
          <w:p>
            <w:pPr>
              <w:pStyle w:val="1288"/>
              <w:tabs>
                <w:tab w:val="left" w:pos="1080" w:leader="none"/>
              </w:tabs>
              <w:rPr>
                <w:color w:val="000000"/>
                <w:sz w:val="24"/>
                <w:highlight w:val="none"/>
              </w:rPr>
            </w:pPr>
            <w:r>
              <w:rPr>
                <w:color w:val="000000"/>
                <w:sz w:val="24"/>
                <w:highlight w:val="none"/>
              </w:rPr>
              <w:t xml:space="preserve">无须供应商提供，由</w:t>
            </w:r>
            <w:r>
              <w:rPr>
                <w:rFonts w:hint="eastAsia"/>
                <w:color w:val="000000"/>
                <w:sz w:val="24"/>
                <w:highlight w:val="none"/>
              </w:rPr>
              <w:t xml:space="preserve">采购人</w:t>
            </w:r>
            <w:r>
              <w:rPr>
                <w:color w:val="000000"/>
                <w:sz w:val="24"/>
                <w:highlight w:val="none"/>
              </w:rPr>
              <w:t xml:space="preserve">查询。</w:t>
            </w:r>
            <w:r>
              <w:rPr>
                <w:color w:val="000000"/>
                <w:sz w:val="24"/>
                <w:highlight w:val="none"/>
              </w:rPr>
            </w:r>
            <w:r/>
          </w:p>
        </w:tc>
      </w:tr>
      <w:tr>
        <w:trPr>
          <w:cantSplit/>
          <w:trHeight w:val="20"/>
        </w:trPr>
        <w:tc>
          <w:tcPr>
            <w:tcW w:w="376" w:type="dxa"/>
            <w:vAlign w:val="center"/>
            <w:textDirection w:val="lrTb"/>
            <w:noWrap w:val="false"/>
          </w:tcPr>
          <w:p>
            <w:pPr>
              <w:pStyle w:val="1288"/>
              <w:jc w:val="center"/>
              <w:tabs>
                <w:tab w:val="left" w:pos="1080" w:leader="none"/>
              </w:tabs>
              <w:rPr>
                <w:color w:val="000000"/>
                <w:sz w:val="24"/>
                <w:highlight w:val="none"/>
              </w:rPr>
            </w:pPr>
            <w:r>
              <w:rPr>
                <w:rFonts w:hint="eastAsia"/>
                <w:color w:val="000000"/>
                <w:sz w:val="24"/>
                <w:highlight w:val="none"/>
              </w:rPr>
              <w:t xml:space="preserve">1-3</w:t>
            </w:r>
            <w:r>
              <w:rPr>
                <w:color w:val="000000"/>
                <w:sz w:val="24"/>
                <w:highlight w:val="none"/>
              </w:rPr>
            </w:r>
            <w:r/>
          </w:p>
        </w:tc>
        <w:tc>
          <w:tcPr>
            <w:tcW w:w="1014" w:type="dxa"/>
            <w:vAlign w:val="center"/>
            <w:textDirection w:val="lrTb"/>
            <w:noWrap w:val="false"/>
          </w:tcPr>
          <w:p>
            <w:pPr>
              <w:pStyle w:val="1288"/>
              <w:tabs>
                <w:tab w:val="left" w:pos="1080" w:leader="none"/>
              </w:tabs>
              <w:rPr>
                <w:color w:val="000000"/>
                <w:sz w:val="24"/>
                <w:highlight w:val="none"/>
              </w:rPr>
            </w:pPr>
            <w:r>
              <w:rPr>
                <w:color w:val="000000"/>
                <w:sz w:val="24"/>
                <w:highlight w:val="none"/>
              </w:rPr>
              <w:t xml:space="preserve">《中华人民共和国政府采购法》第二十二条规定及法律法规的其他规定</w:t>
            </w:r>
            <w:r>
              <w:rPr>
                <w:color w:val="000000"/>
                <w:sz w:val="24"/>
                <w:highlight w:val="none"/>
              </w:rPr>
            </w:r>
            <w:r/>
          </w:p>
        </w:tc>
        <w:tc>
          <w:tcPr>
            <w:tcW w:w="2533" w:type="dxa"/>
            <w:vAlign w:val="center"/>
            <w:textDirection w:val="lrTb"/>
            <w:noWrap w:val="false"/>
          </w:tcPr>
          <w:p>
            <w:pPr>
              <w:pStyle w:val="1288"/>
              <w:tabs>
                <w:tab w:val="left" w:pos="1080" w:leader="none"/>
              </w:tabs>
              <w:rPr>
                <w:color w:val="000000"/>
                <w:sz w:val="24"/>
                <w:highlight w:val="none"/>
              </w:rPr>
            </w:pPr>
            <w:r>
              <w:rPr>
                <w:rFonts w:hint="eastAsia"/>
                <w:color w:val="000000"/>
                <w:sz w:val="24"/>
                <w:highlight w:val="none"/>
              </w:rPr>
              <w:t xml:space="preserve">企业营业执照或事业单位法人证书或自然人身份证明文件</w:t>
            </w:r>
            <w:r>
              <w:rPr>
                <w:color w:val="000000"/>
                <w:sz w:val="24"/>
                <w:highlight w:val="none"/>
              </w:rPr>
            </w:r>
            <w:r/>
          </w:p>
        </w:tc>
        <w:tc>
          <w:tcPr>
            <w:tcW w:w="1077" w:type="dxa"/>
            <w:vAlign w:val="center"/>
            <w:textDirection w:val="lrTb"/>
            <w:noWrap w:val="false"/>
          </w:tcPr>
          <w:p>
            <w:pPr>
              <w:pStyle w:val="1288"/>
              <w:tabs>
                <w:tab w:val="left" w:pos="1080" w:leader="none"/>
              </w:tabs>
              <w:rPr>
                <w:color w:val="000000"/>
                <w:sz w:val="24"/>
                <w:highlight w:val="none"/>
              </w:rPr>
            </w:pPr>
            <w:r>
              <w:rPr>
                <w:color w:val="000000"/>
                <w:sz w:val="24"/>
                <w:highlight w:val="none"/>
              </w:rPr>
            </w:r>
            <w:r/>
          </w:p>
        </w:tc>
      </w:tr>
      <w:tr>
        <w:trPr>
          <w:cantSplit/>
          <w:trHeight w:val="20"/>
        </w:trPr>
        <w:tc>
          <w:tcPr>
            <w:tcW w:w="376" w:type="dxa"/>
            <w:vAlign w:val="center"/>
            <w:textDirection w:val="lrTb"/>
            <w:noWrap w:val="false"/>
          </w:tcPr>
          <w:p>
            <w:pPr>
              <w:pStyle w:val="1288"/>
              <w:jc w:val="center"/>
              <w:tabs>
                <w:tab w:val="left" w:pos="1080" w:leader="none"/>
              </w:tabs>
              <w:rPr>
                <w:color w:val="000000"/>
                <w:sz w:val="24"/>
                <w:highlight w:val="none"/>
              </w:rPr>
            </w:pPr>
            <w:r>
              <w:rPr>
                <w:color w:val="000000"/>
                <w:sz w:val="24"/>
                <w:highlight w:val="none"/>
              </w:rPr>
              <w:t xml:space="preserve">2</w:t>
            </w:r>
            <w:r>
              <w:rPr>
                <w:color w:val="000000"/>
                <w:sz w:val="24"/>
                <w:highlight w:val="none"/>
              </w:rPr>
            </w:r>
            <w:r/>
          </w:p>
        </w:tc>
        <w:tc>
          <w:tcPr>
            <w:tcW w:w="1014" w:type="dxa"/>
            <w:vAlign w:val="center"/>
            <w:textDirection w:val="lrTb"/>
            <w:noWrap w:val="false"/>
          </w:tcPr>
          <w:p>
            <w:pPr>
              <w:pStyle w:val="1288"/>
              <w:tabs>
                <w:tab w:val="left" w:pos="1080" w:leader="none"/>
              </w:tabs>
              <w:rPr>
                <w:color w:val="000000"/>
                <w:sz w:val="24"/>
                <w:highlight w:val="none"/>
              </w:rPr>
            </w:pPr>
            <w:r>
              <w:rPr>
                <w:color w:val="000000"/>
                <w:sz w:val="24"/>
                <w:highlight w:val="none"/>
              </w:rPr>
              <w:t xml:space="preserve">落实政府采购政策需满足的资格要求</w:t>
            </w:r>
            <w:r>
              <w:rPr>
                <w:color w:val="000000"/>
                <w:sz w:val="24"/>
                <w:highlight w:val="none"/>
              </w:rPr>
            </w:r>
            <w:r/>
          </w:p>
        </w:tc>
        <w:tc>
          <w:tcPr>
            <w:tcW w:w="2533" w:type="dxa"/>
            <w:vAlign w:val="center"/>
            <w:textDirection w:val="lrTb"/>
            <w:noWrap w:val="false"/>
          </w:tcPr>
          <w:p>
            <w:pPr>
              <w:pStyle w:val="1288"/>
              <w:tabs>
                <w:tab w:val="left" w:pos="1080" w:leader="none"/>
              </w:tabs>
              <w:rPr>
                <w:color w:val="000000"/>
                <w:sz w:val="24"/>
                <w:highlight w:val="none"/>
              </w:rPr>
            </w:pPr>
            <w:r>
              <w:rPr>
                <w:color w:val="000000"/>
                <w:sz w:val="24"/>
                <w:highlight w:val="none"/>
              </w:rPr>
              <w:t xml:space="preserve">具体要求见第一章《采购邀请》</w:t>
            </w:r>
            <w:r>
              <w:rPr>
                <w:color w:val="000000"/>
                <w:sz w:val="24"/>
                <w:highlight w:val="none"/>
              </w:rPr>
            </w:r>
            <w:r/>
          </w:p>
        </w:tc>
        <w:tc>
          <w:tcPr>
            <w:tcW w:w="1077" w:type="dxa"/>
            <w:vAlign w:val="center"/>
            <w:textDirection w:val="lrTb"/>
            <w:noWrap w:val="false"/>
          </w:tcPr>
          <w:p>
            <w:pPr>
              <w:pStyle w:val="1288"/>
              <w:tabs>
                <w:tab w:val="left" w:pos="1080" w:leader="none"/>
              </w:tabs>
              <w:rPr>
                <w:color w:val="000000"/>
                <w:sz w:val="24"/>
                <w:highlight w:val="none"/>
              </w:rPr>
            </w:pPr>
            <w:r>
              <w:rPr>
                <w:color w:val="000000"/>
                <w:sz w:val="24"/>
                <w:highlight w:val="none"/>
              </w:rPr>
            </w:r>
            <w:r/>
          </w:p>
        </w:tc>
      </w:tr>
      <w:tr>
        <w:trPr>
          <w:cantSplit/>
          <w:trHeight w:val="20"/>
        </w:trPr>
        <w:tc>
          <w:tcPr>
            <w:tcW w:w="376" w:type="dxa"/>
            <w:vAlign w:val="center"/>
            <w:textDirection w:val="lrTb"/>
            <w:noWrap w:val="false"/>
          </w:tcPr>
          <w:p>
            <w:pPr>
              <w:pStyle w:val="1288"/>
              <w:jc w:val="center"/>
              <w:tabs>
                <w:tab w:val="left" w:pos="1080" w:leader="none"/>
              </w:tabs>
              <w:rPr>
                <w:color w:val="000000"/>
                <w:sz w:val="24"/>
                <w:highlight w:val="none"/>
              </w:rPr>
            </w:pPr>
            <w:r/>
            <w:bookmarkStart w:id="729" w:name="OLE_LINK60"/>
            <w:r/>
            <w:bookmarkStart w:id="730" w:name="OLE_LINK61"/>
            <w:r>
              <w:rPr>
                <w:rFonts w:hint="eastAsia"/>
                <w:color w:val="000000"/>
                <w:sz w:val="24"/>
                <w:highlight w:val="none"/>
              </w:rPr>
              <w:t xml:space="preserve">2-1</w:t>
            </w:r>
            <w:r>
              <w:rPr>
                <w:color w:val="000000"/>
                <w:sz w:val="24"/>
                <w:highlight w:val="none"/>
              </w:rPr>
            </w:r>
            <w:r/>
          </w:p>
        </w:tc>
        <w:tc>
          <w:tcPr>
            <w:tcW w:w="1014" w:type="dxa"/>
            <w:vAlign w:val="center"/>
            <w:textDirection w:val="lrTb"/>
            <w:noWrap w:val="false"/>
          </w:tcPr>
          <w:p>
            <w:pPr>
              <w:pStyle w:val="1288"/>
              <w:tabs>
                <w:tab w:val="left" w:pos="1080" w:leader="none"/>
              </w:tabs>
              <w:rPr>
                <w:color w:val="000000"/>
                <w:sz w:val="24"/>
                <w:highlight w:val="none"/>
              </w:rPr>
            </w:pPr>
            <w:r>
              <w:rPr>
                <w:color w:val="000000"/>
                <w:sz w:val="24"/>
                <w:highlight w:val="none"/>
              </w:rPr>
              <w:t xml:space="preserve">中小企业声明函</w:t>
            </w:r>
            <w:r>
              <w:rPr>
                <w:color w:val="000000"/>
                <w:sz w:val="24"/>
                <w:highlight w:val="none"/>
              </w:rPr>
            </w:r>
            <w:r/>
          </w:p>
        </w:tc>
        <w:tc>
          <w:tcPr>
            <w:tcW w:w="2533" w:type="dxa"/>
            <w:vAlign w:val="center"/>
            <w:textDirection w:val="lrTb"/>
            <w:noWrap w:val="false"/>
          </w:tcPr>
          <w:p>
            <w:pPr>
              <w:pStyle w:val="1288"/>
              <w:tabs>
                <w:tab w:val="left" w:pos="1080" w:leader="none"/>
              </w:tabs>
              <w:rPr>
                <w:rFonts w:hint="eastAsia"/>
                <w:color w:val="000000"/>
                <w:sz w:val="24"/>
                <w:highlight w:val="none"/>
              </w:rPr>
            </w:pPr>
            <w:r>
              <w:rPr>
                <w:rFonts w:hint="eastAsia"/>
                <w:color w:val="000000"/>
                <w:sz w:val="24"/>
                <w:highlight w:val="none"/>
              </w:rPr>
              <w:t xml:space="preserve">本项目如为非专门面向中小企业采购，中小企业声明函可不在资格审查时提供。</w:t>
            </w:r>
            <w:r>
              <w:rPr>
                <w:rFonts w:hint="eastAsia"/>
                <w:color w:val="000000"/>
                <w:sz w:val="24"/>
                <w:highlight w:val="none"/>
              </w:rPr>
            </w:r>
            <w:r/>
          </w:p>
          <w:p>
            <w:pPr>
              <w:pStyle w:val="1288"/>
              <w:tabs>
                <w:tab w:val="left" w:pos="1080" w:leader="none"/>
              </w:tabs>
              <w:rPr>
                <w:rFonts w:hint="eastAsia"/>
                <w:color w:val="000000"/>
                <w:sz w:val="24"/>
                <w:highlight w:val="none"/>
              </w:rPr>
            </w:pPr>
            <w:r>
              <w:rPr>
                <w:rFonts w:hint="eastAsia"/>
                <w:color w:val="000000"/>
                <w:sz w:val="24"/>
                <w:highlight w:val="none"/>
              </w:rPr>
              <w:t xml:space="preserve">1.供应商单独参与谈判的，应提供中小企业声明函；如为监狱企业或残疾人福利性单位，不必提供中小企业声明函，但须按注1或注2要求提供证明材料。</w:t>
            </w:r>
            <w:r>
              <w:rPr>
                <w:rFonts w:hint="eastAsia"/>
                <w:color w:val="000000"/>
                <w:sz w:val="24"/>
                <w:highlight w:val="none"/>
              </w:rPr>
            </w:r>
            <w:r/>
          </w:p>
          <w:p>
            <w:pPr>
              <w:pStyle w:val="1288"/>
              <w:tabs>
                <w:tab w:val="left" w:pos="1080" w:leader="none"/>
              </w:tabs>
              <w:rPr>
                <w:rFonts w:hint="eastAsia"/>
                <w:color w:val="000000"/>
                <w:sz w:val="24"/>
                <w:highlight w:val="none"/>
              </w:rPr>
            </w:pPr>
            <w:r>
              <w:rPr>
                <w:rFonts w:hint="eastAsia"/>
                <w:color w:val="000000"/>
                <w:sz w:val="24"/>
                <w:highlight w:val="none"/>
              </w:rPr>
              <w:t xml:space="preserve">2.如谈判文件要求以联合体形式参加或者要求合同分包的，且供应商为联合体或拟进行合同分包的，则联合体中的中小企业、签订分包意向协议的中小企业具体情况须在《中小企业声明函》中如实填报。上述中小企业如为监狱企业或残疾人福利性单位应在声明函中如实列明单位性质，并按注1或注2要求提供证明材料。</w:t>
            </w:r>
            <w:r>
              <w:rPr>
                <w:rFonts w:hint="eastAsia"/>
                <w:color w:val="000000"/>
                <w:sz w:val="24"/>
                <w:highlight w:val="none"/>
              </w:rPr>
            </w:r>
            <w:r/>
          </w:p>
          <w:p>
            <w:pPr>
              <w:pStyle w:val="1288"/>
              <w:tabs>
                <w:tab w:val="left" w:pos="1080" w:leader="none"/>
              </w:tabs>
              <w:rPr>
                <w:rFonts w:hint="eastAsia"/>
                <w:color w:val="000000"/>
                <w:sz w:val="24"/>
                <w:highlight w:val="none"/>
              </w:rPr>
            </w:pPr>
            <w:r>
              <w:rPr>
                <w:rFonts w:hint="eastAsia"/>
                <w:color w:val="000000"/>
                <w:sz w:val="24"/>
                <w:highlight w:val="none"/>
              </w:rPr>
              <w:t xml:space="preserve">注1：监狱企业须提供由省级以上监狱管理局（常州市含教育矫治局）、戒毒管理局（含新疆生产建设兵团）出具的属于监狱企业的证明文件。</w:t>
            </w:r>
            <w:r>
              <w:rPr>
                <w:rFonts w:hint="eastAsia"/>
                <w:color w:val="000000"/>
                <w:sz w:val="24"/>
                <w:highlight w:val="none"/>
              </w:rPr>
            </w:r>
            <w:r/>
          </w:p>
          <w:p>
            <w:pPr>
              <w:pStyle w:val="1288"/>
              <w:tabs>
                <w:tab w:val="left" w:pos="1080" w:leader="none"/>
              </w:tabs>
              <w:rPr>
                <w:color w:val="000000"/>
                <w:sz w:val="24"/>
                <w:highlight w:val="none"/>
              </w:rPr>
            </w:pPr>
            <w:r>
              <w:rPr>
                <w:rFonts w:hint="eastAsia"/>
                <w:color w:val="000000"/>
                <w:sz w:val="24"/>
                <w:highlight w:val="none"/>
              </w:rPr>
              <w:t xml:space="preserve">注2：残疾人福利性单位须按谈判文件要求提供《残疾人福利性单位声明函》。</w:t>
            </w:r>
            <w:r>
              <w:rPr>
                <w:color w:val="000000"/>
                <w:sz w:val="24"/>
                <w:highlight w:val="none"/>
              </w:rPr>
            </w:r>
            <w:r/>
          </w:p>
        </w:tc>
        <w:tc>
          <w:tcPr>
            <w:tcW w:w="1077" w:type="dxa"/>
            <w:vAlign w:val="center"/>
            <w:textDirection w:val="lrTb"/>
            <w:noWrap w:val="false"/>
          </w:tcPr>
          <w:p>
            <w:pPr>
              <w:pStyle w:val="1288"/>
              <w:tabs>
                <w:tab w:val="left" w:pos="1080" w:leader="none"/>
              </w:tabs>
              <w:rPr>
                <w:color w:val="000000"/>
                <w:sz w:val="24"/>
                <w:highlight w:val="none"/>
              </w:rPr>
            </w:pPr>
            <w:r>
              <w:rPr>
                <w:color w:val="000000"/>
                <w:sz w:val="24"/>
                <w:highlight w:val="none"/>
              </w:rPr>
              <w:t xml:space="preserve">格式见《响应文件格式》</w:t>
            </w:r>
            <w:r>
              <w:rPr>
                <w:color w:val="000000"/>
                <w:sz w:val="24"/>
                <w:highlight w:val="none"/>
              </w:rPr>
            </w:r>
            <w:r/>
          </w:p>
        </w:tc>
      </w:tr>
      <w:tr>
        <w:trPr>
          <w:cantSplit/>
          <w:trHeight w:val="20"/>
        </w:trPr>
        <w:tc>
          <w:tcPr>
            <w:tcW w:w="376" w:type="dxa"/>
            <w:vAlign w:val="center"/>
            <w:textDirection w:val="lrTb"/>
            <w:noWrap w:val="false"/>
          </w:tcPr>
          <w:p>
            <w:pPr>
              <w:pStyle w:val="1288"/>
              <w:jc w:val="center"/>
              <w:tabs>
                <w:tab w:val="left" w:pos="1080" w:leader="none"/>
              </w:tabs>
              <w:rPr>
                <w:color w:val="000000"/>
                <w:sz w:val="24"/>
                <w:highlight w:val="none"/>
              </w:rPr>
            </w:pPr>
            <w:r/>
            <w:bookmarkEnd w:id="729"/>
            <w:r/>
            <w:bookmarkEnd w:id="730"/>
            <w:r>
              <w:rPr>
                <w:color w:val="000000"/>
                <w:sz w:val="24"/>
                <w:highlight w:val="none"/>
              </w:rPr>
              <w:t xml:space="preserve">2-2</w:t>
            </w:r>
            <w:r>
              <w:rPr>
                <w:color w:val="000000"/>
                <w:sz w:val="24"/>
                <w:highlight w:val="none"/>
              </w:rPr>
            </w:r>
            <w:r/>
          </w:p>
        </w:tc>
        <w:tc>
          <w:tcPr>
            <w:tcW w:w="1014" w:type="dxa"/>
            <w:vAlign w:val="center"/>
            <w:textDirection w:val="lrTb"/>
            <w:noWrap w:val="false"/>
          </w:tcPr>
          <w:p>
            <w:pPr>
              <w:pStyle w:val="1288"/>
              <w:tabs>
                <w:tab w:val="left" w:pos="1080" w:leader="none"/>
              </w:tabs>
              <w:rPr>
                <w:color w:val="000000"/>
                <w:sz w:val="24"/>
                <w:highlight w:val="none"/>
              </w:rPr>
            </w:pPr>
            <w:r>
              <w:rPr>
                <w:color w:val="000000"/>
                <w:sz w:val="24"/>
                <w:highlight w:val="none"/>
              </w:rPr>
              <w:t xml:space="preserve">拟分包情况说明及分包意向协议（类型一）</w:t>
            </w:r>
            <w:r>
              <w:rPr>
                <w:color w:val="000000"/>
                <w:sz w:val="24"/>
                <w:highlight w:val="none"/>
              </w:rPr>
            </w:r>
            <w:r/>
          </w:p>
        </w:tc>
        <w:tc>
          <w:tcPr>
            <w:tcW w:w="2533" w:type="dxa"/>
            <w:vAlign w:val="center"/>
            <w:textDirection w:val="lrTb"/>
            <w:noWrap w:val="false"/>
          </w:tcPr>
          <w:p>
            <w:pPr>
              <w:pStyle w:val="1288"/>
              <w:tabs>
                <w:tab w:val="left" w:pos="1080" w:leader="none"/>
              </w:tabs>
              <w:rPr>
                <w:b/>
                <w:color w:val="000000"/>
                <w:sz w:val="24"/>
                <w:highlight w:val="none"/>
              </w:rPr>
            </w:pPr>
            <w:r>
              <w:rPr>
                <w:rFonts w:hint="eastAsia"/>
                <w:bCs/>
                <w:color w:val="000000"/>
                <w:sz w:val="24"/>
                <w:highlight w:val="none"/>
              </w:rPr>
              <w:t xml:space="preserve">/</w:t>
            </w:r>
            <w:r>
              <w:rPr>
                <w:b/>
                <w:color w:val="000000"/>
                <w:sz w:val="24"/>
                <w:highlight w:val="none"/>
              </w:rPr>
            </w:r>
            <w:r/>
          </w:p>
        </w:tc>
        <w:tc>
          <w:tcPr>
            <w:tcW w:w="1077" w:type="dxa"/>
            <w:vAlign w:val="center"/>
            <w:textDirection w:val="lrTb"/>
            <w:noWrap w:val="false"/>
          </w:tcPr>
          <w:p>
            <w:pPr>
              <w:pStyle w:val="1288"/>
              <w:tabs>
                <w:tab w:val="left" w:pos="1080" w:leader="none"/>
              </w:tabs>
              <w:rPr>
                <w:color w:val="000000"/>
                <w:sz w:val="24"/>
                <w:highlight w:val="none"/>
              </w:rPr>
            </w:pPr>
            <w:r>
              <w:rPr>
                <w:color w:val="000000"/>
                <w:sz w:val="24"/>
                <w:highlight w:val="none"/>
              </w:rPr>
              <w:t xml:space="preserve">格式见《响应文件格式》</w:t>
            </w:r>
            <w:r>
              <w:rPr>
                <w:color w:val="000000"/>
                <w:sz w:val="24"/>
                <w:highlight w:val="none"/>
              </w:rPr>
            </w:r>
            <w:r/>
          </w:p>
        </w:tc>
      </w:tr>
      <w:tr>
        <w:trPr>
          <w:cantSplit/>
          <w:trHeight w:val="20"/>
        </w:trPr>
        <w:tc>
          <w:tcPr>
            <w:tcW w:w="376" w:type="dxa"/>
            <w:vAlign w:val="center"/>
            <w:textDirection w:val="lrTb"/>
            <w:noWrap w:val="false"/>
          </w:tcPr>
          <w:p>
            <w:pPr>
              <w:pStyle w:val="1288"/>
              <w:jc w:val="center"/>
              <w:tabs>
                <w:tab w:val="left" w:pos="1080" w:leader="none"/>
              </w:tabs>
              <w:rPr>
                <w:color w:val="000000"/>
                <w:sz w:val="24"/>
                <w:highlight w:val="none"/>
              </w:rPr>
            </w:pPr>
            <w:r>
              <w:rPr>
                <w:color w:val="000000"/>
                <w:sz w:val="24"/>
                <w:highlight w:val="none"/>
              </w:rPr>
              <w:t xml:space="preserve">2-3</w:t>
            </w:r>
            <w:r>
              <w:rPr>
                <w:color w:val="000000"/>
                <w:sz w:val="24"/>
                <w:highlight w:val="none"/>
              </w:rPr>
            </w:r>
            <w:r/>
          </w:p>
        </w:tc>
        <w:tc>
          <w:tcPr>
            <w:tcW w:w="1014" w:type="dxa"/>
            <w:vAlign w:val="center"/>
            <w:textDirection w:val="lrTb"/>
            <w:noWrap w:val="false"/>
          </w:tcPr>
          <w:p>
            <w:pPr>
              <w:pStyle w:val="1288"/>
              <w:tabs>
                <w:tab w:val="left" w:pos="1080" w:leader="none"/>
              </w:tabs>
              <w:rPr>
                <w:color w:val="000000"/>
                <w:sz w:val="24"/>
                <w:highlight w:val="none"/>
              </w:rPr>
            </w:pPr>
            <w:r>
              <w:rPr>
                <w:color w:val="000000"/>
                <w:sz w:val="24"/>
                <w:highlight w:val="none"/>
              </w:rPr>
              <w:t xml:space="preserve">其它落实政府采购政策的资格要求</w:t>
            </w:r>
            <w:r>
              <w:rPr>
                <w:color w:val="000000"/>
                <w:sz w:val="24"/>
                <w:highlight w:val="none"/>
              </w:rPr>
            </w:r>
            <w:r/>
          </w:p>
        </w:tc>
        <w:tc>
          <w:tcPr>
            <w:tcW w:w="2533" w:type="dxa"/>
            <w:vAlign w:val="center"/>
            <w:textDirection w:val="lrTb"/>
            <w:noWrap w:val="false"/>
          </w:tcPr>
          <w:p>
            <w:pPr>
              <w:pStyle w:val="1288"/>
              <w:tabs>
                <w:tab w:val="left" w:pos="1080" w:leader="none"/>
              </w:tabs>
              <w:rPr>
                <w:color w:val="000000"/>
                <w:sz w:val="24"/>
                <w:highlight w:val="none"/>
              </w:rPr>
            </w:pPr>
            <w:r>
              <w:rPr>
                <w:color w:val="000000"/>
                <w:sz w:val="24"/>
                <w:highlight w:val="none"/>
              </w:rPr>
              <w:t xml:space="preserve">具体要求见第一章《采购邀请》</w:t>
            </w:r>
            <w:r>
              <w:rPr>
                <w:color w:val="000000"/>
                <w:sz w:val="24"/>
                <w:highlight w:val="none"/>
              </w:rPr>
            </w:r>
            <w:r/>
          </w:p>
        </w:tc>
        <w:tc>
          <w:tcPr>
            <w:tcW w:w="1077" w:type="dxa"/>
            <w:vAlign w:val="center"/>
            <w:textDirection w:val="lrTb"/>
            <w:noWrap w:val="false"/>
          </w:tcPr>
          <w:p>
            <w:pPr>
              <w:pStyle w:val="1288"/>
              <w:tabs>
                <w:tab w:val="left" w:pos="1080" w:leader="none"/>
              </w:tabs>
              <w:rPr>
                <w:color w:val="000000"/>
                <w:sz w:val="24"/>
                <w:highlight w:val="none"/>
              </w:rPr>
            </w:pPr>
            <w:r>
              <w:rPr>
                <w:color w:val="000000"/>
                <w:sz w:val="24"/>
                <w:highlight w:val="none"/>
              </w:rPr>
              <w:t xml:space="preserve">提供证明文件</w:t>
            </w:r>
            <w:r>
              <w:rPr>
                <w:rFonts w:hint="eastAsia"/>
                <w:color w:val="000000"/>
                <w:sz w:val="24"/>
                <w:highlight w:val="none"/>
              </w:rPr>
              <w:t xml:space="preserve">扫描件加盖公章</w:t>
            </w:r>
            <w:r>
              <w:rPr>
                <w:color w:val="000000"/>
                <w:sz w:val="24"/>
                <w:highlight w:val="none"/>
              </w:rPr>
            </w:r>
            <w:r/>
          </w:p>
        </w:tc>
      </w:tr>
      <w:tr>
        <w:trPr>
          <w:cantSplit/>
          <w:trHeight w:val="20"/>
        </w:trPr>
        <w:tc>
          <w:tcPr>
            <w:tcW w:w="376" w:type="dxa"/>
            <w:vAlign w:val="center"/>
            <w:textDirection w:val="lrTb"/>
            <w:noWrap w:val="false"/>
          </w:tcPr>
          <w:p>
            <w:pPr>
              <w:pStyle w:val="1288"/>
              <w:jc w:val="center"/>
              <w:tabs>
                <w:tab w:val="left" w:pos="1080" w:leader="none"/>
              </w:tabs>
              <w:rPr>
                <w:color w:val="000000"/>
                <w:sz w:val="24"/>
                <w:highlight w:val="none"/>
              </w:rPr>
            </w:pPr>
            <w:r>
              <w:rPr>
                <w:color w:val="000000"/>
                <w:sz w:val="24"/>
                <w:highlight w:val="none"/>
              </w:rPr>
              <w:t xml:space="preserve">3</w:t>
            </w:r>
            <w:r>
              <w:rPr>
                <w:color w:val="000000"/>
                <w:sz w:val="24"/>
                <w:highlight w:val="none"/>
              </w:rPr>
            </w:r>
            <w:r/>
          </w:p>
        </w:tc>
        <w:tc>
          <w:tcPr>
            <w:tcW w:w="1014" w:type="dxa"/>
            <w:vAlign w:val="center"/>
            <w:textDirection w:val="lrTb"/>
            <w:noWrap w:val="false"/>
          </w:tcPr>
          <w:p>
            <w:pPr>
              <w:pStyle w:val="1288"/>
              <w:tabs>
                <w:tab w:val="left" w:pos="1080" w:leader="none"/>
              </w:tabs>
              <w:rPr>
                <w:color w:val="000000"/>
                <w:sz w:val="24"/>
                <w:highlight w:val="none"/>
              </w:rPr>
            </w:pPr>
            <w:r>
              <w:rPr>
                <w:color w:val="000000"/>
                <w:sz w:val="24"/>
                <w:highlight w:val="none"/>
              </w:rPr>
              <w:t xml:space="preserve">本项目的特定资格要求</w:t>
            </w:r>
            <w:r>
              <w:rPr>
                <w:color w:val="000000"/>
                <w:sz w:val="24"/>
                <w:highlight w:val="none"/>
              </w:rPr>
            </w:r>
            <w:r/>
          </w:p>
        </w:tc>
        <w:tc>
          <w:tcPr>
            <w:tcW w:w="2533" w:type="dxa"/>
            <w:vAlign w:val="center"/>
            <w:textDirection w:val="lrTb"/>
            <w:noWrap w:val="false"/>
          </w:tcPr>
          <w:p>
            <w:pPr>
              <w:pStyle w:val="1288"/>
              <w:tabs>
                <w:tab w:val="left" w:pos="1080" w:leader="none"/>
              </w:tabs>
              <w:rPr>
                <w:color w:val="000000"/>
                <w:sz w:val="24"/>
                <w:highlight w:val="none"/>
              </w:rPr>
            </w:pPr>
            <w:r>
              <w:rPr>
                <w:color w:val="000000"/>
                <w:sz w:val="24"/>
                <w:highlight w:val="none"/>
              </w:rPr>
              <w:t xml:space="preserve">具体要求见第一章《采购邀请》</w:t>
            </w:r>
            <w:r>
              <w:rPr>
                <w:color w:val="000000"/>
                <w:sz w:val="24"/>
                <w:highlight w:val="none"/>
              </w:rPr>
            </w:r>
            <w:r/>
          </w:p>
        </w:tc>
        <w:tc>
          <w:tcPr>
            <w:tcW w:w="1077" w:type="dxa"/>
            <w:vAlign w:val="center"/>
            <w:textDirection w:val="lrTb"/>
            <w:noWrap w:val="false"/>
          </w:tcPr>
          <w:p>
            <w:pPr>
              <w:pStyle w:val="1288"/>
              <w:tabs>
                <w:tab w:val="left" w:pos="1080" w:leader="none"/>
              </w:tabs>
              <w:rPr>
                <w:color w:val="000000"/>
                <w:sz w:val="24"/>
                <w:highlight w:val="none"/>
              </w:rPr>
            </w:pPr>
            <w:r>
              <w:rPr>
                <w:color w:val="000000"/>
                <w:sz w:val="24"/>
                <w:highlight w:val="none"/>
              </w:rPr>
            </w:r>
            <w:r/>
          </w:p>
        </w:tc>
      </w:tr>
      <w:tr>
        <w:trPr>
          <w:cantSplit/>
          <w:trHeight w:val="20"/>
        </w:trPr>
        <w:tc>
          <w:tcPr>
            <w:tcW w:w="376" w:type="dxa"/>
            <w:vAlign w:val="center"/>
            <w:textDirection w:val="lrTb"/>
            <w:noWrap w:val="false"/>
          </w:tcPr>
          <w:p>
            <w:pPr>
              <w:pStyle w:val="1288"/>
              <w:jc w:val="center"/>
              <w:tabs>
                <w:tab w:val="left" w:pos="1080" w:leader="none"/>
              </w:tabs>
              <w:rPr>
                <w:color w:val="000000"/>
                <w:sz w:val="24"/>
                <w:highlight w:val="none"/>
              </w:rPr>
            </w:pPr>
            <w:r>
              <w:rPr>
                <w:color w:val="000000"/>
                <w:sz w:val="24"/>
                <w:highlight w:val="none"/>
              </w:rPr>
              <w:t xml:space="preserve">3-1</w:t>
            </w:r>
            <w:r>
              <w:rPr>
                <w:color w:val="000000"/>
                <w:sz w:val="24"/>
                <w:highlight w:val="none"/>
              </w:rPr>
            </w:r>
            <w:r/>
          </w:p>
        </w:tc>
        <w:tc>
          <w:tcPr>
            <w:tcW w:w="1014" w:type="dxa"/>
            <w:vAlign w:val="center"/>
            <w:textDirection w:val="lrTb"/>
            <w:noWrap w:val="false"/>
          </w:tcPr>
          <w:p>
            <w:pPr>
              <w:pStyle w:val="1288"/>
              <w:tabs>
                <w:tab w:val="left" w:pos="1080" w:leader="none"/>
              </w:tabs>
              <w:rPr>
                <w:color w:val="000000"/>
                <w:sz w:val="24"/>
                <w:highlight w:val="none"/>
              </w:rPr>
            </w:pPr>
            <w:r>
              <w:rPr>
                <w:color w:val="000000"/>
                <w:sz w:val="24"/>
                <w:highlight w:val="none"/>
              </w:rPr>
              <w:t xml:space="preserve">是否接受联合体响应</w:t>
            </w:r>
            <w:r>
              <w:rPr>
                <w:color w:val="000000"/>
                <w:sz w:val="24"/>
                <w:highlight w:val="none"/>
              </w:rPr>
            </w:r>
            <w:r/>
          </w:p>
        </w:tc>
        <w:tc>
          <w:tcPr>
            <w:tcW w:w="2533" w:type="dxa"/>
            <w:vAlign w:val="center"/>
            <w:textDirection w:val="lrTb"/>
            <w:noWrap w:val="false"/>
          </w:tcPr>
          <w:p>
            <w:pPr>
              <w:pStyle w:val="1288"/>
              <w:tabs>
                <w:tab w:val="left" w:pos="1080" w:leader="none"/>
              </w:tabs>
              <w:rPr>
                <w:color w:val="000000"/>
                <w:sz w:val="24"/>
                <w:highlight w:val="none"/>
              </w:rPr>
            </w:pPr>
            <w:r>
              <w:rPr>
                <w:rFonts w:hint="eastAsia"/>
                <w:color w:val="000000"/>
                <w:sz w:val="24"/>
                <w:highlight w:val="none"/>
              </w:rPr>
              <w:t xml:space="preserve">/</w:t>
            </w:r>
            <w:r>
              <w:rPr>
                <w:color w:val="000000"/>
                <w:sz w:val="24"/>
                <w:highlight w:val="none"/>
              </w:rPr>
            </w:r>
            <w:r/>
          </w:p>
        </w:tc>
        <w:tc>
          <w:tcPr>
            <w:tcW w:w="1077" w:type="dxa"/>
            <w:vAlign w:val="center"/>
            <w:textDirection w:val="lrTb"/>
            <w:noWrap w:val="false"/>
          </w:tcPr>
          <w:p>
            <w:pPr>
              <w:pStyle w:val="1288"/>
              <w:tabs>
                <w:tab w:val="left" w:pos="1080" w:leader="none"/>
              </w:tabs>
              <w:rPr>
                <w:color w:val="000000"/>
                <w:sz w:val="24"/>
                <w:highlight w:val="none"/>
              </w:rPr>
            </w:pPr>
            <w:r>
              <w:rPr>
                <w:color w:val="000000"/>
                <w:sz w:val="24"/>
                <w:highlight w:val="none"/>
              </w:rPr>
            </w:r>
            <w:r/>
          </w:p>
        </w:tc>
      </w:tr>
      <w:tr>
        <w:trPr>
          <w:cantSplit/>
          <w:trHeight w:val="20"/>
        </w:trPr>
        <w:tc>
          <w:tcPr>
            <w:tcW w:w="376" w:type="dxa"/>
            <w:vAlign w:val="center"/>
            <w:textDirection w:val="lrTb"/>
            <w:noWrap w:val="false"/>
          </w:tcPr>
          <w:p>
            <w:pPr>
              <w:pStyle w:val="1288"/>
              <w:jc w:val="center"/>
              <w:tabs>
                <w:tab w:val="left" w:pos="1080" w:leader="none"/>
              </w:tabs>
              <w:rPr>
                <w:color w:val="000000"/>
                <w:sz w:val="24"/>
                <w:highlight w:val="none"/>
              </w:rPr>
            </w:pPr>
            <w:r>
              <w:rPr>
                <w:color w:val="000000"/>
                <w:sz w:val="24"/>
                <w:highlight w:val="none"/>
              </w:rPr>
              <w:t xml:space="preserve">3-2</w:t>
            </w:r>
            <w:r>
              <w:rPr>
                <w:color w:val="000000"/>
                <w:sz w:val="24"/>
                <w:highlight w:val="none"/>
              </w:rPr>
            </w:r>
            <w:r/>
          </w:p>
        </w:tc>
        <w:tc>
          <w:tcPr>
            <w:tcW w:w="1014" w:type="dxa"/>
            <w:vAlign w:val="center"/>
            <w:textDirection w:val="lrTb"/>
            <w:noWrap w:val="false"/>
          </w:tcPr>
          <w:p>
            <w:pPr>
              <w:pStyle w:val="1288"/>
              <w:tabs>
                <w:tab w:val="left" w:pos="1080" w:leader="none"/>
              </w:tabs>
              <w:rPr>
                <w:color w:val="000000"/>
                <w:sz w:val="24"/>
                <w:highlight w:val="none"/>
              </w:rPr>
            </w:pPr>
            <w:r>
              <w:rPr>
                <w:color w:val="000000"/>
                <w:sz w:val="24"/>
                <w:highlight w:val="none"/>
              </w:rPr>
              <w:t xml:space="preserve">其他特定资格要求</w:t>
            </w:r>
            <w:r>
              <w:rPr>
                <w:color w:val="000000"/>
                <w:sz w:val="24"/>
                <w:highlight w:val="none"/>
              </w:rPr>
            </w:r>
            <w:r/>
          </w:p>
        </w:tc>
        <w:tc>
          <w:tcPr>
            <w:tcW w:w="2533" w:type="dxa"/>
            <w:vAlign w:val="center"/>
            <w:textDirection w:val="lrTb"/>
            <w:noWrap w:val="false"/>
          </w:tcPr>
          <w:p>
            <w:pPr>
              <w:pStyle w:val="1288"/>
              <w:tabs>
                <w:tab w:val="left" w:pos="1080" w:leader="none"/>
              </w:tabs>
              <w:rPr>
                <w:color w:val="000000"/>
                <w:sz w:val="24"/>
                <w:highlight w:val="none"/>
              </w:rPr>
            </w:pPr>
            <w:r>
              <w:rPr>
                <w:color w:val="000000"/>
                <w:sz w:val="24"/>
                <w:highlight w:val="none"/>
              </w:rPr>
              <w:t xml:space="preserve">具体要求见第一章《采购邀请》</w:t>
            </w:r>
            <w:r>
              <w:rPr>
                <w:color w:val="000000"/>
                <w:sz w:val="24"/>
                <w:highlight w:val="none"/>
              </w:rPr>
            </w:r>
            <w:r/>
          </w:p>
        </w:tc>
        <w:tc>
          <w:tcPr>
            <w:tcW w:w="1077" w:type="dxa"/>
            <w:vAlign w:val="center"/>
            <w:textDirection w:val="lrTb"/>
            <w:noWrap w:val="false"/>
          </w:tcPr>
          <w:p>
            <w:pPr>
              <w:pStyle w:val="1288"/>
              <w:tabs>
                <w:tab w:val="left" w:pos="1080" w:leader="none"/>
              </w:tabs>
              <w:rPr>
                <w:color w:val="000000"/>
                <w:sz w:val="24"/>
                <w:highlight w:val="none"/>
              </w:rPr>
            </w:pPr>
            <w:r>
              <w:rPr>
                <w:color w:val="000000"/>
                <w:sz w:val="24"/>
                <w:highlight w:val="none"/>
              </w:rPr>
              <w:t xml:space="preserve">提供证明文件扫描</w:t>
            </w:r>
            <w:r>
              <w:rPr>
                <w:rFonts w:hint="eastAsia"/>
                <w:color w:val="000000"/>
                <w:sz w:val="24"/>
                <w:highlight w:val="none"/>
              </w:rPr>
              <w:t xml:space="preserve">件加盖公章</w:t>
            </w:r>
            <w:r>
              <w:rPr>
                <w:color w:val="000000"/>
                <w:sz w:val="24"/>
                <w:highlight w:val="none"/>
              </w:rPr>
            </w:r>
            <w:r/>
          </w:p>
        </w:tc>
      </w:tr>
    </w:tbl>
    <w:p>
      <w:pPr>
        <w:pStyle w:val="1288"/>
        <w:jc w:val="left"/>
        <w:widowControl/>
        <w:rPr>
          <w:color w:val="000000"/>
          <w:sz w:val="24"/>
          <w:highlight w:val="none"/>
        </w:rPr>
      </w:pPr>
      <w:r>
        <w:rPr>
          <w:color w:val="000000"/>
          <w:sz w:val="24"/>
          <w:highlight w:val="none"/>
        </w:rPr>
      </w:r>
      <w:r/>
    </w:p>
    <w:p>
      <w:pPr>
        <w:pStyle w:val="1288"/>
        <w:numPr>
          <w:ilvl w:val="1"/>
          <w:numId w:val="8"/>
        </w:numPr>
        <w:ind w:left="1077" w:hanging="720"/>
        <w:spacing w:line="360" w:lineRule="auto"/>
        <w:tabs>
          <w:tab w:val="left" w:pos="1080" w:leader="none"/>
          <w:tab w:val="left" w:pos="1447" w:leader="none"/>
          <w:tab w:val="left" w:pos="1589" w:leader="none"/>
        </w:tabs>
        <w:rPr>
          <w:color w:val="000000"/>
          <w:sz w:val="24"/>
          <w:highlight w:val="none"/>
        </w:rPr>
      </w:pPr>
      <w:r>
        <w:rPr>
          <w:color w:val="000000"/>
          <w:sz w:val="24"/>
          <w:highlight w:val="none"/>
        </w:rPr>
        <w:br w:type="page" w:clear="all"/>
      </w:r>
      <w:r>
        <w:rPr>
          <w:color w:val="000000"/>
          <w:sz w:val="24"/>
          <w:highlight w:val="none"/>
        </w:rPr>
        <w:t xml:space="preserve">《符合性审查要求》见下表：</w:t>
      </w:r>
      <w:r>
        <w:rPr>
          <w:color w:val="000000"/>
          <w:sz w:val="24"/>
          <w:highlight w:val="none"/>
        </w:rPr>
      </w:r>
      <w:r/>
    </w:p>
    <w:p>
      <w:pPr>
        <w:pStyle w:val="1288"/>
        <w:jc w:val="center"/>
        <w:rPr>
          <w:b/>
          <w:color w:val="000000"/>
          <w:sz w:val="24"/>
          <w:highlight w:val="none"/>
        </w:rPr>
      </w:pPr>
      <w:r>
        <w:rPr>
          <w:b/>
          <w:color w:val="000000"/>
          <w:sz w:val="24"/>
          <w:highlight w:val="none"/>
        </w:rPr>
        <w:t xml:space="preserve">符合性审查要求</w:t>
      </w:r>
      <w:r>
        <w:rPr>
          <w:b/>
          <w:color w:val="000000"/>
          <w:sz w:val="24"/>
          <w:highlight w:val="none"/>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49"/>
        <w:gridCol w:w="1812"/>
        <w:gridCol w:w="6727"/>
      </w:tblGrid>
      <w:tr>
        <w:trPr>
          <w:trHeight w:val="300"/>
        </w:trPr>
        <w:tc>
          <w:tcPr>
            <w:tcW w:w="403" w:type="dxa"/>
            <w:vAlign w:val="center"/>
            <w:textDirection w:val="lrTb"/>
            <w:noWrap w:val="false"/>
          </w:tcPr>
          <w:p>
            <w:pPr>
              <w:pStyle w:val="1288"/>
              <w:jc w:val="center"/>
              <w:widowControl/>
              <w:rPr>
                <w:b/>
                <w:color w:val="000000"/>
                <w:sz w:val="24"/>
                <w:highlight w:val="none"/>
              </w:rPr>
            </w:pPr>
            <w:r>
              <w:rPr>
                <w:b/>
                <w:color w:val="000000"/>
                <w:sz w:val="24"/>
                <w:highlight w:val="none"/>
              </w:rPr>
              <w:t xml:space="preserve">序号</w:t>
            </w:r>
            <w:r>
              <w:rPr>
                <w:b/>
                <w:color w:val="000000"/>
                <w:sz w:val="24"/>
                <w:highlight w:val="none"/>
              </w:rPr>
            </w:r>
            <w:r/>
          </w:p>
        </w:tc>
        <w:tc>
          <w:tcPr>
            <w:tcW w:w="975" w:type="dxa"/>
            <w:vAlign w:val="center"/>
            <w:textDirection w:val="lrTb"/>
            <w:noWrap w:val="false"/>
          </w:tcPr>
          <w:p>
            <w:pPr>
              <w:pStyle w:val="1288"/>
              <w:jc w:val="center"/>
              <w:widowControl/>
              <w:rPr>
                <w:b/>
                <w:color w:val="000000"/>
                <w:sz w:val="24"/>
                <w:highlight w:val="none"/>
              </w:rPr>
            </w:pPr>
            <w:r>
              <w:rPr>
                <w:b/>
                <w:color w:val="000000"/>
                <w:sz w:val="24"/>
                <w:highlight w:val="none"/>
              </w:rPr>
              <w:t xml:space="preserve">审查因素</w:t>
            </w:r>
            <w:r>
              <w:rPr>
                <w:b/>
                <w:color w:val="000000"/>
                <w:sz w:val="24"/>
                <w:highlight w:val="none"/>
              </w:rPr>
            </w:r>
            <w:r/>
          </w:p>
        </w:tc>
        <w:tc>
          <w:tcPr>
            <w:tcW w:w="3620" w:type="dxa"/>
            <w:vAlign w:val="center"/>
            <w:textDirection w:val="lrTb"/>
            <w:noWrap w:val="false"/>
          </w:tcPr>
          <w:p>
            <w:pPr>
              <w:pStyle w:val="1288"/>
              <w:jc w:val="center"/>
              <w:widowControl/>
              <w:rPr>
                <w:b/>
                <w:color w:val="000000"/>
                <w:sz w:val="24"/>
                <w:highlight w:val="none"/>
              </w:rPr>
            </w:pPr>
            <w:r>
              <w:rPr>
                <w:b/>
                <w:color w:val="000000"/>
                <w:sz w:val="24"/>
                <w:highlight w:val="none"/>
              </w:rPr>
              <w:t xml:space="preserve">审查内容</w:t>
            </w:r>
            <w:r>
              <w:rPr>
                <w:b/>
                <w:color w:val="000000"/>
                <w:sz w:val="24"/>
                <w:highlight w:val="none"/>
              </w:rPr>
            </w:r>
            <w:r/>
          </w:p>
        </w:tc>
      </w:tr>
      <w:tr>
        <w:trPr>
          <w:trHeight w:val="685"/>
        </w:trPr>
        <w:tc>
          <w:tcPr>
            <w:tcW w:w="403" w:type="dxa"/>
            <w:vAlign w:val="center"/>
            <w:textDirection w:val="lrTb"/>
            <w:noWrap w:val="false"/>
          </w:tcPr>
          <w:p>
            <w:pPr>
              <w:pStyle w:val="1288"/>
              <w:jc w:val="center"/>
              <w:widowControl/>
              <w:rPr>
                <w:color w:val="000000"/>
                <w:sz w:val="24"/>
                <w:highlight w:val="none"/>
              </w:rPr>
            </w:pPr>
            <w:r>
              <w:rPr>
                <w:color w:val="000000"/>
                <w:sz w:val="24"/>
                <w:highlight w:val="none"/>
              </w:rPr>
              <w:t xml:space="preserve">1</w:t>
            </w:r>
            <w:r>
              <w:rPr>
                <w:color w:val="000000"/>
                <w:sz w:val="24"/>
                <w:highlight w:val="none"/>
              </w:rPr>
            </w:r>
            <w:r/>
          </w:p>
        </w:tc>
        <w:tc>
          <w:tcPr>
            <w:tcW w:w="975" w:type="dxa"/>
            <w:vAlign w:val="center"/>
            <w:textDirection w:val="lrTb"/>
            <w:noWrap w:val="false"/>
          </w:tcPr>
          <w:p>
            <w:pPr>
              <w:pStyle w:val="1288"/>
              <w:jc w:val="left"/>
              <w:widowControl/>
              <w:rPr>
                <w:color w:val="000000"/>
                <w:sz w:val="24"/>
                <w:highlight w:val="none"/>
              </w:rPr>
            </w:pPr>
            <w:r>
              <w:rPr>
                <w:rFonts w:hint="eastAsia"/>
                <w:color w:val="000000"/>
                <w:sz w:val="24"/>
                <w:highlight w:val="none"/>
              </w:rPr>
              <w:t xml:space="preserve">响应函、</w:t>
            </w:r>
            <w:r>
              <w:rPr>
                <w:rFonts w:hint="eastAsia"/>
                <w:color w:val="000000"/>
                <w:sz w:val="24"/>
                <w:highlight w:val="none"/>
              </w:rPr>
              <w:t xml:space="preserve">法人授权书和政府采购供应商信用承诺书</w:t>
            </w:r>
            <w:r>
              <w:rPr>
                <w:color w:val="000000"/>
                <w:sz w:val="24"/>
                <w:highlight w:val="none"/>
              </w:rPr>
            </w:r>
            <w:r/>
          </w:p>
        </w:tc>
        <w:tc>
          <w:tcPr>
            <w:tcW w:w="3620" w:type="dxa"/>
            <w:vAlign w:val="center"/>
            <w:textDirection w:val="lrTb"/>
            <w:noWrap w:val="false"/>
          </w:tcPr>
          <w:p>
            <w:pPr>
              <w:pStyle w:val="1288"/>
              <w:jc w:val="left"/>
              <w:widowControl/>
              <w:rPr>
                <w:color w:val="000000"/>
                <w:sz w:val="24"/>
                <w:highlight w:val="none"/>
              </w:rPr>
            </w:pPr>
            <w:r>
              <w:rPr>
                <w:color w:val="000000"/>
                <w:sz w:val="24"/>
                <w:highlight w:val="none"/>
              </w:rPr>
              <w:t xml:space="preserve">按</w:t>
            </w:r>
            <w:r>
              <w:rPr>
                <w:rFonts w:hint="eastAsia"/>
                <w:color w:val="000000"/>
                <w:sz w:val="24"/>
                <w:highlight w:val="none"/>
              </w:rPr>
              <w:t xml:space="preserve">谈判</w:t>
            </w:r>
            <w:r>
              <w:rPr>
                <w:color w:val="000000"/>
                <w:sz w:val="24"/>
                <w:highlight w:val="none"/>
              </w:rPr>
              <w:t xml:space="preserve">文件要求提供</w:t>
            </w:r>
            <w:r>
              <w:rPr>
                <w:rFonts w:hint="eastAsia"/>
                <w:color w:val="000000"/>
                <w:sz w:val="24"/>
                <w:highlight w:val="none"/>
              </w:rPr>
              <w:t xml:space="preserve">响应函、</w:t>
            </w:r>
            <w:r>
              <w:rPr>
                <w:rFonts w:hint="eastAsia"/>
                <w:color w:val="000000"/>
                <w:sz w:val="24"/>
                <w:highlight w:val="none"/>
              </w:rPr>
              <w:t xml:space="preserve">法人授权书和政府采购供应商信用承诺书</w:t>
            </w:r>
            <w:r>
              <w:rPr>
                <w:color w:val="000000"/>
                <w:sz w:val="24"/>
                <w:highlight w:val="none"/>
              </w:rPr>
              <w:t xml:space="preserve">；</w:t>
            </w:r>
            <w:r>
              <w:rPr>
                <w:color w:val="000000"/>
                <w:sz w:val="24"/>
                <w:highlight w:val="none"/>
              </w:rPr>
            </w:r>
            <w:r/>
          </w:p>
        </w:tc>
      </w:tr>
      <w:tr>
        <w:trPr>
          <w:trHeight w:val="685"/>
        </w:trPr>
        <w:tc>
          <w:tcPr>
            <w:tcW w:w="403" w:type="dxa"/>
            <w:vAlign w:val="center"/>
            <w:textDirection w:val="lrTb"/>
            <w:noWrap w:val="false"/>
          </w:tcPr>
          <w:p>
            <w:pPr>
              <w:pStyle w:val="1288"/>
              <w:jc w:val="center"/>
              <w:widowControl/>
              <w:rPr>
                <w:color w:val="000000"/>
                <w:sz w:val="24"/>
                <w:highlight w:val="none"/>
              </w:rPr>
            </w:pPr>
            <w:r>
              <w:rPr>
                <w:color w:val="000000"/>
                <w:sz w:val="24"/>
                <w:highlight w:val="none"/>
              </w:rPr>
              <w:t xml:space="preserve">2</w:t>
            </w:r>
            <w:r>
              <w:rPr>
                <w:color w:val="000000"/>
                <w:sz w:val="24"/>
                <w:highlight w:val="none"/>
              </w:rPr>
            </w:r>
            <w:r/>
          </w:p>
        </w:tc>
        <w:tc>
          <w:tcPr>
            <w:tcW w:w="975" w:type="dxa"/>
            <w:vAlign w:val="center"/>
            <w:textDirection w:val="lrTb"/>
            <w:noWrap w:val="false"/>
          </w:tcPr>
          <w:p>
            <w:pPr>
              <w:pStyle w:val="1288"/>
              <w:jc w:val="left"/>
              <w:widowControl/>
              <w:rPr>
                <w:color w:val="000000"/>
                <w:sz w:val="24"/>
                <w:highlight w:val="none"/>
              </w:rPr>
            </w:pPr>
            <w:r>
              <w:rPr>
                <w:color w:val="000000"/>
                <w:sz w:val="24"/>
                <w:highlight w:val="none"/>
              </w:rPr>
              <w:t xml:space="preserve">响应完整性</w:t>
            </w:r>
            <w:r>
              <w:rPr>
                <w:color w:val="000000"/>
                <w:sz w:val="24"/>
                <w:highlight w:val="none"/>
              </w:rPr>
            </w:r>
            <w:r/>
          </w:p>
        </w:tc>
        <w:tc>
          <w:tcPr>
            <w:tcW w:w="3620" w:type="dxa"/>
            <w:vAlign w:val="center"/>
            <w:textDirection w:val="lrTb"/>
            <w:noWrap w:val="false"/>
          </w:tcPr>
          <w:p>
            <w:pPr>
              <w:pStyle w:val="1288"/>
              <w:jc w:val="left"/>
              <w:widowControl/>
              <w:rPr>
                <w:color w:val="000000"/>
                <w:sz w:val="24"/>
                <w:highlight w:val="none"/>
              </w:rPr>
            </w:pPr>
            <w:r>
              <w:rPr>
                <w:rFonts w:hint="eastAsia"/>
                <w:color w:val="000000"/>
                <w:sz w:val="24"/>
                <w:highlight w:val="none"/>
              </w:rPr>
              <w:t xml:space="preserve">未</w:t>
            </w:r>
            <w:r>
              <w:rPr>
                <w:color w:val="000000"/>
                <w:sz w:val="24"/>
                <w:highlight w:val="none"/>
              </w:rPr>
              <w:t xml:space="preserve">将一个采购包中的内容拆开响应；</w:t>
            </w:r>
            <w:r>
              <w:rPr>
                <w:color w:val="000000"/>
                <w:sz w:val="24"/>
                <w:highlight w:val="none"/>
              </w:rPr>
            </w:r>
            <w:r/>
          </w:p>
        </w:tc>
      </w:tr>
      <w:tr>
        <w:trPr>
          <w:trHeight w:val="685"/>
        </w:trPr>
        <w:tc>
          <w:tcPr>
            <w:tcW w:w="403" w:type="dxa"/>
            <w:vAlign w:val="center"/>
            <w:textDirection w:val="lrTb"/>
            <w:noWrap w:val="false"/>
          </w:tcPr>
          <w:p>
            <w:pPr>
              <w:pStyle w:val="1288"/>
              <w:jc w:val="center"/>
              <w:widowControl/>
              <w:rPr>
                <w:color w:val="000000"/>
                <w:sz w:val="24"/>
                <w:highlight w:val="none"/>
              </w:rPr>
            </w:pPr>
            <w:r>
              <w:rPr>
                <w:color w:val="000000"/>
                <w:sz w:val="24"/>
                <w:highlight w:val="none"/>
              </w:rPr>
              <w:t xml:space="preserve">3</w:t>
            </w:r>
            <w:r>
              <w:rPr>
                <w:color w:val="000000"/>
                <w:sz w:val="24"/>
                <w:highlight w:val="none"/>
              </w:rPr>
            </w:r>
            <w:r/>
          </w:p>
        </w:tc>
        <w:tc>
          <w:tcPr>
            <w:tcW w:w="975" w:type="dxa"/>
            <w:vAlign w:val="center"/>
            <w:textDirection w:val="lrTb"/>
            <w:noWrap w:val="false"/>
          </w:tcPr>
          <w:p>
            <w:pPr>
              <w:pStyle w:val="1288"/>
              <w:jc w:val="left"/>
              <w:widowControl/>
              <w:rPr>
                <w:color w:val="000000"/>
                <w:sz w:val="24"/>
                <w:highlight w:val="none"/>
              </w:rPr>
            </w:pPr>
            <w:r>
              <w:rPr>
                <w:color w:val="000000"/>
                <w:sz w:val="24"/>
                <w:highlight w:val="none"/>
              </w:rPr>
              <w:t xml:space="preserve">响应报价</w:t>
            </w:r>
            <w:r>
              <w:rPr>
                <w:color w:val="000000"/>
                <w:sz w:val="24"/>
                <w:highlight w:val="none"/>
              </w:rPr>
            </w:r>
            <w:r/>
          </w:p>
        </w:tc>
        <w:tc>
          <w:tcPr>
            <w:tcW w:w="3620" w:type="dxa"/>
            <w:vAlign w:val="center"/>
            <w:textDirection w:val="lrTb"/>
            <w:noWrap w:val="false"/>
          </w:tcPr>
          <w:p>
            <w:pPr>
              <w:pStyle w:val="1288"/>
              <w:jc w:val="left"/>
              <w:widowControl/>
              <w:rPr>
                <w:color w:val="000000"/>
                <w:sz w:val="24"/>
                <w:highlight w:val="none"/>
              </w:rPr>
            </w:pPr>
            <w:r>
              <w:rPr>
                <w:color w:val="000000"/>
                <w:sz w:val="24"/>
                <w:highlight w:val="none"/>
              </w:rPr>
              <w:t xml:space="preserve">响应报价</w:t>
            </w:r>
            <w:r>
              <w:rPr>
                <w:rFonts w:hint="eastAsia"/>
                <w:color w:val="000000"/>
                <w:sz w:val="24"/>
                <w:highlight w:val="none"/>
              </w:rPr>
              <w:t xml:space="preserve">未</w:t>
            </w:r>
            <w:r>
              <w:rPr>
                <w:color w:val="000000"/>
                <w:sz w:val="24"/>
                <w:highlight w:val="none"/>
              </w:rPr>
              <w:t xml:space="preserve">超过</w:t>
            </w:r>
            <w:r>
              <w:rPr>
                <w:rFonts w:hint="eastAsia"/>
                <w:color w:val="000000"/>
                <w:sz w:val="24"/>
                <w:highlight w:val="none"/>
              </w:rPr>
              <w:t xml:space="preserve">谈判</w:t>
            </w:r>
            <w:r>
              <w:rPr>
                <w:color w:val="000000"/>
                <w:sz w:val="24"/>
                <w:highlight w:val="none"/>
              </w:rPr>
              <w:t xml:space="preserve">文件中规定的项目/采购包预算金额或者项目/采购包最高限价</w:t>
            </w:r>
            <w:r>
              <w:rPr>
                <w:color w:val="000000"/>
                <w:sz w:val="24"/>
                <w:highlight w:val="none"/>
              </w:rPr>
              <w:t xml:space="preserve">；</w:t>
            </w:r>
            <w:r>
              <w:rPr>
                <w:color w:val="000000"/>
                <w:sz w:val="24"/>
                <w:highlight w:val="none"/>
              </w:rPr>
            </w:r>
            <w:r/>
          </w:p>
        </w:tc>
      </w:tr>
      <w:tr>
        <w:trPr>
          <w:trHeight w:val="685"/>
        </w:trPr>
        <w:tc>
          <w:tcPr>
            <w:tcW w:w="403" w:type="dxa"/>
            <w:vAlign w:val="center"/>
            <w:textDirection w:val="lrTb"/>
            <w:noWrap w:val="false"/>
          </w:tcPr>
          <w:p>
            <w:pPr>
              <w:pStyle w:val="1288"/>
              <w:jc w:val="center"/>
              <w:widowControl/>
              <w:rPr>
                <w:color w:val="000000"/>
                <w:sz w:val="24"/>
                <w:highlight w:val="none"/>
              </w:rPr>
            </w:pPr>
            <w:r>
              <w:rPr>
                <w:color w:val="000000"/>
                <w:sz w:val="24"/>
                <w:highlight w:val="none"/>
              </w:rPr>
              <w:t xml:space="preserve">4</w:t>
            </w:r>
            <w:r>
              <w:rPr>
                <w:color w:val="000000"/>
                <w:sz w:val="24"/>
                <w:highlight w:val="none"/>
              </w:rPr>
            </w:r>
            <w:r/>
          </w:p>
        </w:tc>
        <w:tc>
          <w:tcPr>
            <w:tcW w:w="975" w:type="dxa"/>
            <w:vAlign w:val="center"/>
            <w:textDirection w:val="lrTb"/>
            <w:noWrap w:val="false"/>
          </w:tcPr>
          <w:p>
            <w:pPr>
              <w:pStyle w:val="1288"/>
              <w:jc w:val="left"/>
              <w:widowControl/>
              <w:rPr>
                <w:color w:val="000000"/>
                <w:sz w:val="24"/>
                <w:highlight w:val="none"/>
              </w:rPr>
            </w:pPr>
            <w:r>
              <w:rPr>
                <w:color w:val="000000"/>
                <w:sz w:val="24"/>
                <w:highlight w:val="none"/>
              </w:rPr>
              <w:t xml:space="preserve">报价唯一性</w:t>
            </w:r>
            <w:r>
              <w:rPr>
                <w:color w:val="000000"/>
                <w:sz w:val="24"/>
                <w:highlight w:val="none"/>
              </w:rPr>
            </w:r>
            <w:r/>
          </w:p>
        </w:tc>
        <w:tc>
          <w:tcPr>
            <w:tcW w:w="3620" w:type="dxa"/>
            <w:vAlign w:val="center"/>
            <w:textDirection w:val="lrTb"/>
            <w:noWrap w:val="false"/>
          </w:tcPr>
          <w:p>
            <w:pPr>
              <w:pStyle w:val="1288"/>
              <w:jc w:val="left"/>
              <w:widowControl/>
              <w:rPr>
                <w:color w:val="000000"/>
                <w:sz w:val="24"/>
                <w:highlight w:val="none"/>
              </w:rPr>
            </w:pPr>
            <w:r>
              <w:rPr>
                <w:color w:val="000000"/>
                <w:sz w:val="24"/>
                <w:highlight w:val="none"/>
              </w:rPr>
              <w:t xml:space="preserve">响应文件</w:t>
            </w:r>
            <w:r>
              <w:rPr>
                <w:rFonts w:hint="eastAsia"/>
                <w:color w:val="000000"/>
                <w:sz w:val="24"/>
                <w:highlight w:val="none"/>
              </w:rPr>
              <w:t xml:space="preserve">未</w:t>
            </w:r>
            <w:r>
              <w:rPr>
                <w:rFonts w:hint="eastAsia"/>
                <w:color w:val="000000"/>
                <w:sz w:val="24"/>
                <w:highlight w:val="none"/>
              </w:rPr>
              <w:t xml:space="preserve">出现可选择性或可调整的报价（</w:t>
            </w:r>
            <w:bookmarkStart w:id="731" w:name="OLE_LINK64"/>
            <w:r/>
            <w:bookmarkStart w:id="732" w:name="OLE_LINK63"/>
            <w:r>
              <w:rPr>
                <w:rFonts w:hint="eastAsia"/>
                <w:color w:val="000000"/>
                <w:sz w:val="24"/>
                <w:highlight w:val="none"/>
              </w:rPr>
              <w:t xml:space="preserve">谈判</w:t>
            </w:r>
            <w:bookmarkEnd w:id="731"/>
            <w:r/>
            <w:bookmarkEnd w:id="732"/>
            <w:r>
              <w:rPr>
                <w:rFonts w:hint="eastAsia"/>
                <w:color w:val="000000"/>
                <w:sz w:val="24"/>
                <w:highlight w:val="none"/>
              </w:rPr>
              <w:t xml:space="preserve">文件另有规定的除外）</w:t>
            </w:r>
            <w:r>
              <w:rPr>
                <w:color w:val="000000"/>
                <w:sz w:val="24"/>
                <w:highlight w:val="none"/>
              </w:rPr>
              <w:t xml:space="preserve">；</w:t>
            </w:r>
            <w:r>
              <w:rPr>
                <w:color w:val="000000"/>
                <w:sz w:val="24"/>
                <w:highlight w:val="none"/>
              </w:rPr>
            </w:r>
            <w:r/>
          </w:p>
        </w:tc>
      </w:tr>
      <w:tr>
        <w:trPr>
          <w:trHeight w:val="685"/>
        </w:trPr>
        <w:tc>
          <w:tcPr>
            <w:tcW w:w="403" w:type="dxa"/>
            <w:vAlign w:val="center"/>
            <w:textDirection w:val="lrTb"/>
            <w:noWrap w:val="false"/>
          </w:tcPr>
          <w:p>
            <w:pPr>
              <w:pStyle w:val="1288"/>
              <w:jc w:val="center"/>
              <w:widowControl/>
              <w:rPr>
                <w:color w:val="000000"/>
                <w:sz w:val="24"/>
                <w:highlight w:val="none"/>
              </w:rPr>
            </w:pPr>
            <w:r>
              <w:rPr>
                <w:color w:val="000000"/>
                <w:sz w:val="24"/>
                <w:highlight w:val="none"/>
              </w:rPr>
              <w:t xml:space="preserve">5</w:t>
            </w:r>
            <w:r>
              <w:rPr>
                <w:color w:val="000000"/>
                <w:sz w:val="24"/>
                <w:highlight w:val="none"/>
              </w:rPr>
            </w:r>
            <w:r/>
          </w:p>
        </w:tc>
        <w:tc>
          <w:tcPr>
            <w:tcW w:w="975" w:type="dxa"/>
            <w:vAlign w:val="center"/>
            <w:textDirection w:val="lrTb"/>
            <w:noWrap w:val="false"/>
          </w:tcPr>
          <w:p>
            <w:pPr>
              <w:pStyle w:val="1288"/>
              <w:jc w:val="left"/>
              <w:widowControl/>
              <w:rPr>
                <w:color w:val="000000"/>
                <w:sz w:val="24"/>
                <w:highlight w:val="none"/>
              </w:rPr>
            </w:pPr>
            <w:r>
              <w:rPr>
                <w:color w:val="000000"/>
                <w:sz w:val="24"/>
                <w:highlight w:val="none"/>
              </w:rPr>
              <w:t xml:space="preserve">响应有效期</w:t>
            </w:r>
            <w:r>
              <w:rPr>
                <w:color w:val="000000"/>
                <w:sz w:val="24"/>
                <w:highlight w:val="none"/>
              </w:rPr>
            </w:r>
            <w:r/>
          </w:p>
        </w:tc>
        <w:tc>
          <w:tcPr>
            <w:tcW w:w="3620" w:type="dxa"/>
            <w:vAlign w:val="center"/>
            <w:textDirection w:val="lrTb"/>
            <w:noWrap w:val="false"/>
          </w:tcPr>
          <w:p>
            <w:pPr>
              <w:pStyle w:val="1288"/>
              <w:jc w:val="left"/>
              <w:widowControl/>
              <w:rPr>
                <w:color w:val="000000"/>
                <w:sz w:val="24"/>
                <w:highlight w:val="none"/>
              </w:rPr>
            </w:pPr>
            <w:r>
              <w:rPr>
                <w:color w:val="000000"/>
                <w:sz w:val="24"/>
                <w:highlight w:val="none"/>
              </w:rPr>
              <w:t xml:space="preserve">响应文件中承诺的响应有效期</w:t>
            </w:r>
            <w:r>
              <w:rPr>
                <w:rFonts w:hint="eastAsia"/>
                <w:color w:val="000000"/>
                <w:sz w:val="24"/>
                <w:highlight w:val="none"/>
              </w:rPr>
              <w:t xml:space="preserve">满足</w:t>
            </w:r>
            <w:r>
              <w:rPr>
                <w:rFonts w:hint="eastAsia"/>
                <w:color w:val="000000"/>
                <w:sz w:val="24"/>
                <w:highlight w:val="none"/>
              </w:rPr>
              <w:t xml:space="preserve">谈判</w:t>
            </w:r>
            <w:r>
              <w:rPr>
                <w:color w:val="000000"/>
                <w:sz w:val="24"/>
                <w:highlight w:val="none"/>
              </w:rPr>
              <w:t xml:space="preserve">文件中载明的响应有效期的；</w:t>
            </w:r>
            <w:r>
              <w:rPr>
                <w:color w:val="000000"/>
                <w:sz w:val="24"/>
                <w:highlight w:val="none"/>
              </w:rPr>
            </w:r>
            <w:r/>
          </w:p>
        </w:tc>
      </w:tr>
      <w:tr>
        <w:trPr>
          <w:trHeight w:val="685"/>
        </w:trPr>
        <w:tc>
          <w:tcPr>
            <w:tcW w:w="403" w:type="dxa"/>
            <w:vAlign w:val="center"/>
            <w:textDirection w:val="lrTb"/>
            <w:noWrap w:val="false"/>
          </w:tcPr>
          <w:p>
            <w:pPr>
              <w:pStyle w:val="1288"/>
              <w:jc w:val="center"/>
              <w:widowControl/>
              <w:rPr>
                <w:color w:val="000000"/>
                <w:sz w:val="24"/>
                <w:highlight w:val="none"/>
              </w:rPr>
            </w:pPr>
            <w:r>
              <w:rPr>
                <w:color w:val="000000"/>
                <w:sz w:val="24"/>
                <w:highlight w:val="none"/>
              </w:rPr>
              <w:t xml:space="preserve">6</w:t>
            </w:r>
            <w:r>
              <w:rPr>
                <w:color w:val="000000"/>
                <w:sz w:val="24"/>
                <w:highlight w:val="none"/>
              </w:rPr>
            </w:r>
            <w:r/>
          </w:p>
        </w:tc>
        <w:tc>
          <w:tcPr>
            <w:tcW w:w="975" w:type="dxa"/>
            <w:vAlign w:val="center"/>
            <w:textDirection w:val="lrTb"/>
            <w:noWrap w:val="false"/>
          </w:tcPr>
          <w:p>
            <w:pPr>
              <w:pStyle w:val="1288"/>
              <w:jc w:val="left"/>
              <w:widowControl/>
              <w:rPr>
                <w:color w:val="000000"/>
                <w:sz w:val="24"/>
                <w:highlight w:val="none"/>
              </w:rPr>
            </w:pPr>
            <w:r>
              <w:rPr>
                <w:color w:val="000000"/>
                <w:sz w:val="24"/>
                <w:highlight w:val="none"/>
              </w:rPr>
              <w:t xml:space="preserve">签署、加盖公章</w:t>
            </w:r>
            <w:r>
              <w:rPr>
                <w:color w:val="000000"/>
                <w:sz w:val="24"/>
                <w:highlight w:val="none"/>
              </w:rPr>
            </w:r>
            <w:r/>
          </w:p>
        </w:tc>
        <w:tc>
          <w:tcPr>
            <w:tcW w:w="3620" w:type="dxa"/>
            <w:vAlign w:val="center"/>
            <w:textDirection w:val="lrTb"/>
            <w:noWrap w:val="false"/>
          </w:tcPr>
          <w:p>
            <w:pPr>
              <w:pStyle w:val="1288"/>
              <w:jc w:val="left"/>
              <w:widowControl/>
              <w:rPr>
                <w:color w:val="000000"/>
                <w:sz w:val="24"/>
                <w:highlight w:val="none"/>
              </w:rPr>
            </w:pPr>
            <w:r>
              <w:rPr>
                <w:color w:val="000000"/>
                <w:sz w:val="24"/>
                <w:highlight w:val="none"/>
              </w:rPr>
              <w:t xml:space="preserve">按照</w:t>
            </w:r>
            <w:r>
              <w:rPr>
                <w:rFonts w:hint="eastAsia"/>
                <w:color w:val="000000"/>
                <w:sz w:val="24"/>
                <w:highlight w:val="none"/>
              </w:rPr>
              <w:t xml:space="preserve">谈判</w:t>
            </w:r>
            <w:r>
              <w:rPr>
                <w:color w:val="000000"/>
                <w:sz w:val="24"/>
                <w:highlight w:val="none"/>
              </w:rPr>
              <w:t xml:space="preserve">文件要求签署、加盖公章的；</w:t>
            </w:r>
            <w:r>
              <w:rPr>
                <w:color w:val="000000"/>
                <w:sz w:val="24"/>
                <w:highlight w:val="none"/>
              </w:rPr>
            </w:r>
            <w:r/>
          </w:p>
        </w:tc>
      </w:tr>
      <w:tr>
        <w:trPr>
          <w:trHeight w:val="685"/>
        </w:trPr>
        <w:tc>
          <w:tcPr>
            <w:tcW w:w="403" w:type="dxa"/>
            <w:vAlign w:val="center"/>
            <w:textDirection w:val="lrTb"/>
            <w:noWrap w:val="false"/>
          </w:tcPr>
          <w:p>
            <w:pPr>
              <w:pStyle w:val="1288"/>
              <w:jc w:val="center"/>
              <w:widowControl/>
              <w:rPr>
                <w:color w:val="000000"/>
                <w:sz w:val="24"/>
                <w:highlight w:val="none"/>
              </w:rPr>
            </w:pPr>
            <w:r>
              <w:rPr>
                <w:rFonts w:hint="eastAsia"/>
                <w:color w:val="000000"/>
                <w:sz w:val="24"/>
                <w:highlight w:val="none"/>
              </w:rPr>
              <w:t xml:space="preserve">7</w:t>
            </w:r>
            <w:r>
              <w:rPr>
                <w:color w:val="000000"/>
                <w:sz w:val="24"/>
                <w:highlight w:val="none"/>
              </w:rPr>
            </w:r>
            <w:r/>
          </w:p>
        </w:tc>
        <w:tc>
          <w:tcPr>
            <w:tcW w:w="975" w:type="dxa"/>
            <w:vAlign w:val="center"/>
            <w:textDirection w:val="lrTb"/>
            <w:noWrap w:val="false"/>
          </w:tcPr>
          <w:p>
            <w:pPr>
              <w:pStyle w:val="1288"/>
              <w:jc w:val="left"/>
              <w:widowControl/>
              <w:rPr>
                <w:color w:val="000000"/>
                <w:sz w:val="24"/>
                <w:highlight w:val="none"/>
              </w:rPr>
            </w:pPr>
            <w:r>
              <w:rPr>
                <w:rFonts w:hint="eastAsia"/>
                <w:color w:val="000000"/>
                <w:sz w:val="24"/>
                <w:highlight w:val="none"/>
              </w:rPr>
              <w:t xml:space="preserve">实质性格式</w:t>
            </w:r>
            <w:r>
              <w:rPr>
                <w:color w:val="000000"/>
                <w:sz w:val="24"/>
                <w:highlight w:val="none"/>
              </w:rPr>
            </w:r>
            <w:r/>
          </w:p>
        </w:tc>
        <w:tc>
          <w:tcPr>
            <w:tcW w:w="3620" w:type="dxa"/>
            <w:vAlign w:val="center"/>
            <w:textDirection w:val="lrTb"/>
            <w:noWrap w:val="false"/>
          </w:tcPr>
          <w:p>
            <w:pPr>
              <w:pStyle w:val="1288"/>
              <w:jc w:val="left"/>
              <w:widowControl/>
              <w:rPr>
                <w:color w:val="000000"/>
                <w:sz w:val="24"/>
                <w:highlight w:val="none"/>
              </w:rPr>
            </w:pPr>
            <w:r>
              <w:rPr>
                <w:rFonts w:hint="eastAsia"/>
                <w:color w:val="000000"/>
                <w:sz w:val="24"/>
                <w:highlight w:val="none"/>
              </w:rPr>
              <w:t xml:space="preserve">标记为</w:t>
            </w:r>
            <w:r>
              <w:rPr>
                <w:color w:val="000000"/>
                <w:sz w:val="24"/>
                <w:highlight w:val="none"/>
              </w:rPr>
              <w:t xml:space="preserve">“实质性格式”的</w:t>
            </w:r>
            <w:r>
              <w:rPr>
                <w:rFonts w:hint="eastAsia"/>
                <w:color w:val="000000"/>
                <w:sz w:val="24"/>
                <w:highlight w:val="none"/>
              </w:rPr>
              <w:t xml:space="preserve">文件均按</w:t>
            </w:r>
            <w:r>
              <w:rPr>
                <w:rFonts w:hint="eastAsia"/>
                <w:color w:val="000000"/>
                <w:sz w:val="24"/>
                <w:highlight w:val="none"/>
              </w:rPr>
              <w:t xml:space="preserve">谈判</w:t>
            </w:r>
            <w:r>
              <w:rPr>
                <w:color w:val="000000"/>
                <w:sz w:val="24"/>
                <w:highlight w:val="none"/>
              </w:rPr>
              <w:t xml:space="preserve">文件</w:t>
            </w:r>
            <w:r>
              <w:rPr>
                <w:rFonts w:hint="eastAsia"/>
                <w:color w:val="000000"/>
                <w:sz w:val="24"/>
                <w:highlight w:val="none"/>
              </w:rPr>
              <w:t xml:space="preserve">要求提供；</w:t>
            </w:r>
            <w:r>
              <w:rPr>
                <w:color w:val="000000"/>
                <w:sz w:val="24"/>
                <w:highlight w:val="none"/>
              </w:rPr>
            </w:r>
            <w:r/>
          </w:p>
        </w:tc>
      </w:tr>
      <w:tr>
        <w:trPr>
          <w:trHeight w:val="685"/>
        </w:trPr>
        <w:tc>
          <w:tcPr>
            <w:tcW w:w="403" w:type="dxa"/>
            <w:vAlign w:val="center"/>
            <w:textDirection w:val="lrTb"/>
            <w:noWrap w:val="false"/>
          </w:tcPr>
          <w:p>
            <w:pPr>
              <w:pStyle w:val="1288"/>
              <w:jc w:val="center"/>
              <w:widowControl/>
              <w:rPr>
                <w:color w:val="000000"/>
                <w:sz w:val="24"/>
                <w:highlight w:val="none"/>
              </w:rPr>
            </w:pPr>
            <w:r>
              <w:rPr>
                <w:rFonts w:hint="eastAsia"/>
                <w:color w:val="000000"/>
                <w:sz w:val="24"/>
                <w:highlight w:val="none"/>
              </w:rPr>
              <w:t xml:space="preserve">8</w:t>
            </w:r>
            <w:r>
              <w:rPr>
                <w:color w:val="000000"/>
                <w:sz w:val="24"/>
                <w:highlight w:val="none"/>
              </w:rPr>
            </w:r>
            <w:r/>
          </w:p>
        </w:tc>
        <w:tc>
          <w:tcPr>
            <w:tcW w:w="975" w:type="dxa"/>
            <w:vAlign w:val="center"/>
            <w:textDirection w:val="lrTb"/>
            <w:noWrap w:val="false"/>
          </w:tcPr>
          <w:p>
            <w:pPr>
              <w:pStyle w:val="1288"/>
              <w:jc w:val="left"/>
              <w:widowControl/>
              <w:rPr>
                <w:color w:val="000000"/>
                <w:sz w:val="24"/>
                <w:highlight w:val="none"/>
              </w:rPr>
            </w:pPr>
            <w:r>
              <w:rPr>
                <w:color w:val="000000"/>
                <w:sz w:val="24"/>
                <w:highlight w:val="none"/>
              </w:rPr>
              <w:t xml:space="preserve">报价的修正（如有）</w:t>
            </w:r>
            <w:r>
              <w:rPr>
                <w:color w:val="000000"/>
                <w:sz w:val="24"/>
                <w:highlight w:val="none"/>
              </w:rPr>
            </w:r>
            <w:r/>
          </w:p>
        </w:tc>
        <w:tc>
          <w:tcPr>
            <w:tcW w:w="3620" w:type="dxa"/>
            <w:vAlign w:val="center"/>
            <w:textDirection w:val="lrTb"/>
            <w:noWrap w:val="false"/>
          </w:tcPr>
          <w:p>
            <w:pPr>
              <w:pStyle w:val="1288"/>
              <w:jc w:val="left"/>
              <w:widowControl/>
              <w:rPr>
                <w:color w:val="000000"/>
                <w:sz w:val="24"/>
                <w:highlight w:val="none"/>
              </w:rPr>
            </w:pPr>
            <w:r>
              <w:rPr>
                <w:rFonts w:hint="eastAsia"/>
                <w:color w:val="000000"/>
                <w:sz w:val="24"/>
                <w:highlight w:val="none"/>
              </w:rPr>
              <w:t xml:space="preserve">不涉及报价修正</w:t>
            </w:r>
            <w:r>
              <w:rPr>
                <w:color w:val="000000"/>
                <w:sz w:val="24"/>
                <w:highlight w:val="none"/>
              </w:rPr>
              <w:t xml:space="preserve">，或响应文件报价出现前后不一致</w:t>
            </w:r>
            <w:r>
              <w:rPr>
                <w:rFonts w:hint="eastAsia"/>
                <w:color w:val="000000"/>
                <w:sz w:val="24"/>
                <w:highlight w:val="none"/>
              </w:rPr>
              <w:t xml:space="preserve">时</w:t>
            </w:r>
            <w:r>
              <w:rPr>
                <w:color w:val="000000"/>
                <w:sz w:val="24"/>
                <w:highlight w:val="none"/>
              </w:rPr>
              <w:t xml:space="preserve">，供应商对修正后的报价予</w:t>
            </w:r>
            <w:r>
              <w:rPr>
                <w:rFonts w:hint="eastAsia"/>
                <w:color w:val="000000"/>
                <w:sz w:val="24"/>
                <w:highlight w:val="none"/>
              </w:rPr>
              <w:t xml:space="preserve">以</w:t>
            </w:r>
            <w:r>
              <w:rPr>
                <w:color w:val="000000"/>
                <w:sz w:val="24"/>
                <w:highlight w:val="none"/>
              </w:rPr>
              <w:t xml:space="preserve">确认；（如有）</w:t>
            </w:r>
            <w:r>
              <w:rPr>
                <w:color w:val="000000"/>
                <w:sz w:val="24"/>
                <w:highlight w:val="none"/>
              </w:rPr>
            </w:r>
            <w:r/>
          </w:p>
        </w:tc>
      </w:tr>
      <w:tr>
        <w:trPr>
          <w:trHeight w:val="685"/>
        </w:trPr>
        <w:tc>
          <w:tcPr>
            <w:tcW w:w="403" w:type="dxa"/>
            <w:vAlign w:val="center"/>
            <w:textDirection w:val="lrTb"/>
            <w:noWrap w:val="false"/>
          </w:tcPr>
          <w:p>
            <w:pPr>
              <w:pStyle w:val="1288"/>
              <w:jc w:val="center"/>
              <w:widowControl/>
              <w:rPr>
                <w:rFonts w:hint="eastAsia"/>
                <w:color w:val="000000"/>
                <w:sz w:val="24"/>
                <w:highlight w:val="none"/>
              </w:rPr>
            </w:pPr>
            <w:r>
              <w:rPr>
                <w:rFonts w:hint="eastAsia"/>
                <w:color w:val="000000"/>
                <w:sz w:val="24"/>
                <w:highlight w:val="none"/>
              </w:rPr>
              <w:t xml:space="preserve">9</w:t>
            </w:r>
            <w:r>
              <w:rPr>
                <w:rFonts w:hint="eastAsia"/>
                <w:color w:val="000000"/>
                <w:sz w:val="24"/>
                <w:highlight w:val="none"/>
              </w:rPr>
            </w:r>
            <w:r/>
          </w:p>
        </w:tc>
        <w:tc>
          <w:tcPr>
            <w:tcW w:w="975" w:type="dxa"/>
            <w:vAlign w:val="center"/>
            <w:textDirection w:val="lrTb"/>
            <w:noWrap w:val="false"/>
          </w:tcPr>
          <w:p>
            <w:pPr>
              <w:pStyle w:val="1288"/>
              <w:jc w:val="left"/>
              <w:widowControl/>
              <w:rPr>
                <w:color w:val="000000"/>
                <w:sz w:val="24"/>
                <w:highlight w:val="none"/>
              </w:rPr>
            </w:pPr>
            <w:r>
              <w:rPr>
                <w:rFonts w:hint="eastAsia"/>
                <w:color w:val="000000"/>
                <w:sz w:val="24"/>
                <w:highlight w:val="none"/>
              </w:rPr>
              <w:t xml:space="preserve">报价合理性</w:t>
            </w:r>
            <w:r>
              <w:rPr>
                <w:color w:val="000000"/>
                <w:sz w:val="24"/>
                <w:highlight w:val="none"/>
              </w:rPr>
            </w:r>
            <w:r/>
          </w:p>
        </w:tc>
        <w:tc>
          <w:tcPr>
            <w:tcW w:w="3620" w:type="dxa"/>
            <w:vAlign w:val="center"/>
            <w:textDirection w:val="lrTb"/>
            <w:noWrap w:val="false"/>
          </w:tcPr>
          <w:p>
            <w:pPr>
              <w:pStyle w:val="1288"/>
              <w:jc w:val="left"/>
              <w:widowControl/>
              <w:rPr>
                <w:rFonts w:hint="eastAsia"/>
                <w:color w:val="000000"/>
                <w:sz w:val="24"/>
                <w:highlight w:val="none"/>
              </w:rPr>
            </w:pPr>
            <w:r>
              <w:rPr>
                <w:rFonts w:hint="eastAsia"/>
                <w:color w:val="000000"/>
                <w:sz w:val="24"/>
                <w:highlight w:val="none"/>
              </w:rPr>
              <w:t xml:space="preserve">报价合理，或供应商的报价明显低于其他通过符合性审查供应商的报价，有可能影响产品质量或者不能诚信履约的，能够应谈判小组要求在规定时间内证明其报价合理性的；</w:t>
            </w:r>
            <w:r>
              <w:rPr>
                <w:rFonts w:hint="eastAsia"/>
                <w:color w:val="000000"/>
                <w:sz w:val="24"/>
                <w:highlight w:val="none"/>
              </w:rPr>
            </w:r>
            <w:r/>
          </w:p>
        </w:tc>
      </w:tr>
      <w:tr>
        <w:trPr>
          <w:trHeight w:val="685"/>
        </w:trPr>
        <w:tc>
          <w:tcPr>
            <w:tcW w:w="403" w:type="dxa"/>
            <w:vAlign w:val="center"/>
            <w:textDirection w:val="lrTb"/>
            <w:noWrap w:val="false"/>
          </w:tcPr>
          <w:p>
            <w:pPr>
              <w:pStyle w:val="1288"/>
              <w:jc w:val="center"/>
              <w:widowControl/>
              <w:rPr>
                <w:rFonts w:hint="eastAsia"/>
                <w:color w:val="000000"/>
                <w:sz w:val="24"/>
                <w:highlight w:val="none"/>
              </w:rPr>
            </w:pPr>
            <w:r>
              <w:rPr>
                <w:rFonts w:hint="eastAsia"/>
                <w:color w:val="000000"/>
                <w:sz w:val="24"/>
                <w:highlight w:val="none"/>
              </w:rPr>
              <w:t xml:space="preserve">10</w:t>
            </w:r>
            <w:r>
              <w:rPr>
                <w:rFonts w:hint="eastAsia"/>
                <w:color w:val="000000"/>
                <w:sz w:val="24"/>
                <w:highlight w:val="none"/>
              </w:rPr>
            </w:r>
            <w:r/>
          </w:p>
        </w:tc>
        <w:tc>
          <w:tcPr>
            <w:tcW w:w="975" w:type="dxa"/>
            <w:vAlign w:val="center"/>
            <w:textDirection w:val="lrTb"/>
            <w:noWrap w:val="false"/>
          </w:tcPr>
          <w:p>
            <w:pPr>
              <w:pStyle w:val="1288"/>
              <w:jc w:val="left"/>
              <w:widowControl/>
              <w:rPr>
                <w:color w:val="000000"/>
                <w:sz w:val="24"/>
                <w:highlight w:val="none"/>
              </w:rPr>
            </w:pPr>
            <w:r>
              <w:rPr>
                <w:color w:val="000000"/>
                <w:sz w:val="24"/>
                <w:highlight w:val="none"/>
              </w:rPr>
              <w:t xml:space="preserve">公平竞争</w:t>
            </w:r>
            <w:r>
              <w:rPr>
                <w:color w:val="000000"/>
                <w:sz w:val="24"/>
                <w:highlight w:val="none"/>
              </w:rPr>
            </w:r>
            <w:r/>
          </w:p>
        </w:tc>
        <w:tc>
          <w:tcPr>
            <w:tcW w:w="3620" w:type="dxa"/>
            <w:vAlign w:val="center"/>
            <w:textDirection w:val="lrTb"/>
            <w:noWrap w:val="false"/>
          </w:tcPr>
          <w:p>
            <w:pPr>
              <w:pStyle w:val="1288"/>
              <w:jc w:val="left"/>
              <w:widowControl/>
              <w:rPr>
                <w:color w:val="000000"/>
                <w:sz w:val="24"/>
                <w:highlight w:val="none"/>
              </w:rPr>
            </w:pPr>
            <w:r>
              <w:rPr>
                <w:color w:val="000000"/>
                <w:sz w:val="24"/>
                <w:highlight w:val="none"/>
              </w:rPr>
              <w:t xml:space="preserve">供应商遵循公平竞争的原则，不存在恶意串通，妨碍其他供应商的竞争行为，不存在损害采购人或者其他供应商的合法权益情形的；</w:t>
            </w:r>
            <w:r>
              <w:rPr>
                <w:color w:val="000000"/>
                <w:sz w:val="24"/>
                <w:highlight w:val="none"/>
              </w:rPr>
            </w:r>
            <w:r/>
          </w:p>
        </w:tc>
      </w:tr>
      <w:tr>
        <w:trPr>
          <w:trHeight w:val="685"/>
        </w:trPr>
        <w:tc>
          <w:tcPr>
            <w:tcW w:w="403" w:type="dxa"/>
            <w:vAlign w:val="center"/>
            <w:textDirection w:val="lrTb"/>
            <w:noWrap w:val="false"/>
          </w:tcPr>
          <w:p>
            <w:pPr>
              <w:pStyle w:val="1288"/>
              <w:jc w:val="center"/>
              <w:widowControl/>
              <w:rPr>
                <w:color w:val="000000"/>
                <w:sz w:val="24"/>
                <w:highlight w:val="none"/>
              </w:rPr>
            </w:pPr>
            <w:r>
              <w:rPr>
                <w:rFonts w:hint="eastAsia"/>
                <w:color w:val="000000"/>
                <w:sz w:val="24"/>
                <w:highlight w:val="none"/>
              </w:rPr>
              <w:t xml:space="preserve">11</w:t>
            </w:r>
            <w:r>
              <w:rPr>
                <w:color w:val="000000"/>
                <w:sz w:val="24"/>
                <w:highlight w:val="none"/>
              </w:rPr>
            </w:r>
            <w:r/>
          </w:p>
        </w:tc>
        <w:tc>
          <w:tcPr>
            <w:tcW w:w="975" w:type="dxa"/>
            <w:vAlign w:val="center"/>
            <w:textDirection w:val="lrTb"/>
            <w:noWrap w:val="false"/>
          </w:tcPr>
          <w:p>
            <w:pPr>
              <w:pStyle w:val="1288"/>
              <w:jc w:val="left"/>
              <w:widowControl/>
              <w:rPr>
                <w:color w:val="000000"/>
                <w:sz w:val="24"/>
                <w:highlight w:val="none"/>
              </w:rPr>
            </w:pPr>
            <w:r>
              <w:rPr>
                <w:color w:val="000000"/>
                <w:sz w:val="24"/>
                <w:highlight w:val="none"/>
              </w:rPr>
              <w:t xml:space="preserve">附加条件</w:t>
            </w:r>
            <w:r>
              <w:rPr>
                <w:color w:val="000000"/>
                <w:sz w:val="24"/>
                <w:highlight w:val="none"/>
              </w:rPr>
            </w:r>
            <w:r/>
          </w:p>
        </w:tc>
        <w:tc>
          <w:tcPr>
            <w:tcW w:w="3620" w:type="dxa"/>
            <w:vAlign w:val="center"/>
            <w:textDirection w:val="lrTb"/>
            <w:noWrap w:val="false"/>
          </w:tcPr>
          <w:p>
            <w:pPr>
              <w:pStyle w:val="1288"/>
              <w:jc w:val="left"/>
              <w:widowControl/>
              <w:rPr>
                <w:color w:val="000000"/>
                <w:sz w:val="24"/>
                <w:highlight w:val="none"/>
              </w:rPr>
            </w:pPr>
            <w:r/>
            <w:bookmarkStart w:id="733" w:name="OLE_LINK66"/>
            <w:r>
              <w:rPr>
                <w:color w:val="000000"/>
                <w:sz w:val="24"/>
                <w:highlight w:val="none"/>
              </w:rPr>
              <w:t xml:space="preserve">响应</w:t>
            </w:r>
            <w:bookmarkEnd w:id="733"/>
            <w:r>
              <w:rPr>
                <w:color w:val="000000"/>
                <w:sz w:val="24"/>
                <w:highlight w:val="none"/>
              </w:rPr>
              <w:t xml:space="preserve">文件</w:t>
            </w:r>
            <w:r>
              <w:rPr>
                <w:rFonts w:hint="eastAsia"/>
                <w:color w:val="000000"/>
                <w:sz w:val="24"/>
                <w:highlight w:val="none"/>
              </w:rPr>
              <w:t xml:space="preserve">未</w:t>
            </w:r>
            <w:r>
              <w:rPr>
                <w:color w:val="000000"/>
                <w:sz w:val="24"/>
                <w:highlight w:val="none"/>
              </w:rPr>
              <w:t xml:space="preserve">含有采购人不能接受的附加条件的；</w:t>
            </w:r>
            <w:r>
              <w:rPr>
                <w:color w:val="000000"/>
                <w:sz w:val="24"/>
                <w:highlight w:val="none"/>
              </w:rPr>
            </w:r>
            <w:r/>
          </w:p>
        </w:tc>
      </w:tr>
      <w:tr>
        <w:trPr>
          <w:trHeight w:val="685"/>
        </w:trPr>
        <w:tc>
          <w:tcPr>
            <w:tcW w:w="403" w:type="dxa"/>
            <w:vAlign w:val="center"/>
            <w:textDirection w:val="lrTb"/>
            <w:noWrap w:val="false"/>
          </w:tcPr>
          <w:p>
            <w:pPr>
              <w:pStyle w:val="1288"/>
              <w:jc w:val="center"/>
              <w:widowControl/>
              <w:rPr>
                <w:rFonts w:hint="eastAsia"/>
                <w:color w:val="000000"/>
                <w:sz w:val="24"/>
                <w:highlight w:val="none"/>
              </w:rPr>
            </w:pPr>
            <w:r>
              <w:rPr>
                <w:rFonts w:hint="eastAsia"/>
                <w:color w:val="000000"/>
                <w:sz w:val="24"/>
                <w:highlight w:val="none"/>
              </w:rPr>
              <w:t xml:space="preserve">12</w:t>
            </w:r>
            <w:r>
              <w:rPr>
                <w:rFonts w:hint="eastAsia"/>
                <w:color w:val="000000"/>
                <w:sz w:val="24"/>
                <w:highlight w:val="none"/>
              </w:rPr>
            </w:r>
            <w:r/>
          </w:p>
        </w:tc>
        <w:tc>
          <w:tcPr>
            <w:tcW w:w="975" w:type="dxa"/>
            <w:vAlign w:val="center"/>
            <w:textDirection w:val="lrTb"/>
            <w:noWrap w:val="false"/>
          </w:tcPr>
          <w:p>
            <w:pPr>
              <w:pStyle w:val="1288"/>
              <w:jc w:val="left"/>
              <w:widowControl/>
              <w:rPr>
                <w:color w:val="000000"/>
                <w:sz w:val="24"/>
                <w:highlight w:val="none"/>
              </w:rPr>
            </w:pPr>
            <w:r>
              <w:rPr>
                <w:color w:val="000000"/>
                <w:sz w:val="24"/>
                <w:highlight w:val="none"/>
              </w:rPr>
              <w:t xml:space="preserve">其他无效情形</w:t>
            </w:r>
            <w:r>
              <w:rPr>
                <w:color w:val="000000"/>
                <w:sz w:val="24"/>
                <w:highlight w:val="none"/>
              </w:rPr>
            </w:r>
            <w:r/>
          </w:p>
        </w:tc>
        <w:tc>
          <w:tcPr>
            <w:tcW w:w="3620" w:type="dxa"/>
            <w:vAlign w:val="center"/>
            <w:textDirection w:val="lrTb"/>
            <w:noWrap w:val="false"/>
          </w:tcPr>
          <w:p>
            <w:pPr>
              <w:pStyle w:val="1288"/>
              <w:jc w:val="left"/>
              <w:widowControl/>
              <w:rPr>
                <w:color w:val="000000"/>
                <w:sz w:val="24"/>
                <w:highlight w:val="none"/>
              </w:rPr>
            </w:pPr>
            <w:r>
              <w:rPr>
                <w:color w:val="000000"/>
                <w:sz w:val="24"/>
                <w:highlight w:val="none"/>
              </w:rPr>
              <w:t xml:space="preserve">供应商、响应文件</w:t>
            </w:r>
            <w:r>
              <w:rPr>
                <w:rFonts w:hint="eastAsia"/>
                <w:color w:val="000000"/>
                <w:sz w:val="24"/>
                <w:highlight w:val="none"/>
              </w:rPr>
              <w:t xml:space="preserve">不存在</w:t>
            </w:r>
            <w:r>
              <w:rPr>
                <w:color w:val="000000"/>
                <w:sz w:val="24"/>
                <w:highlight w:val="none"/>
              </w:rPr>
              <w:t xml:space="preserve">不符合法律、法规和谈判文件规定的其他无效情形。</w:t>
            </w:r>
            <w:r>
              <w:rPr>
                <w:color w:val="000000"/>
                <w:sz w:val="24"/>
                <w:highlight w:val="none"/>
              </w:rPr>
            </w:r>
            <w:r/>
          </w:p>
        </w:tc>
      </w:tr>
      <w:tr>
        <w:trPr>
          <w:trHeight w:val="685"/>
        </w:trPr>
        <w:tc>
          <w:tcPr>
            <w:tcW w:w="403" w:type="dxa"/>
            <w:vAlign w:val="center"/>
            <w:textDirection w:val="lrTb"/>
            <w:noWrap w:val="false"/>
          </w:tcPr>
          <w:p>
            <w:pPr>
              <w:pStyle w:val="1288"/>
              <w:jc w:val="center"/>
              <w:widowControl/>
              <w:rPr>
                <w:rFonts w:hint="eastAsia"/>
                <w:color w:val="000000"/>
                <w:sz w:val="24"/>
                <w:highlight w:val="none"/>
              </w:rPr>
            </w:pPr>
            <w:r>
              <w:rPr>
                <w:rFonts w:hint="eastAsia"/>
                <w:color w:val="000000"/>
                <w:sz w:val="24"/>
                <w:highlight w:val="none"/>
              </w:rPr>
              <w:t xml:space="preserve">13</w:t>
            </w:r>
            <w:r>
              <w:rPr>
                <w:rFonts w:hint="eastAsia"/>
                <w:color w:val="000000"/>
                <w:sz w:val="24"/>
                <w:highlight w:val="none"/>
              </w:rPr>
            </w:r>
            <w:r/>
          </w:p>
        </w:tc>
        <w:tc>
          <w:tcPr>
            <w:tcW w:w="975" w:type="dxa"/>
            <w:vAlign w:val="center"/>
            <w:textDirection w:val="lrTb"/>
            <w:noWrap w:val="false"/>
          </w:tcPr>
          <w:p>
            <w:pPr>
              <w:pStyle w:val="1288"/>
              <w:jc w:val="left"/>
              <w:widowControl/>
              <w:rPr>
                <w:color w:val="000000"/>
                <w:sz w:val="24"/>
                <w:highlight w:val="none"/>
              </w:rPr>
            </w:pPr>
            <w:r>
              <w:rPr>
                <w:rFonts w:hint="eastAsia" w:ascii="宋体" w:hAnsi="宋体" w:cs="Segoe UI Symbol"/>
                <w:color w:val="000000"/>
                <w:sz w:val="24"/>
                <w:highlight w:val="none"/>
              </w:rPr>
              <w:t xml:space="preserve">实质性</w:t>
            </w:r>
            <w:r>
              <w:rPr>
                <w:rFonts w:ascii="宋体" w:hAnsi="宋体"/>
                <w:color w:val="000000"/>
                <w:sz w:val="24"/>
                <w:highlight w:val="none"/>
              </w:rPr>
              <w:t xml:space="preserve">条款</w:t>
            </w:r>
            <w:r>
              <w:rPr>
                <w:color w:val="000000"/>
                <w:sz w:val="24"/>
                <w:highlight w:val="none"/>
              </w:rPr>
            </w:r>
            <w:r/>
          </w:p>
        </w:tc>
        <w:tc>
          <w:tcPr>
            <w:tcW w:w="3620" w:type="dxa"/>
            <w:vAlign w:val="center"/>
            <w:textDirection w:val="lrTb"/>
            <w:noWrap w:val="false"/>
          </w:tcPr>
          <w:p>
            <w:pPr>
              <w:pStyle w:val="1288"/>
              <w:jc w:val="left"/>
              <w:widowControl/>
              <w:rPr>
                <w:color w:val="000000"/>
                <w:sz w:val="24"/>
                <w:highlight w:val="none"/>
              </w:rPr>
            </w:pPr>
            <w:r>
              <w:rPr>
                <w:color w:val="000000"/>
                <w:sz w:val="24"/>
                <w:highlight w:val="none"/>
              </w:rPr>
              <w:t xml:space="preserve">响应</w:t>
            </w:r>
            <w:r>
              <w:rPr>
                <w:rFonts w:hint="eastAsia"/>
                <w:color w:val="000000"/>
                <w:sz w:val="24"/>
                <w:highlight w:val="none"/>
              </w:rPr>
              <w:t xml:space="preserve">文件满足谈判文件第四章《采购需求》中实质性条款（斜体且有下划线部分的、或者加“★”号的、或者以文字说明属于实质性要求的内容）要求的，逐项提供相关证明材料；</w:t>
            </w:r>
            <w:r>
              <w:rPr>
                <w:color w:val="000000"/>
                <w:sz w:val="24"/>
                <w:highlight w:val="none"/>
              </w:rPr>
            </w:r>
            <w:r/>
          </w:p>
        </w:tc>
      </w:tr>
    </w:tbl>
    <w:p>
      <w:pPr>
        <w:pStyle w:val="1288"/>
        <w:ind w:left="0" w:firstLine="0"/>
        <w:spacing w:line="360" w:lineRule="auto"/>
        <w:tabs>
          <w:tab w:val="left" w:pos="360" w:leader="none"/>
          <w:tab w:val="left" w:pos="900" w:leader="none"/>
        </w:tabs>
        <w:rPr>
          <w:color w:val="000000"/>
          <w:sz w:val="24"/>
          <w:highlight w:val="none"/>
        </w:rPr>
        <w:outlineLvl w:val="1"/>
      </w:pPr>
      <w:r>
        <w:rPr>
          <w:color w:val="000000"/>
          <w:sz w:val="24"/>
          <w:highlight w:val="none"/>
        </w:rPr>
        <w:t xml:space="preserve">谈判、响应文件有关事项的澄清、说明或者更正和最终报价</w:t>
      </w:r>
      <w:r>
        <w:rPr>
          <w:color w:val="000000"/>
          <w:sz w:val="24"/>
          <w:highlight w:val="none"/>
        </w:rPr>
      </w:r>
      <w:r/>
    </w:p>
    <w:p>
      <w:pPr>
        <w:pStyle w:val="1288"/>
        <w:numPr>
          <w:ilvl w:val="1"/>
          <w:numId w:val="9"/>
        </w:numPr>
        <w:ind w:left="1134" w:hanging="708"/>
        <w:spacing w:line="360" w:lineRule="auto"/>
        <w:tabs>
          <w:tab w:val="left" w:pos="1134" w:leader="none"/>
          <w:tab w:val="left" w:pos="1447" w:leader="none"/>
          <w:tab w:val="left" w:pos="1589" w:leader="none"/>
          <w:tab w:val="left" w:pos="2014" w:leader="none"/>
        </w:tabs>
        <w:rPr>
          <w:rFonts w:hint="eastAsia"/>
          <w:color w:val="000000"/>
          <w:sz w:val="24"/>
          <w:highlight w:val="none"/>
        </w:rPr>
      </w:pPr>
      <w:r>
        <w:rPr>
          <w:color w:val="000000"/>
          <w:sz w:val="24"/>
          <w:highlight w:val="none"/>
        </w:rPr>
        <w:t xml:space="preserve">谈判小组所有成员将集中与单一供应商分别进行谈判，并给予所有参加谈判的供应商平等的谈判机会。在谈判中，谈判的任何一方不得透露与谈判有关的其他供应商的技术资料、价格和其他信息。</w:t>
      </w:r>
      <w:r>
        <w:rPr>
          <w:rFonts w:hint="eastAsia"/>
          <w:color w:val="000000"/>
          <w:sz w:val="24"/>
          <w:highlight w:val="none"/>
        </w:rPr>
      </w:r>
      <w:r/>
    </w:p>
    <w:p>
      <w:pPr>
        <w:pStyle w:val="1288"/>
        <w:numPr>
          <w:ilvl w:val="1"/>
          <w:numId w:val="9"/>
        </w:numPr>
        <w:ind w:left="1134" w:hanging="710"/>
        <w:spacing w:line="360" w:lineRule="auto"/>
        <w:tabs>
          <w:tab w:val="left" w:pos="1134" w:leader="none"/>
          <w:tab w:val="left" w:pos="1447" w:leader="none"/>
          <w:tab w:val="left" w:pos="1589" w:leader="none"/>
          <w:tab w:val="left" w:pos="2014" w:leader="none"/>
        </w:tabs>
        <w:rPr>
          <w:rFonts w:hint="eastAsia"/>
          <w:color w:val="000000"/>
          <w:sz w:val="24"/>
          <w:highlight w:val="none"/>
        </w:rPr>
      </w:pPr>
      <w:r>
        <w:rPr>
          <w:color w:val="000000"/>
          <w:sz w:val="24"/>
          <w:highlight w:val="none"/>
        </w:rPr>
        <w:t xml:space="preserve">在谈判过程中，谈判小组可以根据谈判文件和谈判情况实质性变动采购需求</w:t>
      </w:r>
      <w:r>
        <w:rPr>
          <w:rFonts w:hint="eastAsia"/>
          <w:color w:val="000000"/>
          <w:sz w:val="24"/>
          <w:highlight w:val="none"/>
        </w:rPr>
        <w:t xml:space="preserve"> </w:t>
      </w:r>
      <w:r>
        <w:rPr>
          <w:color w:val="000000"/>
          <w:sz w:val="24"/>
          <w:highlight w:val="none"/>
        </w:rPr>
        <w:t xml:space="preserve">中的技术、服务要求以及合同草案条款，但不得变动谈判文件中的其他内容。实质性变动的内容，须经采购人代表确认。</w:t>
      </w:r>
      <w:r>
        <w:rPr>
          <w:rFonts w:hint="eastAsia"/>
          <w:color w:val="000000"/>
          <w:sz w:val="24"/>
          <w:highlight w:val="none"/>
        </w:rPr>
      </w:r>
      <w:r/>
    </w:p>
    <w:p>
      <w:pPr>
        <w:pStyle w:val="1288"/>
        <w:numPr>
          <w:ilvl w:val="1"/>
          <w:numId w:val="9"/>
        </w:numPr>
        <w:ind w:left="1134" w:hanging="710"/>
        <w:spacing w:line="360" w:lineRule="auto"/>
        <w:tabs>
          <w:tab w:val="left" w:pos="1134" w:leader="none"/>
          <w:tab w:val="left" w:pos="1447" w:leader="none"/>
          <w:tab w:val="left" w:pos="1589" w:leader="none"/>
          <w:tab w:val="left" w:pos="2014" w:leader="none"/>
        </w:tabs>
        <w:rPr>
          <w:color w:val="000000"/>
          <w:sz w:val="24"/>
          <w:highlight w:val="none"/>
        </w:rPr>
      </w:pPr>
      <w:r>
        <w:rPr>
          <w:color w:val="000000"/>
          <w:sz w:val="24"/>
          <w:highlight w:val="none"/>
        </w:rPr>
        <w:t xml:space="preserve">对谈判文件作出的实质性变动是谈判文件的有效组成部分，谈判小组将及时</w:t>
      </w:r>
      <w:r>
        <w:rPr>
          <w:rFonts w:hint="eastAsia"/>
          <w:color w:val="000000"/>
          <w:sz w:val="24"/>
          <w:highlight w:val="none"/>
        </w:rPr>
        <w:t xml:space="preserve">通过苏采云系统</w:t>
      </w:r>
      <w:r>
        <w:rPr>
          <w:color w:val="000000"/>
          <w:sz w:val="24"/>
          <w:highlight w:val="none"/>
        </w:rPr>
        <w:t xml:space="preserve">以书面形式同时通知所有参加谈判的供应商。</w:t>
      </w:r>
      <w:r>
        <w:rPr>
          <w:color w:val="000000"/>
          <w:sz w:val="24"/>
          <w:highlight w:val="none"/>
        </w:rPr>
      </w:r>
      <w:r/>
    </w:p>
    <w:p>
      <w:pPr>
        <w:pStyle w:val="1288"/>
        <w:numPr>
          <w:ilvl w:val="1"/>
          <w:numId w:val="9"/>
        </w:numPr>
        <w:ind w:left="1134" w:hanging="710"/>
        <w:spacing w:line="360" w:lineRule="auto"/>
        <w:tabs>
          <w:tab w:val="left" w:pos="1134" w:leader="none"/>
          <w:tab w:val="left" w:pos="1447" w:leader="none"/>
          <w:tab w:val="left" w:pos="1589" w:leader="none"/>
          <w:tab w:val="left" w:pos="2014" w:leader="none"/>
        </w:tabs>
        <w:rPr>
          <w:color w:val="000000"/>
          <w:sz w:val="24"/>
          <w:highlight w:val="none"/>
        </w:rPr>
      </w:pPr>
      <w:r>
        <w:rPr>
          <w:color w:val="000000"/>
          <w:sz w:val="24"/>
          <w:highlight w:val="none"/>
        </w:rPr>
        <w:t xml:space="preserve">供应商应当按照谈判文件的变动情况和谈判小组的要求重新提交响应文件，并由其法定代表人或授权代表签字或者加盖公章。由授权代表签字的，应当附授权委托书。供应商为自然人的，应当由本人签字并附身份证明。</w:t>
      </w:r>
      <w:r>
        <w:rPr>
          <w:color w:val="000000"/>
          <w:sz w:val="24"/>
          <w:highlight w:val="none"/>
        </w:rPr>
      </w:r>
      <w:r/>
    </w:p>
    <w:p>
      <w:pPr>
        <w:pStyle w:val="1288"/>
        <w:numPr>
          <w:ilvl w:val="1"/>
          <w:numId w:val="9"/>
        </w:numPr>
        <w:ind w:left="1134" w:hanging="710"/>
        <w:spacing w:line="360" w:lineRule="auto"/>
        <w:tabs>
          <w:tab w:val="left" w:pos="1134" w:leader="none"/>
          <w:tab w:val="left" w:pos="1447" w:leader="none"/>
          <w:tab w:val="left" w:pos="1589" w:leader="none"/>
          <w:tab w:val="left" w:pos="2014" w:leader="none"/>
        </w:tabs>
        <w:rPr>
          <w:color w:val="000000"/>
          <w:sz w:val="24"/>
          <w:highlight w:val="none"/>
        </w:rPr>
      </w:pPr>
      <w:r>
        <w:rPr>
          <w:color w:val="000000"/>
          <w:sz w:val="24"/>
          <w:highlight w:val="none"/>
        </w:rPr>
        <w:t xml:space="preserve">响应文件的澄清</w:t>
      </w:r>
      <w:r>
        <w:rPr>
          <w:rFonts w:hint="eastAsia"/>
          <w:color w:val="000000"/>
          <w:sz w:val="24"/>
          <w:highlight w:val="none"/>
        </w:rPr>
        <w:t xml:space="preserve">、说明或者更正</w:t>
      </w:r>
      <w:r>
        <w:rPr>
          <w:color w:val="000000"/>
          <w:sz w:val="24"/>
          <w:highlight w:val="none"/>
        </w:rPr>
        <w:t xml:space="preserve">：</w:t>
      </w:r>
      <w:r>
        <w:rPr>
          <w:color w:val="000000"/>
          <w:sz w:val="24"/>
          <w:highlight w:val="none"/>
        </w:rPr>
      </w:r>
      <w:r/>
    </w:p>
    <w:p>
      <w:pPr>
        <w:pStyle w:val="1288"/>
        <w:ind w:left="1134"/>
        <w:spacing w:line="360" w:lineRule="auto"/>
        <w:tabs>
          <w:tab w:val="left" w:pos="1134" w:leader="none"/>
          <w:tab w:val="left" w:pos="1447" w:leader="none"/>
          <w:tab w:val="left" w:pos="1589" w:leader="none"/>
          <w:tab w:val="left" w:pos="2014" w:leader="none"/>
        </w:tabs>
        <w:rPr>
          <w:color w:val="000000"/>
          <w:sz w:val="24"/>
          <w:highlight w:val="none"/>
        </w:rPr>
      </w:pPr>
      <w:r>
        <w:rPr>
          <w:rFonts w:hint="eastAsia"/>
          <w:color w:val="000000"/>
          <w:sz w:val="24"/>
          <w:highlight w:val="none"/>
        </w:rPr>
        <w:t xml:space="preserve">评审</w:t>
      </w:r>
      <w:r>
        <w:rPr>
          <w:color w:val="000000"/>
          <w:sz w:val="24"/>
          <w:highlight w:val="none"/>
        </w:rPr>
        <w:t xml:space="preserve">过程中，</w:t>
      </w:r>
      <w:r>
        <w:rPr>
          <w:rFonts w:hint="eastAsia"/>
          <w:color w:val="000000"/>
          <w:sz w:val="24"/>
          <w:highlight w:val="none"/>
        </w:rPr>
        <w:t xml:space="preserve">谈判小组</w:t>
      </w:r>
      <w:r>
        <w:rPr>
          <w:color w:val="000000"/>
          <w:sz w:val="24"/>
          <w:highlight w:val="none"/>
        </w:rPr>
        <w:t xml:space="preserve">将</w:t>
      </w:r>
      <w:r>
        <w:rPr>
          <w:rFonts w:hint="eastAsia"/>
          <w:color w:val="000000"/>
          <w:sz w:val="24"/>
          <w:highlight w:val="none"/>
        </w:rPr>
        <w:t xml:space="preserve">通过苏采云系统</w:t>
      </w:r>
      <w:r>
        <w:rPr>
          <w:color w:val="000000"/>
          <w:sz w:val="24"/>
          <w:highlight w:val="none"/>
        </w:rPr>
        <w:t xml:space="preserve">以书面形式要求</w:t>
      </w:r>
      <w:r>
        <w:rPr>
          <w:rFonts w:hint="eastAsia"/>
          <w:color w:val="000000"/>
          <w:sz w:val="24"/>
          <w:highlight w:val="none"/>
        </w:rPr>
        <w:t xml:space="preserve">供应商</w:t>
      </w:r>
      <w:r>
        <w:rPr>
          <w:color w:val="000000"/>
          <w:sz w:val="24"/>
          <w:highlight w:val="none"/>
        </w:rPr>
        <w:t xml:space="preserve">对其</w:t>
      </w:r>
      <w:r>
        <w:rPr>
          <w:rFonts w:hint="eastAsia"/>
          <w:color w:val="000000"/>
          <w:sz w:val="24"/>
          <w:highlight w:val="none"/>
        </w:rPr>
        <w:t xml:space="preserve">响应</w:t>
      </w:r>
      <w:r>
        <w:rPr>
          <w:color w:val="000000"/>
          <w:sz w:val="24"/>
          <w:highlight w:val="none"/>
        </w:rPr>
        <w:t xml:space="preserve">文件中含义不明确、同类问题表述不一致或者有明显文字和计算错误的内容，作出必要的澄清、说明或者补正。</w:t>
      </w:r>
      <w:r>
        <w:rPr>
          <w:rFonts w:hint="eastAsia"/>
          <w:color w:val="000000"/>
          <w:sz w:val="24"/>
          <w:highlight w:val="none"/>
        </w:rPr>
        <w:t xml:space="preserve">供应商</w:t>
      </w:r>
      <w:r>
        <w:rPr>
          <w:color w:val="000000"/>
          <w:sz w:val="24"/>
          <w:highlight w:val="none"/>
        </w:rPr>
        <w:t xml:space="preserve">的澄清、说明或者补正应当采用书面形式，并加盖</w:t>
      </w:r>
      <w:r>
        <w:rPr>
          <w:rFonts w:hint="eastAsia"/>
          <w:color w:val="000000"/>
          <w:sz w:val="24"/>
          <w:highlight w:val="none"/>
        </w:rPr>
        <w:t xml:space="preserve">电子</w:t>
      </w:r>
      <w:r>
        <w:rPr>
          <w:color w:val="000000"/>
          <w:sz w:val="24"/>
          <w:highlight w:val="none"/>
        </w:rPr>
        <w:t xml:space="preserve">公章。</w:t>
      </w:r>
      <w:r>
        <w:rPr>
          <w:rFonts w:hint="eastAsia"/>
          <w:color w:val="000000"/>
          <w:sz w:val="24"/>
          <w:highlight w:val="none"/>
        </w:rPr>
        <w:t xml:space="preserve">供应商</w:t>
      </w:r>
      <w:r>
        <w:rPr>
          <w:color w:val="000000"/>
          <w:sz w:val="24"/>
          <w:highlight w:val="none"/>
        </w:rPr>
        <w:t xml:space="preserve">的澄清、说明或者补正不得超出</w:t>
      </w:r>
      <w:r>
        <w:rPr>
          <w:rFonts w:hint="eastAsia"/>
          <w:color w:val="000000"/>
          <w:sz w:val="24"/>
          <w:highlight w:val="none"/>
        </w:rPr>
        <w:t xml:space="preserve">响应</w:t>
      </w:r>
      <w:r>
        <w:rPr>
          <w:color w:val="000000"/>
          <w:sz w:val="24"/>
          <w:highlight w:val="none"/>
        </w:rPr>
        <w:t xml:space="preserve">文件的范围或者改变</w:t>
      </w:r>
      <w:r>
        <w:rPr>
          <w:rFonts w:hint="eastAsia"/>
          <w:color w:val="000000"/>
          <w:sz w:val="24"/>
          <w:highlight w:val="none"/>
        </w:rPr>
        <w:t xml:space="preserve">响应</w:t>
      </w:r>
      <w:r>
        <w:rPr>
          <w:color w:val="000000"/>
          <w:sz w:val="24"/>
          <w:highlight w:val="none"/>
        </w:rPr>
        <w:t xml:space="preserve">文件的实质性内容。澄清文件将作为</w:t>
      </w:r>
      <w:r>
        <w:rPr>
          <w:rFonts w:hint="eastAsia"/>
          <w:color w:val="000000"/>
          <w:sz w:val="24"/>
          <w:highlight w:val="none"/>
        </w:rPr>
        <w:t xml:space="preserve">响应</w:t>
      </w:r>
      <w:r>
        <w:rPr>
          <w:color w:val="000000"/>
          <w:sz w:val="24"/>
          <w:highlight w:val="none"/>
        </w:rPr>
        <w:t xml:space="preserve">文件内容的一部分。</w:t>
      </w:r>
      <w:r>
        <w:rPr>
          <w:color w:val="000000"/>
          <w:sz w:val="24"/>
          <w:highlight w:val="none"/>
        </w:rPr>
      </w:r>
      <w:r/>
    </w:p>
    <w:p>
      <w:pPr>
        <w:pStyle w:val="1288"/>
        <w:numPr>
          <w:ilvl w:val="1"/>
          <w:numId w:val="9"/>
        </w:numPr>
        <w:ind w:left="1134" w:hanging="710"/>
        <w:spacing w:line="360" w:lineRule="auto"/>
        <w:tabs>
          <w:tab w:val="left" w:pos="1134" w:leader="none"/>
          <w:tab w:val="left" w:pos="1447" w:leader="none"/>
          <w:tab w:val="left" w:pos="1589" w:leader="none"/>
          <w:tab w:val="left" w:pos="2014" w:leader="none"/>
        </w:tabs>
        <w:rPr>
          <w:rFonts w:hint="eastAsia"/>
          <w:color w:val="000000"/>
          <w:highlight w:val="none"/>
        </w:rPr>
      </w:pPr>
      <w:r>
        <w:rPr>
          <w:b/>
          <w:color w:val="000000"/>
          <w:sz w:val="24"/>
          <w:highlight w:val="none"/>
        </w:rPr>
        <w:t xml:space="preserve">谈判结束后，谈判小组将要求所有实质性响应的供应商在规定时间内</w:t>
      </w:r>
      <w:r>
        <w:rPr>
          <w:rFonts w:hint="eastAsia"/>
          <w:b/>
          <w:color w:val="000000"/>
          <w:sz w:val="24"/>
          <w:highlight w:val="none"/>
        </w:rPr>
        <w:t xml:space="preserve">通过苏采云</w:t>
      </w:r>
      <w:r>
        <w:rPr>
          <w:b/>
          <w:color w:val="000000"/>
          <w:sz w:val="24"/>
          <w:highlight w:val="none"/>
        </w:rPr>
        <w:t xml:space="preserve">平台</w:t>
      </w:r>
      <w:r>
        <w:rPr>
          <w:rFonts w:hint="eastAsia"/>
          <w:b/>
          <w:color w:val="000000"/>
          <w:sz w:val="24"/>
          <w:highlight w:val="none"/>
        </w:rPr>
        <w:t xml:space="preserve">系统</w:t>
      </w:r>
      <w:r>
        <w:rPr>
          <w:b/>
          <w:color w:val="000000"/>
          <w:sz w:val="24"/>
          <w:highlight w:val="none"/>
        </w:rPr>
        <w:t xml:space="preserve">提交最</w:t>
      </w:r>
      <w:r>
        <w:rPr>
          <w:rFonts w:hint="eastAsia"/>
          <w:b/>
          <w:color w:val="000000"/>
          <w:sz w:val="24"/>
          <w:highlight w:val="none"/>
        </w:rPr>
        <w:t xml:space="preserve">终</w:t>
      </w:r>
      <w:r>
        <w:rPr>
          <w:b/>
          <w:color w:val="000000"/>
          <w:sz w:val="24"/>
          <w:highlight w:val="none"/>
        </w:rPr>
        <w:t xml:space="preserve">报价。</w:t>
      </w:r>
      <w:r>
        <w:rPr>
          <w:rFonts w:hint="eastAsia"/>
          <w:color w:val="000000"/>
          <w:highlight w:val="none"/>
        </w:rPr>
      </w:r>
      <w:r/>
    </w:p>
    <w:p>
      <w:pPr>
        <w:pStyle w:val="1288"/>
        <w:numPr>
          <w:ilvl w:val="1"/>
          <w:numId w:val="9"/>
        </w:numPr>
        <w:ind w:left="1134" w:hanging="710"/>
        <w:spacing w:line="360" w:lineRule="auto"/>
        <w:tabs>
          <w:tab w:val="left" w:pos="1134" w:leader="none"/>
          <w:tab w:val="left" w:pos="1447" w:leader="none"/>
          <w:tab w:val="left" w:pos="1589" w:leader="none"/>
          <w:tab w:val="left" w:pos="2014" w:leader="none"/>
        </w:tabs>
        <w:rPr>
          <w:color w:val="000000"/>
          <w:sz w:val="24"/>
          <w:highlight w:val="none"/>
        </w:rPr>
      </w:pPr>
      <w:r>
        <w:rPr>
          <w:color w:val="000000"/>
          <w:sz w:val="24"/>
          <w:highlight w:val="none"/>
        </w:rPr>
        <w:t xml:space="preserve">谈判文件能够详细列明采购标的的技术、服务要求的，谈判结束后，谈判小组将要求所有继续参加谈判的供应商在规定时间内提交最</w:t>
      </w:r>
      <w:r>
        <w:rPr>
          <w:rFonts w:hint="eastAsia"/>
          <w:color w:val="000000"/>
          <w:sz w:val="24"/>
          <w:highlight w:val="none"/>
        </w:rPr>
        <w:t xml:space="preserve">终</w:t>
      </w:r>
      <w:r>
        <w:rPr>
          <w:color w:val="000000"/>
          <w:sz w:val="24"/>
          <w:highlight w:val="none"/>
        </w:rPr>
        <w:t xml:space="preserve">报价，提交最终报价的供应商不得少于3家。谈判文件不能详细列明采购标的的技术、服务要求，需经谈判由供应商提供最终设计方案或解决方案的，谈判结束后，谈判小组将按照少数服从多数的原则投票推荐3家以上供应商的设计方案或者解决方案，并要求其在规定时间内提交最</w:t>
      </w:r>
      <w:r>
        <w:rPr>
          <w:rFonts w:hint="eastAsia"/>
          <w:color w:val="000000"/>
          <w:sz w:val="24"/>
          <w:highlight w:val="none"/>
        </w:rPr>
        <w:t xml:space="preserve">终</w:t>
      </w:r>
      <w:r>
        <w:rPr>
          <w:color w:val="000000"/>
          <w:sz w:val="24"/>
          <w:highlight w:val="none"/>
        </w:rPr>
        <w:t xml:space="preserve">报价。</w:t>
      </w:r>
      <w:r>
        <w:rPr>
          <w:color w:val="000000"/>
          <w:sz w:val="24"/>
          <w:highlight w:val="none"/>
        </w:rPr>
      </w:r>
      <w:r/>
    </w:p>
    <w:p>
      <w:pPr>
        <w:pStyle w:val="1288"/>
        <w:numPr>
          <w:ilvl w:val="1"/>
          <w:numId w:val="9"/>
        </w:numPr>
        <w:ind w:left="1134" w:hanging="710"/>
        <w:spacing w:line="360" w:lineRule="auto"/>
        <w:tabs>
          <w:tab w:val="left" w:pos="1134" w:leader="none"/>
          <w:tab w:val="left" w:pos="1447" w:leader="none"/>
          <w:tab w:val="left" w:pos="1589" w:leader="none"/>
          <w:tab w:val="left" w:pos="2014" w:leader="none"/>
        </w:tabs>
        <w:rPr>
          <w:color w:val="000000"/>
          <w:sz w:val="24"/>
          <w:highlight w:val="none"/>
        </w:rPr>
      </w:pPr>
      <w:r>
        <w:rPr>
          <w:color w:val="000000"/>
          <w:sz w:val="24"/>
          <w:highlight w:val="none"/>
        </w:rPr>
        <w:t xml:space="preserve">最</w:t>
      </w:r>
      <w:r>
        <w:rPr>
          <w:rFonts w:hint="eastAsia"/>
          <w:color w:val="000000"/>
          <w:sz w:val="24"/>
          <w:highlight w:val="none"/>
        </w:rPr>
        <w:t xml:space="preserve">终</w:t>
      </w:r>
      <w:r>
        <w:rPr>
          <w:color w:val="000000"/>
          <w:sz w:val="24"/>
          <w:highlight w:val="none"/>
        </w:rPr>
        <w:t xml:space="preserve">报价是供应商响应文件的有效组成部分。</w:t>
      </w:r>
      <w:r>
        <w:rPr>
          <w:color w:val="000000"/>
          <w:sz w:val="24"/>
          <w:highlight w:val="none"/>
        </w:rPr>
      </w:r>
      <w:r/>
    </w:p>
    <w:p>
      <w:pPr>
        <w:pStyle w:val="1288"/>
        <w:numPr>
          <w:ilvl w:val="1"/>
          <w:numId w:val="9"/>
        </w:numPr>
        <w:ind w:left="1134" w:hanging="710"/>
        <w:spacing w:line="360" w:lineRule="auto"/>
        <w:tabs>
          <w:tab w:val="left" w:pos="1134" w:leader="none"/>
          <w:tab w:val="left" w:pos="1447" w:leader="none"/>
          <w:tab w:val="left" w:pos="1589" w:leader="none"/>
          <w:tab w:val="left" w:pos="2014" w:leader="none"/>
        </w:tabs>
        <w:rPr>
          <w:color w:val="000000"/>
          <w:highlight w:val="none"/>
        </w:rPr>
      </w:pPr>
      <w:r>
        <w:rPr>
          <w:color w:val="000000"/>
          <w:sz w:val="24"/>
          <w:highlight w:val="none"/>
        </w:rPr>
        <w:t xml:space="preserve">已提交响应文件的供应商，在提交最</w:t>
      </w:r>
      <w:r>
        <w:rPr>
          <w:rFonts w:hint="eastAsia"/>
          <w:color w:val="000000"/>
          <w:sz w:val="24"/>
          <w:highlight w:val="none"/>
        </w:rPr>
        <w:t xml:space="preserve">终</w:t>
      </w:r>
      <w:r>
        <w:rPr>
          <w:color w:val="000000"/>
          <w:sz w:val="24"/>
          <w:highlight w:val="none"/>
        </w:rPr>
        <w:t xml:space="preserve">报价之前，可以根据谈判情况退出谈判。</w:t>
      </w:r>
      <w:r>
        <w:rPr>
          <w:color w:val="000000"/>
          <w:highlight w:val="none"/>
        </w:rPr>
      </w:r>
      <w:r/>
    </w:p>
    <w:p>
      <w:pPr>
        <w:pStyle w:val="1288"/>
        <w:numPr>
          <w:ilvl w:val="1"/>
          <w:numId w:val="9"/>
        </w:numPr>
        <w:ind w:left="1134" w:hanging="710"/>
        <w:spacing w:line="360" w:lineRule="auto"/>
        <w:tabs>
          <w:tab w:val="left" w:pos="1134" w:leader="none"/>
          <w:tab w:val="left" w:pos="1447" w:leader="none"/>
          <w:tab w:val="left" w:pos="1589" w:leader="none"/>
          <w:tab w:val="left" w:pos="2014" w:leader="none"/>
        </w:tabs>
        <w:rPr>
          <w:rFonts w:hint="eastAsia"/>
          <w:color w:val="000000"/>
          <w:sz w:val="24"/>
          <w:highlight w:val="none"/>
        </w:rPr>
      </w:pPr>
      <w:r>
        <w:rPr>
          <w:rFonts w:hint="eastAsia"/>
          <w:color w:val="000000"/>
          <w:sz w:val="24"/>
          <w:highlight w:val="none"/>
        </w:rPr>
        <w:t xml:space="preserve">评审过程中出现下列情形之一的，谈判小组应当启动异常低价响应审查程序：</w:t>
      </w:r>
      <w:r>
        <w:rPr>
          <w:rFonts w:hint="eastAsia"/>
          <w:color w:val="000000"/>
          <w:sz w:val="24"/>
          <w:highlight w:val="none"/>
        </w:rPr>
      </w:r>
      <w:r/>
    </w:p>
    <w:p>
      <w:pPr>
        <w:pStyle w:val="1288"/>
        <w:numPr>
          <w:ilvl w:val="2"/>
          <w:numId w:val="9"/>
        </w:numPr>
        <w:spacing w:line="360" w:lineRule="auto"/>
        <w:tabs>
          <w:tab w:val="left" w:pos="1134" w:leader="none"/>
          <w:tab w:val="left" w:pos="1447" w:leader="none"/>
          <w:tab w:val="left" w:pos="1589" w:leader="none"/>
          <w:tab w:val="left" w:pos="2014" w:leader="none"/>
        </w:tabs>
        <w:rPr>
          <w:rFonts w:hint="eastAsia"/>
          <w:color w:val="000000"/>
          <w:sz w:val="24"/>
          <w:highlight w:val="none"/>
        </w:rPr>
      </w:pPr>
      <w:r>
        <w:rPr>
          <w:rFonts w:hint="eastAsia"/>
          <w:color w:val="000000"/>
          <w:sz w:val="24"/>
          <w:highlight w:val="none"/>
        </w:rPr>
        <w:t xml:space="preserve">响应报价低于全部通过符合性审查供应商响应报价平均值50%的，即响应报价＜全部通过符合性审查供应商响应报价平均值×50%；</w:t>
      </w:r>
      <w:r>
        <w:rPr>
          <w:rFonts w:hint="eastAsia"/>
          <w:color w:val="000000"/>
          <w:sz w:val="24"/>
          <w:highlight w:val="none"/>
        </w:rPr>
      </w:r>
      <w:r/>
    </w:p>
    <w:p>
      <w:pPr>
        <w:pStyle w:val="1288"/>
        <w:numPr>
          <w:ilvl w:val="2"/>
          <w:numId w:val="9"/>
        </w:numPr>
        <w:spacing w:line="360" w:lineRule="auto"/>
        <w:tabs>
          <w:tab w:val="left" w:pos="1134" w:leader="none"/>
          <w:tab w:val="left" w:pos="1447" w:leader="none"/>
          <w:tab w:val="left" w:pos="1589" w:leader="none"/>
          <w:tab w:val="left" w:pos="2014" w:leader="none"/>
        </w:tabs>
        <w:rPr>
          <w:rFonts w:hint="eastAsia"/>
          <w:color w:val="000000"/>
          <w:sz w:val="24"/>
          <w:highlight w:val="none"/>
        </w:rPr>
      </w:pPr>
      <w:r>
        <w:rPr>
          <w:rFonts w:hint="eastAsia"/>
          <w:color w:val="000000"/>
          <w:sz w:val="24"/>
          <w:highlight w:val="none"/>
        </w:rPr>
        <w:t xml:space="preserve">响应报价低于通过符合性审查的次低报价供应商响应报价50%的，即响应报价＜通过符合性审查的次低报价供应商响应报价×50%；</w:t>
      </w:r>
      <w:r>
        <w:rPr>
          <w:rFonts w:hint="eastAsia"/>
          <w:color w:val="000000"/>
          <w:sz w:val="24"/>
          <w:highlight w:val="none"/>
        </w:rPr>
      </w:r>
      <w:r/>
    </w:p>
    <w:p>
      <w:pPr>
        <w:pStyle w:val="1288"/>
        <w:numPr>
          <w:ilvl w:val="2"/>
          <w:numId w:val="9"/>
        </w:numPr>
        <w:spacing w:line="360" w:lineRule="auto"/>
        <w:tabs>
          <w:tab w:val="left" w:pos="1134" w:leader="none"/>
          <w:tab w:val="left" w:pos="1447" w:leader="none"/>
          <w:tab w:val="left" w:pos="1589" w:leader="none"/>
          <w:tab w:val="left" w:pos="2014" w:leader="none"/>
        </w:tabs>
        <w:rPr>
          <w:rFonts w:hint="eastAsia"/>
          <w:color w:val="000000"/>
          <w:sz w:val="24"/>
          <w:highlight w:val="none"/>
        </w:rPr>
      </w:pPr>
      <w:r>
        <w:rPr>
          <w:rFonts w:hint="eastAsia"/>
          <w:color w:val="000000"/>
          <w:sz w:val="24"/>
          <w:highlight w:val="none"/>
        </w:rPr>
        <w:t xml:space="preserve">响应报价低于采购项目最高限价45%的，即响应报价＜采购项目最高限价×45%；</w:t>
      </w:r>
      <w:r>
        <w:rPr>
          <w:rFonts w:hint="eastAsia"/>
          <w:color w:val="000000"/>
          <w:sz w:val="24"/>
          <w:highlight w:val="none"/>
        </w:rPr>
      </w:r>
      <w:r/>
    </w:p>
    <w:p>
      <w:pPr>
        <w:pStyle w:val="1288"/>
        <w:numPr>
          <w:ilvl w:val="2"/>
          <w:numId w:val="9"/>
        </w:numPr>
        <w:spacing w:line="360" w:lineRule="auto"/>
        <w:tabs>
          <w:tab w:val="left" w:pos="1134" w:leader="none"/>
          <w:tab w:val="left" w:pos="1447" w:leader="none"/>
          <w:tab w:val="left" w:pos="1589" w:leader="none"/>
          <w:tab w:val="left" w:pos="2014" w:leader="none"/>
        </w:tabs>
        <w:rPr>
          <w:rFonts w:hint="eastAsia"/>
          <w:color w:val="000000"/>
          <w:sz w:val="24"/>
          <w:highlight w:val="none"/>
        </w:rPr>
      </w:pPr>
      <w:r>
        <w:rPr>
          <w:rFonts w:hint="eastAsia"/>
          <w:color w:val="000000"/>
          <w:sz w:val="24"/>
          <w:highlight w:val="none"/>
        </w:rPr>
        <w:t xml:space="preserve">谈判小组基于专业判断，认为供应商报价过低，有可能影响产品质量或者不能诚信履约的其他情形。</w:t>
      </w:r>
      <w:r>
        <w:rPr>
          <w:rFonts w:hint="eastAsia"/>
          <w:color w:val="000000"/>
          <w:sz w:val="24"/>
          <w:highlight w:val="none"/>
        </w:rPr>
      </w:r>
      <w:r/>
    </w:p>
    <w:p>
      <w:pPr>
        <w:pStyle w:val="1288"/>
        <w:numPr>
          <w:ilvl w:val="1"/>
          <w:numId w:val="9"/>
        </w:numPr>
        <w:ind w:left="1134" w:hanging="710"/>
        <w:spacing w:line="360" w:lineRule="auto"/>
        <w:tabs>
          <w:tab w:val="left" w:pos="1134" w:leader="none"/>
          <w:tab w:val="left" w:pos="1447" w:leader="none"/>
          <w:tab w:val="left" w:pos="1589" w:leader="none"/>
          <w:tab w:val="left" w:pos="2014" w:leader="none"/>
        </w:tabs>
        <w:rPr>
          <w:rFonts w:hint="eastAsia"/>
          <w:color w:val="000000"/>
          <w:sz w:val="24"/>
          <w:highlight w:val="none"/>
        </w:rPr>
      </w:pPr>
      <w:r>
        <w:rPr>
          <w:rFonts w:hint="eastAsia"/>
          <w:color w:val="000000"/>
          <w:sz w:val="24"/>
          <w:highlight w:val="none"/>
        </w:rPr>
        <w:t xml:space="preserve">谈判小组启动异常低价响应审查后，属于前述第1项至第4项情形的，应当要求相关供应商在评审现场合理的时间内对响应价格作出解释，提供项目具体成本测算等与报价合理性相关的书面说明及必要的证明材料，包括但不限于原材料成本、人工成本、制造费用等。其中，属于第3项情形，供应商已随响应文件一并提交相关书面说明及必要的证明材料的，在评审现场可不再重复提交。</w:t>
      </w:r>
      <w:r>
        <w:rPr>
          <w:rFonts w:hint="eastAsia"/>
          <w:color w:val="000000"/>
          <w:sz w:val="24"/>
          <w:highlight w:val="none"/>
        </w:rPr>
      </w:r>
      <w:r/>
    </w:p>
    <w:p>
      <w:pPr>
        <w:pStyle w:val="1288"/>
        <w:numPr>
          <w:ilvl w:val="1"/>
          <w:numId w:val="9"/>
        </w:numPr>
        <w:ind w:left="1134" w:hanging="710"/>
        <w:spacing w:line="360" w:lineRule="auto"/>
        <w:tabs>
          <w:tab w:val="left" w:pos="1134" w:leader="none"/>
          <w:tab w:val="left" w:pos="1447" w:leader="none"/>
          <w:tab w:val="left" w:pos="1589" w:leader="none"/>
          <w:tab w:val="left" w:pos="2014" w:leader="none"/>
        </w:tabs>
        <w:rPr>
          <w:rFonts w:hint="eastAsia"/>
          <w:color w:val="000000"/>
          <w:sz w:val="24"/>
          <w:highlight w:val="none"/>
        </w:rPr>
      </w:pPr>
      <w:r>
        <w:rPr>
          <w:rFonts w:hint="eastAsia"/>
          <w:color w:val="000000"/>
          <w:sz w:val="24"/>
          <w:highlight w:val="none"/>
        </w:rPr>
        <w:t xml:space="preserve">谈判小组依据专业经验，参考同类项目中标（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谈判小组应当将其作为无效响应处理。</w:t>
      </w:r>
      <w:r>
        <w:rPr>
          <w:rFonts w:hint="eastAsia"/>
          <w:color w:val="000000"/>
          <w:sz w:val="24"/>
          <w:highlight w:val="none"/>
        </w:rPr>
      </w:r>
      <w:r/>
    </w:p>
    <w:p>
      <w:pPr>
        <w:pStyle w:val="1288"/>
        <w:numPr>
          <w:ilvl w:val="1"/>
          <w:numId w:val="9"/>
        </w:numPr>
        <w:ind w:left="1134" w:hanging="710"/>
        <w:spacing w:line="360" w:lineRule="auto"/>
        <w:tabs>
          <w:tab w:val="left" w:pos="1134" w:leader="none"/>
          <w:tab w:val="left" w:pos="1447" w:leader="none"/>
          <w:tab w:val="left" w:pos="1589" w:leader="none"/>
          <w:tab w:val="left" w:pos="2014" w:leader="none"/>
        </w:tabs>
        <w:rPr>
          <w:rFonts w:hint="eastAsia"/>
          <w:color w:val="000000"/>
          <w:sz w:val="24"/>
          <w:highlight w:val="none"/>
        </w:rPr>
      </w:pPr>
      <w:r>
        <w:rPr>
          <w:rFonts w:hint="eastAsia"/>
          <w:color w:val="000000"/>
          <w:sz w:val="24"/>
          <w:highlight w:val="none"/>
        </w:rPr>
        <w:t xml:space="preserve">采购人、采购代理机构应当为谈判小组在评审现场及时获取同类项目中标（成交）价格、类似产品市场价格水平、行业人工费用标准、国家有关部门指导行业协会发布的行业平均成本等相关信息资料提供便利。谈判小组借助互联网等渠道查询相关信息的，应当严格遵守评审工作纪律，不得实施影响评审公正的行为。</w:t>
      </w:r>
      <w:r>
        <w:rPr>
          <w:rFonts w:hint="eastAsia"/>
          <w:color w:val="000000"/>
          <w:sz w:val="24"/>
          <w:highlight w:val="none"/>
        </w:rPr>
      </w:r>
      <w:r/>
    </w:p>
    <w:p>
      <w:pPr>
        <w:pStyle w:val="1288"/>
        <w:numPr>
          <w:ilvl w:val="1"/>
          <w:numId w:val="9"/>
        </w:numPr>
        <w:ind w:left="1134" w:hanging="710"/>
        <w:spacing w:line="360" w:lineRule="auto"/>
        <w:tabs>
          <w:tab w:val="left" w:pos="1134" w:leader="none"/>
          <w:tab w:val="left" w:pos="1447" w:leader="none"/>
          <w:tab w:val="left" w:pos="1589" w:leader="none"/>
          <w:tab w:val="left" w:pos="2014" w:leader="none"/>
        </w:tabs>
        <w:rPr>
          <w:rFonts w:hint="eastAsia"/>
          <w:color w:val="000000"/>
          <w:sz w:val="24"/>
          <w:highlight w:val="none"/>
        </w:rPr>
      </w:pPr>
      <w:r>
        <w:rPr>
          <w:rFonts w:hint="eastAsia"/>
          <w:color w:val="000000"/>
          <w:sz w:val="24"/>
          <w:highlight w:val="none"/>
        </w:rPr>
        <w:t xml:space="preserve">异常低价响应审查的启动原因、审查意见和审查结果应当在评审报告中记录，并随供应商提供的相关书面说明及证明材料，以及谈判小组有关互联网浏览、查询历史一并归档。</w:t>
      </w:r>
      <w:r>
        <w:rPr>
          <w:rFonts w:hint="eastAsia"/>
          <w:color w:val="000000"/>
          <w:sz w:val="24"/>
          <w:highlight w:val="none"/>
        </w:rPr>
      </w:r>
      <w:r/>
    </w:p>
    <w:p>
      <w:pPr>
        <w:pStyle w:val="1288"/>
        <w:ind w:left="0" w:firstLine="0"/>
        <w:spacing w:line="360" w:lineRule="auto"/>
        <w:tabs>
          <w:tab w:val="left" w:pos="360" w:leader="none"/>
          <w:tab w:val="left" w:pos="900" w:leader="none"/>
        </w:tabs>
        <w:rPr>
          <w:rFonts w:hint="eastAsia"/>
          <w:color w:val="000000"/>
          <w:sz w:val="24"/>
          <w:highlight w:val="none"/>
        </w:rPr>
        <w:outlineLvl w:val="1"/>
      </w:pPr>
      <w:r>
        <w:rPr>
          <w:color w:val="000000"/>
          <w:sz w:val="24"/>
          <w:highlight w:val="none"/>
        </w:rPr>
        <w:t xml:space="preserve">最终报价的算术修正及政策调整</w:t>
      </w:r>
      <w:r>
        <w:rPr>
          <w:rFonts w:hint="eastAsia"/>
          <w:color w:val="000000"/>
          <w:sz w:val="24"/>
          <w:highlight w:val="none"/>
        </w:rPr>
      </w:r>
      <w:r/>
    </w:p>
    <w:p>
      <w:pPr>
        <w:pStyle w:val="1288"/>
        <w:spacing w:line="360" w:lineRule="auto"/>
        <w:tabs>
          <w:tab w:val="left" w:pos="1080" w:leader="none"/>
          <w:tab w:val="left" w:pos="1589" w:leader="none"/>
          <w:tab w:val="left" w:pos="2014" w:leader="none"/>
        </w:tabs>
        <w:rPr>
          <w:rFonts w:hint="eastAsia"/>
          <w:color w:val="000000"/>
          <w:sz w:val="24"/>
          <w:highlight w:val="none"/>
        </w:rPr>
      </w:pPr>
      <w:r>
        <w:rPr>
          <w:color w:val="000000"/>
          <w:sz w:val="24"/>
          <w:highlight w:val="none"/>
        </w:rPr>
        <w:t xml:space="preserve">3.1最终报价须包含谈判文件全部内容，</w:t>
      </w:r>
      <w:r>
        <w:rPr>
          <w:rFonts w:hint="eastAsia"/>
          <w:color w:val="000000"/>
          <w:sz w:val="24"/>
          <w:highlight w:val="none"/>
        </w:rPr>
        <w:t xml:space="preserve">如最终分项报价表有缺漏视为已含在其他各项报价中，将不对最终报价进行调整。谈判小组有权要求供应商在评审现场合理的时间内对此进行书面确认，供应商不确认的，视为将一个采购包中的内容拆开响应，其响应无效。</w:t>
      </w:r>
      <w:r>
        <w:rPr>
          <w:rFonts w:hint="eastAsia"/>
          <w:color w:val="000000"/>
          <w:sz w:val="24"/>
          <w:highlight w:val="none"/>
        </w:rPr>
      </w:r>
      <w:r/>
    </w:p>
    <w:p>
      <w:pPr>
        <w:pStyle w:val="1288"/>
        <w:ind w:left="0" w:firstLine="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3.2最终报价出现前后不一致的，按照下列规定修正：</w:t>
      </w:r>
      <w:r>
        <w:rPr>
          <w:color w:val="000000"/>
          <w:sz w:val="24"/>
          <w:highlight w:val="none"/>
        </w:rPr>
      </w:r>
      <w:r/>
    </w:p>
    <w:p>
      <w:pPr>
        <w:pStyle w:val="1288"/>
        <w:numPr>
          <w:ilvl w:val="2"/>
          <w:numId w:val="0"/>
        </w:numPr>
        <w:ind w:left="709" w:firstLine="425"/>
        <w:spacing w:line="360" w:lineRule="auto"/>
        <w:tabs>
          <w:tab w:val="left" w:pos="1980" w:leader="none"/>
        </w:tabs>
        <w:rPr>
          <w:color w:val="000000"/>
          <w:sz w:val="24"/>
          <w:highlight w:val="none"/>
        </w:rPr>
      </w:pPr>
      <w:r>
        <w:rPr>
          <w:color w:val="000000"/>
          <w:sz w:val="24"/>
          <w:highlight w:val="none"/>
        </w:rPr>
        <w:t xml:space="preserve">3.2.1.谈判文件对于报价修正是否另有规定：</w:t>
      </w:r>
      <w:r>
        <w:rPr>
          <w:color w:val="000000"/>
          <w:sz w:val="24"/>
          <w:highlight w:val="none"/>
        </w:rPr>
      </w:r>
      <w:r/>
    </w:p>
    <w:p>
      <w:pPr>
        <w:pStyle w:val="1288"/>
        <w:ind w:left="2035"/>
        <w:spacing w:line="360" w:lineRule="auto"/>
        <w:tabs>
          <w:tab w:val="left" w:pos="1080" w:leader="none"/>
          <w:tab w:val="left" w:pos="1589" w:leader="none"/>
          <w:tab w:val="left" w:pos="2035" w:leader="none"/>
          <w:tab w:val="left" w:pos="2114" w:leader="none"/>
        </w:tabs>
        <w:rPr>
          <w:color w:val="000000"/>
          <w:sz w:val="24"/>
          <w:highlight w:val="none"/>
          <w:u w:val="single"/>
        </w:rPr>
      </w:pPr>
      <w:r>
        <w:rPr>
          <w:rFonts w:hint="eastAsia"/>
          <w:color w:val="000000"/>
          <w:sz w:val="24"/>
          <w:highlight w:val="none"/>
        </w:rPr>
        <w:t xml:space="preserve">□</w:t>
      </w:r>
      <w:r>
        <w:rPr>
          <w:color w:val="000000"/>
          <w:sz w:val="24"/>
          <w:highlight w:val="none"/>
        </w:rPr>
        <w:t xml:space="preserve">有，具体规定为：____________________________</w:t>
      </w:r>
      <w:r>
        <w:rPr>
          <w:color w:val="000000"/>
          <w:sz w:val="24"/>
          <w:highlight w:val="none"/>
          <w:u w:val="single"/>
        </w:rPr>
      </w:r>
      <w:r/>
    </w:p>
    <w:p>
      <w:pPr>
        <w:pStyle w:val="1288"/>
        <w:ind w:left="2035"/>
        <w:spacing w:line="360" w:lineRule="auto"/>
        <w:tabs>
          <w:tab w:val="left" w:pos="1080" w:leader="none"/>
          <w:tab w:val="left" w:pos="1589" w:leader="none"/>
          <w:tab w:val="left" w:pos="2035" w:leader="none"/>
          <w:tab w:val="left" w:pos="2114" w:leader="none"/>
        </w:tabs>
        <w:rPr>
          <w:color w:val="000000"/>
          <w:sz w:val="24"/>
          <w:highlight w:val="none"/>
        </w:rPr>
      </w:pPr>
      <w:r>
        <w:rPr>
          <w:rFonts w:hint="eastAsia" w:ascii="MS Gothic" w:hAnsi="MS Gothic" w:cs="MS Gothic"/>
          <w:color w:val="000000"/>
          <w:sz w:val="24"/>
          <w:highlight w:val="none"/>
        </w:rPr>
        <w:t xml:space="preserve">■</w:t>
      </w:r>
      <w:r>
        <w:rPr>
          <w:color w:val="000000"/>
          <w:sz w:val="24"/>
          <w:highlight w:val="none"/>
        </w:rPr>
        <w:t xml:space="preserve">无，按下述3.2.2-3.2.5项规定修正。</w:t>
      </w:r>
      <w:r>
        <w:rPr>
          <w:color w:val="000000"/>
          <w:sz w:val="24"/>
          <w:highlight w:val="none"/>
        </w:rPr>
      </w:r>
      <w:r/>
    </w:p>
    <w:p>
      <w:pPr>
        <w:pStyle w:val="1288"/>
        <w:numPr>
          <w:ilvl w:val="2"/>
          <w:numId w:val="0"/>
        </w:numPr>
        <w:ind w:left="709" w:firstLine="425"/>
        <w:spacing w:line="360" w:lineRule="auto"/>
        <w:tabs>
          <w:tab w:val="left" w:pos="1980" w:leader="none"/>
        </w:tabs>
        <w:rPr>
          <w:color w:val="000000"/>
          <w:sz w:val="24"/>
          <w:highlight w:val="none"/>
        </w:rPr>
      </w:pPr>
      <w:r>
        <w:rPr>
          <w:color w:val="000000"/>
          <w:sz w:val="24"/>
          <w:highlight w:val="none"/>
        </w:rPr>
        <w:t xml:space="preserve">3.2.2.大写金额和小写金额不一致的，以大写金额为准；</w:t>
      </w:r>
      <w:r>
        <w:rPr>
          <w:color w:val="000000"/>
          <w:sz w:val="24"/>
          <w:highlight w:val="none"/>
        </w:rPr>
      </w:r>
      <w:r/>
    </w:p>
    <w:p>
      <w:pPr>
        <w:pStyle w:val="1288"/>
        <w:numPr>
          <w:ilvl w:val="2"/>
          <w:numId w:val="0"/>
        </w:numPr>
        <w:ind w:left="709" w:firstLine="425"/>
        <w:spacing w:line="360" w:lineRule="auto"/>
        <w:tabs>
          <w:tab w:val="left" w:pos="1980" w:leader="none"/>
        </w:tabs>
        <w:rPr>
          <w:color w:val="000000"/>
          <w:sz w:val="24"/>
          <w:highlight w:val="none"/>
        </w:rPr>
      </w:pPr>
      <w:r>
        <w:rPr>
          <w:color w:val="000000"/>
          <w:sz w:val="24"/>
          <w:highlight w:val="none"/>
        </w:rPr>
        <w:t xml:space="preserve">3.2.3.单价金额小数点或者百分比有明显错位的，以总价为准，并修改单价；</w:t>
      </w:r>
      <w:r>
        <w:rPr>
          <w:color w:val="000000"/>
          <w:sz w:val="24"/>
          <w:highlight w:val="none"/>
        </w:rPr>
      </w:r>
      <w:r/>
    </w:p>
    <w:p>
      <w:pPr>
        <w:pStyle w:val="1288"/>
        <w:numPr>
          <w:ilvl w:val="2"/>
          <w:numId w:val="0"/>
        </w:numPr>
        <w:ind w:left="709" w:firstLine="425"/>
        <w:spacing w:line="360" w:lineRule="auto"/>
        <w:tabs>
          <w:tab w:val="left" w:pos="1980" w:leader="none"/>
        </w:tabs>
        <w:rPr>
          <w:color w:val="000000"/>
          <w:sz w:val="24"/>
          <w:highlight w:val="none"/>
        </w:rPr>
      </w:pPr>
      <w:r>
        <w:rPr>
          <w:color w:val="000000"/>
          <w:sz w:val="24"/>
          <w:highlight w:val="none"/>
        </w:rPr>
        <w:t xml:space="preserve">3.2.4.总价金额与按单价汇总金额不一致的，以单价金额计算结果为准。</w:t>
      </w:r>
      <w:r>
        <w:rPr>
          <w:color w:val="000000"/>
          <w:sz w:val="24"/>
          <w:highlight w:val="none"/>
        </w:rPr>
      </w:r>
      <w:r/>
    </w:p>
    <w:p>
      <w:pPr>
        <w:pStyle w:val="1288"/>
        <w:numPr>
          <w:ilvl w:val="2"/>
          <w:numId w:val="0"/>
        </w:numPr>
        <w:ind w:left="1985" w:hanging="851"/>
        <w:spacing w:line="360" w:lineRule="auto"/>
        <w:tabs>
          <w:tab w:val="left" w:pos="1980" w:leader="none"/>
        </w:tabs>
        <w:rPr>
          <w:color w:val="000000"/>
          <w:sz w:val="24"/>
          <w:highlight w:val="none"/>
        </w:rPr>
      </w:pPr>
      <w:r>
        <w:rPr>
          <w:color w:val="000000"/>
          <w:sz w:val="24"/>
          <w:highlight w:val="none"/>
        </w:rPr>
        <w:t xml:space="preserve">3.2.5.同时出现两种以上不一致的，按照前款规定的顺序修正。修正后的报价经供应商书面确认后产生约束力，供应商不确认的，其</w:t>
      </w:r>
      <w:r>
        <w:rPr>
          <w:b/>
          <w:color w:val="000000"/>
          <w:sz w:val="24"/>
          <w:highlight w:val="none"/>
        </w:rPr>
        <w:t xml:space="preserve">响应无效</w:t>
      </w:r>
      <w:r>
        <w:rPr>
          <w:color w:val="000000"/>
          <w:sz w:val="24"/>
          <w:highlight w:val="none"/>
        </w:rPr>
        <w:t xml:space="preserve">。</w:t>
      </w:r>
      <w:r>
        <w:rPr>
          <w:color w:val="000000"/>
          <w:sz w:val="24"/>
          <w:highlight w:val="none"/>
        </w:rPr>
      </w:r>
      <w:r/>
    </w:p>
    <w:p>
      <w:pPr>
        <w:pStyle w:val="1328"/>
        <w:ind w:left="900" w:firstLine="0"/>
        <w:spacing w:line="360" w:lineRule="auto"/>
        <w:tabs>
          <w:tab w:val="left" w:pos="1080" w:leader="none"/>
          <w:tab w:val="left" w:pos="1447" w:leader="none"/>
          <w:tab w:val="left" w:pos="1589" w:leader="none"/>
          <w:tab w:val="left" w:pos="2014" w:leader="none"/>
        </w:tabs>
        <w:rPr>
          <w:rFonts w:ascii="Times New Roman" w:hAnsi="Times New Roman"/>
          <w:vanish/>
          <w:color w:val="000000"/>
          <w:sz w:val="24"/>
          <w:szCs w:val="24"/>
          <w:highlight w:val="none"/>
        </w:rPr>
      </w:pPr>
      <w:r>
        <w:rPr>
          <w:rFonts w:ascii="Times New Roman" w:hAnsi="Times New Roman"/>
          <w:vanish/>
          <w:color w:val="000000"/>
          <w:sz w:val="24"/>
          <w:szCs w:val="24"/>
          <w:highlight w:val="none"/>
        </w:rPr>
      </w:r>
      <w:r/>
    </w:p>
    <w:p>
      <w:pPr>
        <w:pStyle w:val="1288"/>
        <w:ind w:left="425" w:firstLine="0"/>
        <w:spacing w:line="360" w:lineRule="auto"/>
        <w:tabs>
          <w:tab w:val="left" w:pos="1080" w:leader="none"/>
          <w:tab w:val="left" w:pos="1378" w:leader="none"/>
          <w:tab w:val="left" w:pos="1589" w:leader="none"/>
          <w:tab w:val="left" w:pos="2014" w:leader="none"/>
        </w:tabs>
        <w:rPr>
          <w:color w:val="000000"/>
          <w:sz w:val="24"/>
          <w:highlight w:val="none"/>
        </w:rPr>
      </w:pPr>
      <w:r>
        <w:rPr>
          <w:color w:val="000000"/>
          <w:sz w:val="24"/>
          <w:highlight w:val="none"/>
        </w:rPr>
        <w:t xml:space="preserve">3.3 落实政府采购政策的价格调整：只有符合第二章《供应商须知》3.2条规定情形的，可以享受中小企业扶持政策，用扣除后的价格参加评审；否则，评审时价格不予扣除。</w:t>
      </w:r>
      <w:r>
        <w:rPr>
          <w:color w:val="000000"/>
          <w:sz w:val="24"/>
          <w:highlight w:val="none"/>
        </w:rPr>
      </w:r>
      <w:r/>
    </w:p>
    <w:p>
      <w:pPr>
        <w:pStyle w:val="1288"/>
        <w:ind w:left="1985" w:firstLine="0"/>
        <w:spacing w:line="360" w:lineRule="auto"/>
        <w:tabs>
          <w:tab w:val="left" w:pos="1980" w:leader="none"/>
        </w:tabs>
        <w:rPr>
          <w:rFonts w:hint="eastAsia"/>
          <w:color w:val="000000"/>
          <w:sz w:val="24"/>
          <w:highlight w:val="none"/>
        </w:rPr>
      </w:pPr>
      <w:r>
        <w:rPr>
          <w:color w:val="000000"/>
          <w:sz w:val="24"/>
          <w:highlight w:val="none"/>
        </w:rPr>
        <w:t xml:space="preserve">3.3.1对于未预留份额专门面向中小企业采购的采购项目，以及预留份额项目中的非预留部分采购包，对</w:t>
      </w:r>
      <w:r>
        <w:rPr>
          <w:b/>
          <w:color w:val="000000"/>
          <w:sz w:val="24"/>
          <w:highlight w:val="none"/>
        </w:rPr>
        <w:t xml:space="preserve">小微企业</w:t>
      </w:r>
      <w:r>
        <w:rPr>
          <w:color w:val="000000"/>
          <w:sz w:val="24"/>
          <w:highlight w:val="none"/>
        </w:rPr>
        <w:t xml:space="preserve">报价给予</w:t>
      </w:r>
      <w:r>
        <w:rPr>
          <w:rFonts w:hint="eastAsia"/>
          <w:color w:val="000000"/>
          <w:sz w:val="24"/>
          <w:highlight w:val="none"/>
        </w:rPr>
        <w:t xml:space="preserve">20</w:t>
      </w:r>
      <w:r>
        <w:rPr>
          <w:color w:val="000000"/>
          <w:sz w:val="24"/>
          <w:highlight w:val="none"/>
        </w:rPr>
        <w:t xml:space="preserve">%的扣除</w:t>
      </w:r>
      <w:r>
        <w:rPr>
          <w:rFonts w:ascii="宋体" w:hAnsi="宋体" w:cs="宋体"/>
          <w:color w:val="000000"/>
          <w:sz w:val="24"/>
          <w:highlight w:val="none"/>
        </w:rPr>
        <w:t xml:space="preserve">（工程项目为</w:t>
      </w:r>
      <w:r>
        <w:rPr>
          <w:rFonts w:eastAsia="Times New Roman"/>
          <w:color w:val="000000"/>
          <w:sz w:val="24"/>
          <w:highlight w:val="none"/>
        </w:rPr>
        <w:t xml:space="preserve">5%</w:t>
      </w:r>
      <w:r>
        <w:rPr>
          <w:rFonts w:ascii="宋体" w:hAnsi="宋体" w:cs="宋体"/>
          <w:color w:val="000000"/>
          <w:sz w:val="24"/>
          <w:highlight w:val="none"/>
        </w:rPr>
        <w:t xml:space="preserve">）</w:t>
      </w:r>
      <w:r>
        <w:rPr>
          <w:color w:val="000000"/>
          <w:sz w:val="24"/>
          <w:highlight w:val="none"/>
        </w:rPr>
        <w:t xml:space="preserve">，用扣除后的价格参加评审。</w:t>
      </w:r>
      <w:r>
        <w:rPr>
          <w:rFonts w:hint="eastAsia"/>
          <w:color w:val="000000"/>
          <w:sz w:val="24"/>
          <w:highlight w:val="none"/>
        </w:rPr>
      </w:r>
      <w:r/>
    </w:p>
    <w:p>
      <w:pPr>
        <w:pStyle w:val="1288"/>
        <w:ind w:left="1985" w:firstLine="0"/>
        <w:spacing w:line="360" w:lineRule="auto"/>
        <w:tabs>
          <w:tab w:val="left" w:pos="1980" w:leader="none"/>
        </w:tabs>
        <w:rPr>
          <w:rFonts w:hint="eastAsia"/>
          <w:color w:val="000000"/>
          <w:sz w:val="24"/>
          <w:highlight w:val="none"/>
        </w:rPr>
      </w:pPr>
      <w:r>
        <w:rPr>
          <w:color w:val="000000"/>
          <w:sz w:val="24"/>
          <w:highlight w:val="none"/>
        </w:rPr>
        <w:t xml:space="preserve">3.3.2对于未预留份额专门面向中小企业采购的采购项目，以及预留份额项目中的非预留部分采购包，且接受大中型企业与</w:t>
      </w:r>
      <w:r>
        <w:rPr>
          <w:b/>
          <w:color w:val="000000"/>
          <w:sz w:val="24"/>
          <w:highlight w:val="none"/>
        </w:rPr>
        <w:t xml:space="preserve">小微企业</w:t>
      </w:r>
      <w:r>
        <w:rPr>
          <w:color w:val="000000"/>
          <w:sz w:val="24"/>
          <w:highlight w:val="none"/>
        </w:rPr>
        <w:t xml:space="preserve">组成联合体或者允许大中型企业向一家或者多家</w:t>
      </w:r>
      <w:r>
        <w:rPr>
          <w:b/>
          <w:color w:val="000000"/>
          <w:sz w:val="24"/>
          <w:highlight w:val="none"/>
        </w:rPr>
        <w:t xml:space="preserve">小微企业</w:t>
      </w:r>
      <w:r>
        <w:rPr>
          <w:color w:val="000000"/>
          <w:sz w:val="24"/>
          <w:highlight w:val="none"/>
        </w:rPr>
        <w:t xml:space="preserve">分包的采购项目，对于联合协议或者分包意向协议约定</w:t>
      </w:r>
      <w:r>
        <w:rPr>
          <w:b/>
          <w:color w:val="000000"/>
          <w:sz w:val="24"/>
          <w:highlight w:val="none"/>
        </w:rPr>
        <w:t xml:space="preserve">小微企业</w:t>
      </w:r>
      <w:r>
        <w:rPr>
          <w:color w:val="000000"/>
          <w:sz w:val="24"/>
          <w:highlight w:val="none"/>
        </w:rPr>
        <w:t xml:space="preserve">的合同份额占到合同总金额 30%以上的联合体或者大中型企业的报价给予</w:t>
      </w:r>
      <w:r>
        <w:rPr>
          <w:rFonts w:hint="eastAsia"/>
          <w:color w:val="000000"/>
          <w:sz w:val="24"/>
          <w:highlight w:val="none"/>
        </w:rPr>
        <w:t xml:space="preserve">3</w:t>
      </w:r>
      <w:r>
        <w:rPr>
          <w:color w:val="000000"/>
          <w:sz w:val="24"/>
          <w:highlight w:val="none"/>
        </w:rPr>
        <w:t xml:space="preserve">%的扣除，用扣除后的价格参加评审。</w:t>
      </w:r>
      <w:r>
        <w:rPr>
          <w:rFonts w:hint="eastAsia"/>
          <w:color w:val="000000"/>
          <w:sz w:val="24"/>
          <w:highlight w:val="none"/>
        </w:rPr>
      </w:r>
      <w:r/>
    </w:p>
    <w:p>
      <w:pPr>
        <w:pStyle w:val="1288"/>
        <w:ind w:left="1985" w:firstLine="0"/>
        <w:spacing w:line="360" w:lineRule="auto"/>
        <w:tabs>
          <w:tab w:val="left" w:pos="1980" w:leader="none"/>
        </w:tabs>
        <w:rPr>
          <w:rFonts w:hint="eastAsia"/>
          <w:color w:val="000000"/>
          <w:sz w:val="24"/>
          <w:highlight w:val="none"/>
        </w:rPr>
      </w:pPr>
      <w:r>
        <w:rPr>
          <w:color w:val="000000"/>
          <w:sz w:val="24"/>
          <w:highlight w:val="none"/>
        </w:rPr>
        <w:t xml:space="preserve">3.3.3组成联合体或者接受分包的小微企业与联合体内其他企业、分包企业之间存在直接控股、管理关系的，不享受价格扣除优惠政策。</w:t>
      </w:r>
      <w:r>
        <w:rPr>
          <w:rFonts w:hint="eastAsia"/>
          <w:color w:val="000000"/>
          <w:sz w:val="24"/>
          <w:highlight w:val="none"/>
        </w:rPr>
      </w:r>
      <w:r/>
    </w:p>
    <w:p>
      <w:pPr>
        <w:pStyle w:val="1288"/>
        <w:ind w:left="1985" w:firstLine="0"/>
        <w:spacing w:line="360" w:lineRule="auto"/>
        <w:tabs>
          <w:tab w:val="left" w:pos="1980" w:leader="none"/>
        </w:tabs>
        <w:rPr>
          <w:color w:val="000000"/>
          <w:sz w:val="24"/>
          <w:highlight w:val="none"/>
        </w:rPr>
      </w:pPr>
      <w:r>
        <w:rPr>
          <w:color w:val="000000"/>
          <w:sz w:val="24"/>
          <w:highlight w:val="none"/>
        </w:rPr>
        <w:t xml:space="preserve">3.3.4价格扣除比例对小型企业和微型企业同等对待，不作区分。</w:t>
      </w:r>
      <w:r>
        <w:rPr>
          <w:color w:val="000000"/>
          <w:sz w:val="24"/>
          <w:highlight w:val="none"/>
        </w:rPr>
      </w:r>
      <w:r/>
    </w:p>
    <w:p>
      <w:pPr>
        <w:pStyle w:val="1288"/>
        <w:ind w:left="1985" w:firstLine="0"/>
        <w:spacing w:line="360" w:lineRule="auto"/>
        <w:tabs>
          <w:tab w:val="left" w:pos="1980" w:leader="none"/>
        </w:tabs>
        <w:rPr>
          <w:color w:val="000000"/>
          <w:sz w:val="24"/>
          <w:highlight w:val="none"/>
        </w:rPr>
      </w:pPr>
      <w:r>
        <w:rPr>
          <w:color w:val="000000"/>
          <w:sz w:val="24"/>
          <w:highlight w:val="none"/>
        </w:rPr>
        <w:t xml:space="preserve">3.3.5中小企业参加政府采购活动，应当按照谈判文件给定的格式出具《中小企业声明函》，否则不得享受相关中小企业扶持政策。</w:t>
      </w:r>
      <w:r>
        <w:rPr>
          <w:color w:val="000000"/>
          <w:sz w:val="24"/>
          <w:highlight w:val="none"/>
        </w:rPr>
      </w:r>
      <w:r/>
    </w:p>
    <w:p>
      <w:pPr>
        <w:pStyle w:val="1288"/>
        <w:ind w:left="1985" w:firstLine="0"/>
        <w:spacing w:line="360" w:lineRule="auto"/>
        <w:tabs>
          <w:tab w:val="left" w:pos="1980" w:leader="none"/>
        </w:tabs>
        <w:rPr>
          <w:color w:val="000000"/>
          <w:sz w:val="24"/>
          <w:highlight w:val="none"/>
        </w:rPr>
      </w:pPr>
      <w:r>
        <w:rPr>
          <w:color w:val="000000"/>
          <w:sz w:val="24"/>
          <w:highlight w:val="none"/>
        </w:rPr>
        <w:t xml:space="preserve">3.3.6监狱企业提供了由省级以上监狱管理局（常州市含教育矫治局）、戒毒管理局（含新疆生产建设兵团）出具的属于监狱企业的证明文件的，视同小微企业。</w:t>
      </w:r>
      <w:r>
        <w:rPr>
          <w:color w:val="000000"/>
          <w:sz w:val="24"/>
          <w:highlight w:val="none"/>
        </w:rPr>
      </w:r>
      <w:r/>
    </w:p>
    <w:p>
      <w:pPr>
        <w:pStyle w:val="1288"/>
        <w:ind w:left="1985" w:firstLine="0"/>
        <w:spacing w:line="360" w:lineRule="auto"/>
        <w:tabs>
          <w:tab w:val="left" w:pos="1980" w:leader="none"/>
        </w:tabs>
        <w:rPr>
          <w:color w:val="000000"/>
          <w:sz w:val="24"/>
          <w:highlight w:val="none"/>
        </w:rPr>
      </w:pPr>
      <w:r>
        <w:rPr>
          <w:color w:val="000000"/>
          <w:sz w:val="24"/>
          <w:highlight w:val="none"/>
        </w:rPr>
        <w:t xml:space="preserve">3.3.7残疾人福利性单位按谈判文件要求提供了《残疾人福利性单位声明函》（见附件）的，视同小微企业。</w:t>
      </w:r>
      <w:r>
        <w:rPr>
          <w:color w:val="000000"/>
          <w:sz w:val="24"/>
          <w:highlight w:val="none"/>
        </w:rPr>
      </w:r>
      <w:r/>
    </w:p>
    <w:p>
      <w:pPr>
        <w:pStyle w:val="1288"/>
        <w:ind w:left="1985" w:firstLine="0"/>
        <w:spacing w:line="360" w:lineRule="auto"/>
        <w:tabs>
          <w:tab w:val="left" w:pos="1980" w:leader="none"/>
        </w:tabs>
        <w:rPr>
          <w:color w:val="000000"/>
          <w:sz w:val="24"/>
          <w:highlight w:val="none"/>
        </w:rPr>
      </w:pPr>
      <w:r>
        <w:rPr>
          <w:color w:val="000000"/>
          <w:sz w:val="24"/>
          <w:highlight w:val="none"/>
        </w:rPr>
        <w:t xml:space="preserve">3.3.8若供应商同时属于小型或微型企业、监狱企业、残疾人福利性单位中的两种及以上，将不重复享受小微企业价格扣减的优惠政策。</w:t>
      </w:r>
      <w:r>
        <w:rPr>
          <w:color w:val="000000"/>
          <w:sz w:val="24"/>
          <w:highlight w:val="none"/>
        </w:rPr>
      </w:r>
      <w:r/>
    </w:p>
    <w:p>
      <w:pPr>
        <w:pStyle w:val="1288"/>
        <w:ind w:left="1985" w:firstLine="0"/>
        <w:spacing w:line="360" w:lineRule="auto"/>
        <w:tabs>
          <w:tab w:val="left" w:pos="1980" w:leader="none"/>
        </w:tabs>
        <w:rPr>
          <w:color w:val="000000"/>
          <w:sz w:val="24"/>
          <w:highlight w:val="none"/>
        </w:rPr>
      </w:pPr>
      <w:r/>
      <w:bookmarkStart w:id="734" w:name="OLE_LINK93"/>
      <w:r/>
      <w:bookmarkStart w:id="735" w:name="OLE_LINK94"/>
      <w:r/>
      <w:bookmarkStart w:id="736" w:name="OLE_LINK92"/>
      <w:r>
        <w:rPr>
          <w:rFonts w:hint="eastAsia"/>
          <w:color w:val="000000"/>
          <w:sz w:val="24"/>
          <w:highlight w:val="none"/>
        </w:rPr>
        <w:t xml:space="preserve">3.3.9非政府强制采购的节能产品或环境标志产品，依据品目清单和认证证书实施政府优先采购。优先采购的具体规定（如涉及）：</w:t>
      </w:r>
      <w:r>
        <w:rPr>
          <w:color w:val="000000"/>
          <w:sz w:val="24"/>
          <w:highlight w:val="none"/>
        </w:rPr>
        <w:t xml:space="preserve">______</w:t>
      </w:r>
      <w:r>
        <w:rPr>
          <w:rFonts w:hint="eastAsia"/>
          <w:color w:val="000000"/>
          <w:sz w:val="24"/>
          <w:highlight w:val="none"/>
        </w:rPr>
        <w:t xml:space="preserve">。</w:t>
      </w:r>
      <w:r>
        <w:rPr>
          <w:color w:val="000000"/>
          <w:sz w:val="24"/>
          <w:highlight w:val="none"/>
        </w:rPr>
      </w:r>
      <w:r/>
    </w:p>
    <w:p>
      <w:pPr>
        <w:pStyle w:val="1288"/>
        <w:ind w:left="1985" w:firstLine="0"/>
        <w:spacing w:line="360" w:lineRule="auto"/>
        <w:tabs>
          <w:tab w:val="left" w:pos="1980" w:leader="none"/>
        </w:tabs>
        <w:rPr>
          <w:color w:val="000000"/>
          <w:sz w:val="24"/>
          <w:highlight w:val="none"/>
        </w:rPr>
      </w:pPr>
      <w:r>
        <w:rPr>
          <w:rFonts w:hint="eastAsia"/>
          <w:color w:val="000000"/>
          <w:sz w:val="24"/>
          <w:highlight w:val="none"/>
        </w:rPr>
        <w:t xml:space="preserve">3.3.10关于无线局域网认证产品政府采购清单中的产品，优先采购的具体规定（如涉及）：</w:t>
      </w:r>
      <w:r>
        <w:rPr>
          <w:color w:val="000000"/>
          <w:sz w:val="24"/>
          <w:highlight w:val="none"/>
        </w:rPr>
        <w:t xml:space="preserve">_________</w:t>
      </w:r>
      <w:r>
        <w:rPr>
          <w:rFonts w:hint="eastAsia"/>
          <w:color w:val="000000"/>
          <w:sz w:val="24"/>
          <w:highlight w:val="none"/>
        </w:rPr>
        <w:t xml:space="preserve">。</w:t>
      </w:r>
      <w:r>
        <w:rPr>
          <w:color w:val="000000"/>
          <w:sz w:val="24"/>
          <w:highlight w:val="none"/>
        </w:rPr>
      </w:r>
      <w:r/>
    </w:p>
    <w:p>
      <w:pPr>
        <w:pStyle w:val="1288"/>
        <w:ind w:left="1985" w:firstLine="0"/>
        <w:spacing w:line="360" w:lineRule="auto"/>
        <w:tabs>
          <w:tab w:val="left" w:pos="1980" w:leader="none"/>
        </w:tabs>
        <w:rPr>
          <w:rFonts w:hint="eastAsia"/>
          <w:color w:val="000000"/>
          <w:sz w:val="24"/>
          <w:highlight w:val="none"/>
        </w:rPr>
      </w:pPr>
      <w:r>
        <w:rPr>
          <w:rFonts w:hint="eastAsia"/>
          <w:color w:val="000000"/>
          <w:sz w:val="24"/>
          <w:highlight w:val="none"/>
        </w:rPr>
        <w:t xml:space="preserve">3.3.11采购本国产品的支持政策</w:t>
      </w:r>
      <w:r>
        <w:rPr>
          <w:rFonts w:hint="eastAsia"/>
          <w:color w:val="000000"/>
          <w:sz w:val="24"/>
          <w:highlight w:val="none"/>
        </w:rPr>
      </w:r>
      <w:r/>
    </w:p>
    <w:p>
      <w:pPr>
        <w:pStyle w:val="1288"/>
        <w:ind w:left="360" w:firstLine="0"/>
        <w:spacing w:line="360" w:lineRule="auto"/>
        <w:tabs>
          <w:tab w:val="left" w:pos="1980" w:leader="none"/>
        </w:tabs>
        <w:rPr>
          <w:rFonts w:hint="eastAsia"/>
          <w:color w:val="000000"/>
          <w:sz w:val="24"/>
          <w:highlight w:val="none"/>
        </w:rPr>
      </w:pPr>
      <w:r>
        <w:rPr>
          <w:rFonts w:hint="eastAsia"/>
          <w:color w:val="000000"/>
          <w:sz w:val="24"/>
          <w:highlight w:val="none"/>
        </w:rPr>
        <w:t xml:space="preserve">              3.3.11.1本项目政府采购活动中既有本国产品又有非本国产品参与竞争的，依法对本国产品给予价格评审优惠，对本国产品的报价给予20%的价格扣 除，用扣除后的价格参与评审。</w:t>
      </w:r>
      <w:r>
        <w:rPr>
          <w:rFonts w:hint="eastAsia"/>
          <w:color w:val="000000"/>
          <w:sz w:val="24"/>
          <w:highlight w:val="none"/>
        </w:rPr>
      </w:r>
      <w:r/>
    </w:p>
    <w:p>
      <w:pPr>
        <w:ind w:left="360" w:firstLine="0"/>
        <w:spacing w:line="360" w:lineRule="auto"/>
        <w:tabs>
          <w:tab w:val="left" w:pos="1980" w:leader="none"/>
        </w:tabs>
        <w:rPr>
          <w:rFonts w:hint="eastAsia"/>
          <w:color w:val="000000"/>
          <w:sz w:val="24"/>
          <w:szCs w:val="24"/>
          <w:highlight w:val="none"/>
          <w14:ligatures w14:val="none"/>
        </w:rPr>
      </w:pPr>
      <w:r>
        <w:rPr>
          <w:rFonts w:hint="eastAsia"/>
          <w:color w:val="000000"/>
          <w:sz w:val="24"/>
          <w:szCs w:val="24"/>
          <w:highlight w:val="none"/>
        </w:rPr>
        <w:t xml:space="preserve">              3.3.11.2当采购项目或者采购包中含有多种产品，供应商为该采购项目或者采购包提供的符合本国产品标准的产品成本之和占该供应商提供的全部产品成本之和的比例达到80%以上时（供应商需在“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hint="eastAsia"/>
          <w:color w:val="000000"/>
          <w:sz w:val="24"/>
          <w:szCs w:val="24"/>
          <w:highlight w:val="none"/>
        </w:rPr>
      </w:r>
      <w:r/>
    </w:p>
    <w:p>
      <w:pPr>
        <w:pStyle w:val="1288"/>
        <w:ind w:left="360" w:firstLine="0"/>
        <w:spacing w:line="360" w:lineRule="auto"/>
        <w:tabs>
          <w:tab w:val="left" w:pos="1980" w:leader="none"/>
        </w:tabs>
        <w:rPr>
          <w:rFonts w:hint="eastAsia"/>
          <w:color w:val="000000"/>
          <w:sz w:val="24"/>
          <w:highlight w:val="none"/>
        </w:rPr>
      </w:pPr>
      <w:r>
        <w:rPr>
          <w:rFonts w:hint="eastAsia"/>
          <w:color w:val="000000"/>
          <w:sz w:val="24"/>
          <w:highlight w:val="none"/>
        </w:rPr>
        <w:t xml:space="preserve">               3.3.11.3供应商需按照采购文件的要求提供《关于符合本国产品标准的声明函》（以下简称《声明函》），如不提供将不享受本国产品价格评审优惠。</w:t>
      </w:r>
      <w:r>
        <w:rPr>
          <w:rFonts w:hint="eastAsia"/>
          <w:color w:val="000000"/>
          <w:sz w:val="24"/>
          <w:highlight w:val="none"/>
        </w:rPr>
      </w:r>
      <w:r/>
    </w:p>
    <w:p>
      <w:pPr>
        <w:pStyle w:val="1288"/>
        <w:ind w:left="360" w:firstLine="0"/>
        <w:spacing w:line="360" w:lineRule="auto"/>
        <w:tabs>
          <w:tab w:val="left" w:pos="1980" w:leader="none"/>
        </w:tabs>
        <w:rPr>
          <w:rFonts w:hint="eastAsia"/>
          <w:color w:val="000000"/>
          <w:sz w:val="24"/>
          <w:highlight w:val="none"/>
        </w:rPr>
      </w:pPr>
      <w:r>
        <w:rPr>
          <w:rFonts w:hint="eastAsia"/>
          <w:color w:val="000000"/>
          <w:sz w:val="24"/>
          <w:highlight w:val="none"/>
        </w:rPr>
        <w:t xml:space="preserve">               3.3.11.4供应商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color w:val="000000"/>
          <w:sz w:val="24"/>
          <w:highlight w:val="none"/>
        </w:rPr>
      </w:r>
      <w:r/>
    </w:p>
    <w:p>
      <w:pPr>
        <w:pStyle w:val="1288"/>
        <w:ind w:left="360" w:firstLine="0"/>
        <w:spacing w:line="360" w:lineRule="auto"/>
        <w:tabs>
          <w:tab w:val="left" w:pos="1980" w:leader="none"/>
        </w:tabs>
        <w:rPr>
          <w:color w:val="000000"/>
          <w:sz w:val="24"/>
          <w:highlight w:val="none"/>
        </w:rPr>
      </w:pPr>
      <w:r>
        <w:rPr>
          <w:rFonts w:hint="eastAsia"/>
          <w:color w:val="000000"/>
          <w:sz w:val="24"/>
          <w:highlight w:val="none"/>
        </w:rPr>
        <w:t xml:space="preserve">3.3.11.5谈判过程中，如发现供应商在《声明函》内容含义不明确、同类事项与投标（响应）文件表述不一致或者有明显文字错误等情况的，谈判小组应当以书面形式要求供应商作出必要的澄清、说明或者补正。经澄清、说明或者补正的《声明函》仍然不符合《国务院办公厅关于在政府采购中实施本国产品标准及相关政策的通知》（国办发〔2025〕34号）和采购文件规定的，供应商提供的相关产品视为不符合本国产品标准。</w:t>
      </w:r>
      <w:r>
        <w:rPr>
          <w:color w:val="000000"/>
          <w:sz w:val="24"/>
          <w:highlight w:val="none"/>
        </w:rPr>
      </w:r>
      <w:r/>
    </w:p>
    <w:p>
      <w:pPr>
        <w:pStyle w:val="1288"/>
        <w:ind w:left="1985" w:firstLine="0"/>
        <w:spacing w:line="360" w:lineRule="auto"/>
        <w:tabs>
          <w:tab w:val="left" w:pos="1980" w:leader="none"/>
        </w:tabs>
        <w:rPr>
          <w:color w:val="000000"/>
          <w:sz w:val="24"/>
          <w:highlight w:val="none"/>
        </w:rPr>
      </w:pPr>
      <w:r>
        <w:rPr>
          <w:color w:val="000000"/>
          <w:sz w:val="24"/>
          <w:highlight w:val="none"/>
        </w:rPr>
        <w:t xml:space="preserve">3.3.12其他为落实政府采购政策实施的优先采购</w:t>
      </w:r>
      <w:r>
        <w:rPr>
          <w:rFonts w:hint="eastAsia"/>
          <w:color w:val="000000"/>
          <w:sz w:val="24"/>
          <w:highlight w:val="none"/>
        </w:rPr>
        <w:t xml:space="preserve">（如涉及）</w:t>
      </w:r>
      <w:r>
        <w:rPr>
          <w:color w:val="000000"/>
          <w:sz w:val="24"/>
          <w:highlight w:val="none"/>
        </w:rPr>
        <w:t xml:space="preserve">：______________。</w:t>
      </w:r>
      <w:r>
        <w:rPr>
          <w:color w:val="000000"/>
          <w:sz w:val="24"/>
          <w:highlight w:val="none"/>
        </w:rPr>
      </w:r>
      <w:r/>
    </w:p>
    <w:p>
      <w:pPr>
        <w:pStyle w:val="1288"/>
        <w:ind w:left="0" w:firstLine="0"/>
        <w:spacing w:line="360" w:lineRule="auto"/>
        <w:tabs>
          <w:tab w:val="left" w:pos="360" w:leader="none"/>
          <w:tab w:val="left" w:pos="900" w:leader="none"/>
        </w:tabs>
        <w:rPr>
          <w:color w:val="000000"/>
          <w:sz w:val="24"/>
          <w:highlight w:val="none"/>
        </w:rPr>
        <w:outlineLvl w:val="1"/>
      </w:pPr>
      <w:r/>
      <w:bookmarkEnd w:id="734"/>
      <w:r/>
      <w:bookmarkEnd w:id="735"/>
      <w:r/>
      <w:bookmarkEnd w:id="736"/>
      <w:r>
        <w:rPr>
          <w:color w:val="000000"/>
          <w:sz w:val="24"/>
          <w:highlight w:val="none"/>
        </w:rPr>
        <w:t xml:space="preserve">谈判环节及提交最终报价后如出现以下情况的，供应商的</w:t>
      </w:r>
      <w:r>
        <w:rPr>
          <w:rFonts w:hint="eastAsia"/>
          <w:b/>
          <w:bCs/>
          <w:color w:val="000000"/>
          <w:sz w:val="24"/>
          <w:highlight w:val="none"/>
        </w:rPr>
        <w:t xml:space="preserve">响应文件无效</w:t>
      </w:r>
      <w:r>
        <w:rPr>
          <w:color w:val="000000"/>
          <w:sz w:val="24"/>
          <w:highlight w:val="none"/>
        </w:rPr>
        <w:t xml:space="preserve">：</w:t>
      </w:r>
      <w:r>
        <w:rPr>
          <w:color w:val="000000"/>
          <w:sz w:val="24"/>
          <w:highlight w:val="none"/>
        </w:rPr>
      </w:r>
      <w:r/>
    </w:p>
    <w:p>
      <w:pPr>
        <w:pStyle w:val="1288"/>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4.1供应商对实质性变动不予确认的；</w:t>
      </w:r>
      <w:r>
        <w:rPr>
          <w:color w:val="000000"/>
          <w:sz w:val="24"/>
          <w:highlight w:val="none"/>
        </w:rPr>
      </w:r>
      <w:r/>
    </w:p>
    <w:p>
      <w:pPr>
        <w:pStyle w:val="1288"/>
        <w:ind w:left="0" w:firstLine="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4.2不满足谈判文件★号条款或谈判文件技术指标超出谈判文件</w:t>
      </w:r>
      <w:r>
        <w:rPr>
          <w:rFonts w:hint="eastAsia"/>
          <w:color w:val="000000"/>
          <w:sz w:val="24"/>
          <w:highlight w:val="none"/>
        </w:rPr>
        <w:t xml:space="preserve">《</w:t>
      </w:r>
      <w:r>
        <w:rPr>
          <w:color w:val="000000"/>
          <w:sz w:val="24"/>
          <w:highlight w:val="none"/>
        </w:rPr>
        <w:t xml:space="preserve">采购需求</w:t>
      </w:r>
      <w:r>
        <w:rPr>
          <w:rFonts w:hint="eastAsia"/>
          <w:color w:val="000000"/>
          <w:sz w:val="24"/>
          <w:highlight w:val="none"/>
        </w:rPr>
        <w:t xml:space="preserve">》</w:t>
      </w:r>
      <w:r>
        <w:rPr>
          <w:color w:val="000000"/>
          <w:sz w:val="24"/>
          <w:highlight w:val="none"/>
        </w:rPr>
        <w:t xml:space="preserve">中主要技术参数允许偏差的最大范围的（如有）；</w:t>
      </w:r>
      <w:r>
        <w:rPr>
          <w:color w:val="000000"/>
          <w:sz w:val="24"/>
          <w:highlight w:val="none"/>
        </w:rPr>
      </w:r>
      <w:r/>
    </w:p>
    <w:p>
      <w:pPr>
        <w:pStyle w:val="1288"/>
        <w:ind w:left="0" w:firstLine="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4.3未按照谈判小组规定的时间、逾期提交最终报价的；</w:t>
      </w:r>
      <w:r>
        <w:rPr>
          <w:color w:val="000000"/>
          <w:sz w:val="24"/>
          <w:highlight w:val="none"/>
        </w:rPr>
      </w:r>
      <w:r/>
    </w:p>
    <w:p>
      <w:pPr>
        <w:pStyle w:val="1288"/>
        <w:ind w:left="0" w:firstLine="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4.4如供应商的最终报价超过谈判文件中规定的项目/采购包预算金额或者项目/采购包最高限价</w:t>
      </w:r>
      <w:r>
        <w:rPr>
          <w:rFonts w:hint="eastAsia"/>
          <w:color w:val="000000"/>
          <w:sz w:val="24"/>
          <w:highlight w:val="none"/>
        </w:rPr>
        <w:t xml:space="preserve">单价及总价</w:t>
      </w:r>
      <w:r>
        <w:rPr>
          <w:color w:val="000000"/>
          <w:sz w:val="24"/>
          <w:highlight w:val="none"/>
        </w:rPr>
        <w:t xml:space="preserve">的；</w:t>
      </w:r>
      <w:r>
        <w:rPr>
          <w:color w:val="000000"/>
          <w:sz w:val="24"/>
          <w:highlight w:val="none"/>
        </w:rPr>
      </w:r>
      <w:r/>
    </w:p>
    <w:p>
      <w:pPr>
        <w:pStyle w:val="1288"/>
        <w:ind w:left="0" w:firstLine="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4.5响应文件中出现可选择性或可调整的报价的（谈判文件另有规定的除外）；</w:t>
      </w:r>
      <w:r>
        <w:rPr>
          <w:color w:val="000000"/>
          <w:sz w:val="24"/>
          <w:highlight w:val="none"/>
        </w:rPr>
      </w:r>
      <w:r/>
    </w:p>
    <w:p>
      <w:pPr>
        <w:pStyle w:val="1288"/>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4.6最终报价出现前后不一致，供应商对修正后的报价不予确认的；</w:t>
      </w:r>
      <w:r>
        <w:rPr>
          <w:color w:val="000000"/>
          <w:sz w:val="24"/>
          <w:highlight w:val="none"/>
        </w:rPr>
      </w:r>
      <w:r/>
    </w:p>
    <w:p>
      <w:pPr>
        <w:pStyle w:val="1288"/>
        <w:ind w:left="0" w:firstLine="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其他：_________________。</w:t>
      </w:r>
      <w:r>
        <w:rPr>
          <w:color w:val="000000"/>
          <w:sz w:val="24"/>
          <w:highlight w:val="none"/>
        </w:rPr>
      </w:r>
      <w:r/>
    </w:p>
    <w:p>
      <w:pPr>
        <w:pStyle w:val="1288"/>
        <w:ind w:left="0" w:firstLine="0"/>
        <w:spacing w:line="360" w:lineRule="auto"/>
        <w:tabs>
          <w:tab w:val="left" w:pos="360" w:leader="none"/>
          <w:tab w:val="left" w:pos="900" w:leader="none"/>
        </w:tabs>
        <w:rPr>
          <w:color w:val="000000"/>
          <w:sz w:val="24"/>
          <w:highlight w:val="none"/>
        </w:rPr>
        <w:outlineLvl w:val="1"/>
      </w:pPr>
      <w:r>
        <w:rPr>
          <w:color w:val="000000"/>
          <w:sz w:val="24"/>
          <w:highlight w:val="none"/>
        </w:rPr>
        <w:t xml:space="preserve">5.评定成交的标准与确定</w:t>
      </w:r>
      <w:bookmarkStart w:id="737" w:name="_Toc150774646"/>
      <w:r/>
      <w:bookmarkStart w:id="738" w:name="_Toc151193788"/>
      <w:r/>
      <w:bookmarkStart w:id="739" w:name="_Toc127151546"/>
      <w:r/>
      <w:bookmarkStart w:id="740" w:name="_Toc226337242"/>
      <w:r/>
      <w:bookmarkStart w:id="741" w:name="_Ref467307010"/>
      <w:r/>
      <w:bookmarkStart w:id="742" w:name="_Toc151190173"/>
      <w:r/>
      <w:bookmarkStart w:id="743" w:name="_Toc305158814"/>
      <w:r/>
      <w:bookmarkStart w:id="744" w:name="_Toc226309790"/>
      <w:r/>
      <w:bookmarkStart w:id="745" w:name="_Toc520356170"/>
      <w:r/>
      <w:bookmarkStart w:id="746" w:name="_Toc149720839"/>
      <w:r/>
      <w:bookmarkStart w:id="747" w:name="_Toc226965819"/>
      <w:r/>
      <w:bookmarkStart w:id="748" w:name="_Toc164608815"/>
      <w:r/>
      <w:bookmarkStart w:id="749" w:name="_Toc195842911"/>
      <w:r/>
      <w:bookmarkStart w:id="750" w:name="_Toc150480784"/>
      <w:r/>
      <w:bookmarkStart w:id="751" w:name="_Toc142311048"/>
      <w:r/>
      <w:bookmarkStart w:id="752" w:name="_Toc164229387"/>
      <w:r/>
      <w:bookmarkStart w:id="753" w:name="_Toc164351640"/>
      <w:r/>
      <w:bookmarkStart w:id="754" w:name="_Toc151193644"/>
      <w:r/>
      <w:bookmarkStart w:id="755" w:name="_Toc164229241"/>
      <w:r/>
      <w:bookmarkStart w:id="756" w:name="_Toc226965736"/>
      <w:r/>
      <w:bookmarkStart w:id="757" w:name="_Toc305158888"/>
      <w:r/>
      <w:bookmarkStart w:id="758" w:name="_Toc127151747"/>
      <w:r/>
      <w:bookmarkStart w:id="759" w:name="_Toc151193860"/>
      <w:r/>
      <w:bookmarkStart w:id="760" w:name="_Toc150509297"/>
      <w:r/>
      <w:bookmarkStart w:id="761" w:name="_Toc151193716"/>
      <w:r/>
      <w:bookmarkStart w:id="762" w:name="_Toc264969236"/>
      <w:r/>
      <w:bookmarkStart w:id="763" w:name="_Toc164608660"/>
      <w:r/>
      <w:bookmarkStart w:id="764" w:name="_Toc151193934"/>
      <w:r/>
      <w:bookmarkStart w:id="765" w:name="_Toc265228384"/>
      <w:r/>
      <w:bookmarkStart w:id="766" w:name="_Toc127161460"/>
      <w:r/>
      <w:bookmarkStart w:id="767" w:name="_Toc150774751"/>
      <w:r>
        <w:rPr>
          <w:color w:val="000000"/>
          <w:sz w:val="24"/>
          <w:highlight w:val="none"/>
        </w:rPr>
        <w:t xml:space="preserve">成交候选人名单</w:t>
      </w:r>
      <w:bookmarkEnd w:id="737"/>
      <w:r/>
      <w:bookmarkEnd w:id="738"/>
      <w:r/>
      <w:bookmarkEnd w:id="739"/>
      <w:r/>
      <w:bookmarkEnd w:id="740"/>
      <w:r/>
      <w:bookmarkEnd w:id="741"/>
      <w:r/>
      <w:bookmarkEnd w:id="742"/>
      <w:r/>
      <w:bookmarkEnd w:id="743"/>
      <w:r/>
      <w:bookmarkEnd w:id="744"/>
      <w:r/>
      <w:bookmarkEnd w:id="745"/>
      <w:r/>
      <w:bookmarkEnd w:id="746"/>
      <w:r/>
      <w:bookmarkEnd w:id="747"/>
      <w:r/>
      <w:bookmarkEnd w:id="748"/>
      <w:r/>
      <w:bookmarkEnd w:id="749"/>
      <w:r/>
      <w:bookmarkEnd w:id="750"/>
      <w:r/>
      <w:bookmarkEnd w:id="751"/>
      <w:r/>
      <w:bookmarkEnd w:id="752"/>
      <w:r/>
      <w:bookmarkEnd w:id="753"/>
      <w:r/>
      <w:bookmarkEnd w:id="754"/>
      <w:r/>
      <w:bookmarkEnd w:id="755"/>
      <w:r/>
      <w:bookmarkEnd w:id="756"/>
      <w:r/>
      <w:bookmarkEnd w:id="757"/>
      <w:r/>
      <w:bookmarkEnd w:id="758"/>
      <w:r/>
      <w:bookmarkEnd w:id="759"/>
      <w:r/>
      <w:bookmarkEnd w:id="760"/>
      <w:r/>
      <w:bookmarkEnd w:id="761"/>
      <w:r/>
      <w:bookmarkEnd w:id="762"/>
      <w:r/>
      <w:bookmarkEnd w:id="763"/>
      <w:r/>
      <w:bookmarkEnd w:id="764"/>
      <w:r/>
      <w:bookmarkEnd w:id="765"/>
      <w:r/>
      <w:bookmarkEnd w:id="766"/>
      <w:r/>
      <w:bookmarkEnd w:id="767"/>
      <w:r>
        <w:rPr>
          <w:color w:val="000000"/>
          <w:sz w:val="24"/>
          <w:highlight w:val="none"/>
        </w:rPr>
      </w:r>
      <w:r/>
    </w:p>
    <w:p>
      <w:pPr>
        <w:pStyle w:val="1288"/>
        <w:ind w:left="0" w:firstLine="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5.1谈判小组将从质量和服务均能满足谈判文件实质性响应要求的供应商中，按照最终报价（如有按本章节进行算术修正或政策调整的，以修正或调整后的最终报价计算）由低到高的顺序提出</w:t>
      </w:r>
      <w:r>
        <w:rPr>
          <w:rFonts w:hint="eastAsia"/>
          <w:color w:val="000000"/>
          <w:sz w:val="24"/>
          <w:highlight w:val="none"/>
        </w:rPr>
        <w:t xml:space="preserve">不少于3</w:t>
      </w:r>
      <w:r>
        <w:rPr>
          <w:color w:val="000000"/>
          <w:sz w:val="24"/>
          <w:highlight w:val="none"/>
        </w:rPr>
        <w:t xml:space="preserve">名成交候选人，并编写评审报告。</w:t>
      </w:r>
      <w:r>
        <w:rPr>
          <w:color w:val="000000"/>
          <w:sz w:val="24"/>
          <w:highlight w:val="none"/>
        </w:rPr>
      </w:r>
      <w:r/>
    </w:p>
    <w:p>
      <w:pPr>
        <w:pStyle w:val="1288"/>
        <w:ind w:left="0" w:firstLine="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5.2谈判小组要对评审结果进行复核，特别是对排名第一的、响应文件被认定为无效的情形进行重点复核。</w:t>
      </w:r>
      <w:r>
        <w:rPr>
          <w:color w:val="000000"/>
          <w:sz w:val="24"/>
          <w:highlight w:val="none"/>
        </w:rPr>
      </w:r>
      <w:r/>
    </w:p>
    <w:p>
      <w:pPr>
        <w:pStyle w:val="1288"/>
        <w:ind w:left="0" w:firstLine="0"/>
        <w:spacing w:line="360" w:lineRule="auto"/>
        <w:tabs>
          <w:tab w:val="left" w:pos="360" w:leader="none"/>
          <w:tab w:val="left" w:pos="900" w:leader="none"/>
        </w:tabs>
        <w:rPr>
          <w:color w:val="000000"/>
          <w:sz w:val="24"/>
          <w:highlight w:val="none"/>
        </w:rPr>
        <w:outlineLvl w:val="1"/>
      </w:pPr>
      <w:r>
        <w:rPr>
          <w:color w:val="000000"/>
          <w:sz w:val="24"/>
          <w:highlight w:val="none"/>
        </w:rPr>
        <w:t xml:space="preserve">6.报告违法行为</w:t>
      </w:r>
      <w:r>
        <w:rPr>
          <w:color w:val="000000"/>
          <w:sz w:val="24"/>
          <w:highlight w:val="none"/>
        </w:rPr>
      </w:r>
      <w:r/>
    </w:p>
    <w:p>
      <w:pPr>
        <w:pStyle w:val="1288"/>
        <w:ind w:left="0" w:firstLine="0"/>
        <w:spacing w:line="360" w:lineRule="auto"/>
        <w:tabs>
          <w:tab w:val="left" w:pos="1080" w:leader="none"/>
          <w:tab w:val="left" w:pos="1589" w:leader="none"/>
          <w:tab w:val="left" w:pos="2014" w:leader="none"/>
        </w:tabs>
        <w:rPr>
          <w:color w:val="000000"/>
          <w:sz w:val="24"/>
          <w:highlight w:val="none"/>
        </w:rPr>
        <w:sectPr>
          <w:headerReference w:type="even" r:id="rId10"/>
          <w:headerReference w:type="first" r:id="rId11"/>
          <w:footerReference w:type="even" r:id="rId17"/>
          <w:footerReference w:type="first" r:id="rId18"/>
          <w:footnotePr/>
          <w:endnotePr/>
          <w:type w:val="nextPage"/>
          <w:pgSz w:w="11907" w:h="16840" w:orient="portrait"/>
          <w:pgMar w:top="1418" w:right="1134" w:bottom="1418" w:left="1701" w:header="851" w:footer="851" w:gutter="0"/>
          <w:cols w:num="1" w:sep="0" w:space="1701" w:equalWidth="1"/>
          <w:docGrid w:linePitch="360"/>
        </w:sectPr>
      </w:pPr>
      <w:r>
        <w:rPr>
          <w:color w:val="000000"/>
          <w:sz w:val="24"/>
          <w:highlight w:val="none"/>
        </w:rPr>
        <w:t xml:space="preserve">6.1谈判小组在评审过程中发现供应商有行贿、提供虚假材料或者串通等违法行为时，有向采购人、采购代理机构或者有关部门报告的职责。</w:t>
      </w:r>
      <w:r>
        <w:rPr>
          <w:color w:val="000000"/>
          <w:sz w:val="24"/>
          <w:highlight w:val="none"/>
        </w:rPr>
      </w:r>
      <w:r/>
    </w:p>
    <w:p>
      <w:pPr>
        <w:pStyle w:val="1288"/>
        <w:jc w:val="center"/>
        <w:rPr>
          <w:rFonts w:hint="eastAsia"/>
          <w:b/>
          <w:color w:val="000000"/>
          <w:sz w:val="36"/>
          <w:szCs w:val="36"/>
          <w:highlight w:val="none"/>
        </w:rPr>
        <w:outlineLvl w:val="0"/>
      </w:pPr>
      <w:r/>
      <w:bookmarkStart w:id="768" w:name="_Toc195013381"/>
      <w:r/>
      <w:bookmarkStart w:id="769" w:name="_Toc150480793"/>
      <w:r/>
      <w:bookmarkStart w:id="770" w:name="_Toc353873665"/>
      <w:r/>
      <w:bookmarkStart w:id="771" w:name="_Toc226337251"/>
      <w:r/>
      <w:bookmarkStart w:id="772" w:name="_Toc353873935"/>
      <w:r/>
      <w:bookmarkStart w:id="773" w:name="_Toc264969245"/>
      <w:r/>
      <w:bookmarkStart w:id="774" w:name="_Toc353825545"/>
      <w:r/>
      <w:bookmarkStart w:id="775" w:name="_Toc265228393"/>
      <w:r/>
      <w:bookmarkStart w:id="776" w:name="_Toc305158897"/>
      <w:r/>
      <w:bookmarkStart w:id="777" w:name="_Toc142311057"/>
      <w:r/>
      <w:bookmarkStart w:id="778" w:name="_Toc127151555"/>
      <w:r/>
      <w:bookmarkStart w:id="779" w:name="_Toc195842920"/>
      <w:r/>
      <w:bookmarkStart w:id="780" w:name="_Toc305158823"/>
      <w:r/>
      <w:bookmarkStart w:id="781" w:name="_Toc226965828"/>
      <w:r/>
      <w:bookmarkStart w:id="782" w:name="_Toc150774760"/>
      <w:r>
        <w:rPr>
          <w:b/>
          <w:color w:val="000000"/>
          <w:sz w:val="36"/>
          <w:szCs w:val="36"/>
          <w:highlight w:val="none"/>
        </w:rPr>
        <w:t xml:space="preserve">第四章   采购需求</w:t>
      </w:r>
      <w:bookmarkEnd w:id="768"/>
      <w:r>
        <w:rPr>
          <w:rFonts w:hint="eastAsia"/>
          <w:b/>
          <w:color w:val="000000"/>
          <w:sz w:val="36"/>
          <w:szCs w:val="36"/>
          <w:highlight w:val="none"/>
        </w:rPr>
      </w:r>
      <w:r/>
    </w:p>
    <w:p>
      <w:pPr>
        <w:pStyle w:val="1288"/>
        <w:jc w:val="left"/>
        <w:tabs>
          <w:tab w:val="left" w:pos="735" w:leader="none"/>
          <w:tab w:val="left" w:pos="945" w:leader="none"/>
          <w:tab w:val="left" w:pos="1155" w:leader="none"/>
        </w:tabs>
        <w:rPr>
          <w:rFonts w:ascii="宋体" w:hAnsi="宋体" w:cs="宋体"/>
          <w:b/>
          <w:color w:val="000000"/>
          <w:sz w:val="24"/>
          <w:highlight w:val="none"/>
        </w:rPr>
      </w:pPr>
      <w:r>
        <w:rPr>
          <w:rFonts w:hint="eastAsia" w:ascii="宋体" w:hAnsi="宋体"/>
          <w:b/>
          <w:color w:val="000000"/>
          <w:sz w:val="24"/>
          <w:highlight w:val="none"/>
        </w:rPr>
        <w:t xml:space="preserve">一、</w:t>
      </w:r>
      <w:r>
        <w:rPr>
          <w:rFonts w:hint="eastAsia" w:ascii="宋体" w:hAnsi="宋体" w:cs="宋体"/>
          <w:b/>
          <w:color w:val="000000"/>
          <w:sz w:val="24"/>
          <w:highlight w:val="none"/>
        </w:rPr>
        <w:t xml:space="preserve">采购标的</w:t>
      </w:r>
      <w:r>
        <w:rPr>
          <w:rFonts w:ascii="宋体" w:hAnsi="宋体" w:cs="宋体"/>
          <w:b/>
          <w:color w:val="000000"/>
          <w:sz w:val="24"/>
          <w:highlight w:val="none"/>
        </w:rPr>
      </w:r>
      <w:r/>
    </w:p>
    <w:p>
      <w:pPr>
        <w:pStyle w:val="1288"/>
        <w:ind w:firstLine="480"/>
        <w:spacing w:line="360" w:lineRule="auto"/>
        <w:tabs>
          <w:tab w:val="left" w:pos="900" w:leader="none"/>
          <w:tab w:val="left" w:pos="1134" w:leader="none"/>
          <w:tab w:val="left" w:pos="1589" w:leader="none"/>
          <w:tab w:val="left" w:pos="552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1.项目名称：2026年常州市市属公园园艺景观提升工程</w:t>
      </w:r>
      <w:r>
        <w:rPr>
          <w:rFonts w:hint="eastAsia" w:ascii="宋体" w:hAnsi="宋体" w:cs="宋体"/>
          <w:color w:val="000000"/>
          <w:sz w:val="24"/>
          <w:highlight w:val="none"/>
        </w:rPr>
      </w:r>
      <w:r/>
    </w:p>
    <w:p>
      <w:pPr>
        <w:pStyle w:val="1288"/>
        <w:ind w:firstLine="480"/>
        <w:spacing w:line="360" w:lineRule="auto"/>
        <w:tabs>
          <w:tab w:val="left" w:pos="900" w:leader="none"/>
          <w:tab w:val="left" w:pos="1134" w:leader="none"/>
          <w:tab w:val="left" w:pos="1589" w:leader="none"/>
          <w:tab w:val="left" w:pos="552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2.预算金额：</w:t>
      </w:r>
      <w:r>
        <w:rPr>
          <w:rFonts w:hint="eastAsia" w:ascii="宋体" w:hAnsi="宋体" w:cs="宋体"/>
          <w:color w:val="000000"/>
          <w:sz w:val="24"/>
          <w:highlight w:val="none"/>
          <w:lang w:val="en-US" w:eastAsia="zh-CN"/>
        </w:rPr>
        <w:t xml:space="preserve">116.6</w:t>
      </w:r>
      <w:r>
        <w:rPr>
          <w:rFonts w:hint="eastAsia" w:ascii="宋体" w:hAnsi="宋体" w:cs="宋体"/>
          <w:color w:val="000000"/>
          <w:sz w:val="24"/>
          <w:highlight w:val="none"/>
        </w:rPr>
        <w:t xml:space="preserve">万元 </w:t>
      </w:r>
      <w:r>
        <w:rPr>
          <w:rFonts w:hint="eastAsia" w:ascii="宋体" w:hAnsi="宋体" w:cs="宋体"/>
          <w:color w:val="000000"/>
          <w:sz w:val="24"/>
          <w:highlight w:val="none"/>
        </w:rPr>
      </w:r>
      <w:r/>
    </w:p>
    <w:p>
      <w:pPr>
        <w:pStyle w:val="1288"/>
        <w:ind w:firstLine="480"/>
        <w:spacing w:line="360" w:lineRule="auto"/>
        <w:tabs>
          <w:tab w:val="left" w:pos="900" w:leader="none"/>
          <w:tab w:val="left" w:pos="1134" w:leader="none"/>
          <w:tab w:val="left" w:pos="1589" w:leader="none"/>
          <w:tab w:val="left" w:pos="552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3.最高限价：1165748.98元，响应报价超过最高限价单价及总价的作无效投标处理 </w:t>
      </w:r>
      <w:r>
        <w:rPr>
          <w:rFonts w:hint="eastAsia" w:ascii="宋体" w:hAnsi="宋体" w:cs="宋体"/>
          <w:color w:val="000000"/>
          <w:sz w:val="24"/>
          <w:highlight w:val="none"/>
        </w:rPr>
      </w:r>
      <w:r/>
    </w:p>
    <w:p>
      <w:pPr>
        <w:pStyle w:val="1288"/>
        <w:ind w:firstLine="480"/>
        <w:spacing w:line="360" w:lineRule="auto"/>
        <w:tabs>
          <w:tab w:val="left" w:pos="900" w:leader="none"/>
          <w:tab w:val="left" w:pos="1134" w:leader="none"/>
          <w:tab w:val="left" w:pos="1589" w:leader="none"/>
          <w:tab w:val="left" w:pos="552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4.采购需求（简介）：本项目为2026年常州市市属公园园艺景观提升工程，实施地点为荆川公园、人民公园，实施内容包含绿化种植、土壤改良、硬质景观、配套设施、文化景观小品施工、垃圾清运等，包含但不限于设计图纸及工程量清单范围内所有内容及为实施以上永久工程而必须的临时工程的施工和缺陷修复，详见设计图纸和采购文件的有关内容。</w:t>
      </w:r>
      <w:r>
        <w:rPr>
          <w:rFonts w:hint="eastAsia" w:ascii="宋体" w:hAnsi="宋体" w:cs="宋体"/>
          <w:color w:val="000000"/>
          <w:sz w:val="24"/>
          <w:highlight w:val="none"/>
        </w:rPr>
      </w:r>
      <w:r/>
    </w:p>
    <w:p>
      <w:pPr>
        <w:pStyle w:val="1288"/>
        <w:ind w:firstLine="480"/>
        <w:spacing w:line="360" w:lineRule="auto"/>
        <w:tabs>
          <w:tab w:val="left" w:pos="900" w:leader="none"/>
          <w:tab w:val="left" w:pos="1134" w:leader="none"/>
          <w:tab w:val="left" w:pos="1589" w:leader="none"/>
          <w:tab w:val="left" w:pos="552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5.合同履行期限：自收到采购人开工通知后50个日历天内完工并通过验收。</w:t>
      </w:r>
      <w:r>
        <w:rPr>
          <w:rFonts w:hint="eastAsia" w:ascii="宋体" w:hAnsi="宋体" w:cs="宋体"/>
          <w:color w:val="000000"/>
          <w:sz w:val="24"/>
          <w:highlight w:val="none"/>
        </w:rPr>
      </w:r>
      <w:r/>
    </w:p>
    <w:p>
      <w:pPr>
        <w:pStyle w:val="1288"/>
        <w:ind w:firstLine="480"/>
        <w:spacing w:line="360" w:lineRule="auto"/>
        <w:tabs>
          <w:tab w:val="left" w:pos="900" w:leader="none"/>
          <w:tab w:val="left" w:pos="1134" w:leader="none"/>
          <w:tab w:val="left" w:pos="1589" w:leader="none"/>
          <w:tab w:val="left" w:pos="552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6.是/否接受联合体投标：否；</w:t>
      </w:r>
      <w:r>
        <w:rPr>
          <w:rFonts w:hint="eastAsia" w:ascii="宋体" w:hAnsi="宋体" w:cs="宋体"/>
          <w:color w:val="000000"/>
          <w:sz w:val="24"/>
          <w:highlight w:val="none"/>
        </w:rPr>
      </w:r>
      <w:r/>
    </w:p>
    <w:p>
      <w:pPr>
        <w:pStyle w:val="1288"/>
        <w:ind w:firstLine="480"/>
        <w:spacing w:line="360" w:lineRule="auto"/>
        <w:tabs>
          <w:tab w:val="left" w:pos="900" w:leader="none"/>
          <w:tab w:val="left" w:pos="1134" w:leader="none"/>
          <w:tab w:val="left" w:pos="1589" w:leader="none"/>
          <w:tab w:val="left" w:pos="552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7.是/否接受分支机构参与响应：否 </w:t>
      </w:r>
      <w:r>
        <w:rPr>
          <w:rFonts w:hint="eastAsia" w:ascii="宋体" w:hAnsi="宋体" w:cs="宋体"/>
          <w:color w:val="000000"/>
          <w:sz w:val="24"/>
          <w:highlight w:val="none"/>
        </w:rPr>
      </w:r>
      <w:r/>
    </w:p>
    <w:p>
      <w:pPr>
        <w:pStyle w:val="1288"/>
        <w:ind w:firstLine="480"/>
        <w:spacing w:line="360" w:lineRule="auto"/>
        <w:tabs>
          <w:tab w:val="left" w:pos="900" w:leader="none"/>
          <w:tab w:val="left" w:pos="1134" w:leader="none"/>
          <w:tab w:val="left" w:pos="1589" w:leader="none"/>
          <w:tab w:val="left" w:pos="552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8.是/否属于政府购买服务：否 </w:t>
      </w:r>
      <w:r>
        <w:rPr>
          <w:rFonts w:hint="eastAsia" w:ascii="宋体" w:hAnsi="宋体" w:cs="宋体"/>
          <w:color w:val="000000"/>
          <w:sz w:val="24"/>
          <w:highlight w:val="none"/>
        </w:rPr>
      </w:r>
      <w:r/>
    </w:p>
    <w:p>
      <w:pPr>
        <w:pStyle w:val="1288"/>
        <w:ind w:firstLine="480"/>
        <w:spacing w:line="360" w:lineRule="auto"/>
        <w:tabs>
          <w:tab w:val="left" w:pos="900" w:leader="none"/>
          <w:tab w:val="left" w:pos="1134" w:leader="none"/>
          <w:tab w:val="left" w:pos="1589" w:leader="none"/>
          <w:tab w:val="left" w:pos="552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9.是/否接受进口产品投标：否 </w:t>
      </w:r>
      <w:r>
        <w:rPr>
          <w:rFonts w:hint="eastAsia" w:ascii="宋体" w:hAnsi="宋体" w:cs="宋体"/>
          <w:color w:val="000000"/>
          <w:sz w:val="24"/>
          <w:highlight w:val="none"/>
        </w:rPr>
      </w:r>
      <w:r/>
    </w:p>
    <w:p>
      <w:pPr>
        <w:pStyle w:val="1288"/>
        <w:ind w:firstLine="480"/>
        <w:spacing w:line="360" w:lineRule="auto"/>
        <w:tabs>
          <w:tab w:val="left" w:pos="900" w:leader="none"/>
          <w:tab w:val="left" w:pos="1134" w:leader="none"/>
          <w:tab w:val="left" w:pos="1589" w:leader="none"/>
          <w:tab w:val="left" w:pos="5521" w:leader="none"/>
        </w:tabs>
        <w:rPr>
          <w:rFonts w:ascii="宋体" w:hAnsi="宋体" w:cs="宋体"/>
          <w:color w:val="000000"/>
          <w:sz w:val="24"/>
          <w:highlight w:val="none"/>
        </w:rPr>
      </w:pPr>
      <w:r>
        <w:rPr>
          <w:rFonts w:hint="eastAsia" w:ascii="宋体" w:hAnsi="宋体" w:cs="宋体"/>
          <w:color w:val="000000"/>
          <w:sz w:val="24"/>
          <w:highlight w:val="none"/>
        </w:rPr>
        <w:t xml:space="preserve">10.是/否专门面向中小企业预留采购份额：专门面向</w:t>
      </w:r>
      <w:r>
        <w:rPr>
          <w:rFonts w:ascii="宋体" w:hAnsi="宋体" w:cs="宋体"/>
          <w:color w:val="000000"/>
          <w:sz w:val="24"/>
          <w:highlight w:val="none"/>
        </w:rPr>
      </w:r>
      <w:r/>
    </w:p>
    <w:p>
      <w:pPr>
        <w:pStyle w:val="1288"/>
        <w:ind w:firstLine="480"/>
        <w:spacing w:line="360" w:lineRule="auto"/>
        <w:tabs>
          <w:tab w:val="left" w:pos="900" w:leader="none"/>
          <w:tab w:val="left" w:pos="1134" w:leader="none"/>
          <w:tab w:val="left" w:pos="1589" w:leader="none"/>
          <w:tab w:val="left" w:pos="552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11.本项目的特定资格要求：</w:t>
      </w:r>
      <w:r>
        <w:rPr>
          <w:rFonts w:hint="eastAsia" w:ascii="宋体" w:hAnsi="宋体" w:cs="宋体"/>
          <w:color w:val="000000"/>
          <w:sz w:val="24"/>
          <w:highlight w:val="none"/>
        </w:rPr>
      </w:r>
      <w:r/>
    </w:p>
    <w:p>
      <w:pPr>
        <w:pStyle w:val="1288"/>
        <w:ind w:firstLine="480"/>
        <w:spacing w:line="360" w:lineRule="auto"/>
        <w:tabs>
          <w:tab w:val="left" w:pos="900" w:leader="none"/>
          <w:tab w:val="left" w:pos="1134" w:leader="none"/>
          <w:tab w:val="left" w:pos="1589" w:leader="none"/>
          <w:tab w:val="left" w:pos="552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（1）具有市政公用工程施工总承包三级及以上资质证书</w:t>
      </w:r>
      <w:r>
        <w:rPr>
          <w:rFonts w:hint="eastAsia" w:ascii="宋体" w:hAnsi="宋体" w:cs="宋体"/>
          <w:color w:val="000000"/>
          <w:sz w:val="24"/>
          <w:highlight w:val="none"/>
        </w:rPr>
      </w:r>
      <w:r/>
    </w:p>
    <w:p>
      <w:pPr>
        <w:pStyle w:val="1288"/>
        <w:ind w:firstLine="480"/>
        <w:spacing w:line="360" w:lineRule="auto"/>
        <w:tabs>
          <w:tab w:val="left" w:pos="900" w:leader="none"/>
          <w:tab w:val="left" w:pos="1134" w:leader="none"/>
          <w:tab w:val="left" w:pos="1589" w:leader="none"/>
          <w:tab w:val="left" w:pos="552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（2）具有省级及以上建设行政主管部门颁发的在有效期内的《安全生产许可证》</w:t>
      </w:r>
      <w:r>
        <w:rPr>
          <w:rFonts w:hint="eastAsia" w:ascii="宋体" w:hAnsi="宋体" w:cs="宋体"/>
          <w:color w:val="000000"/>
          <w:sz w:val="24"/>
          <w:highlight w:val="none"/>
        </w:rPr>
      </w:r>
      <w:r/>
    </w:p>
    <w:p>
      <w:pPr>
        <w:pStyle w:val="1288"/>
        <w:ind w:firstLine="480"/>
        <w:spacing w:line="360" w:lineRule="auto"/>
        <w:tabs>
          <w:tab w:val="left" w:pos="900" w:leader="none"/>
          <w:tab w:val="left" w:pos="1134" w:leader="none"/>
          <w:tab w:val="left" w:pos="1589" w:leader="none"/>
          <w:tab w:val="left" w:pos="5521" w:leader="none"/>
        </w:tabs>
        <w:rPr>
          <w:rFonts w:ascii="宋体" w:hAnsi="宋体" w:cs="宋体"/>
          <w:color w:val="000000"/>
          <w:sz w:val="24"/>
          <w:highlight w:val="none"/>
        </w:rPr>
      </w:pPr>
      <w:r>
        <w:rPr>
          <w:rFonts w:hint="eastAsia" w:ascii="宋体" w:hAnsi="宋体" w:cs="宋体"/>
          <w:color w:val="000000"/>
          <w:sz w:val="24"/>
          <w:highlight w:val="none"/>
        </w:rPr>
        <w:t xml:space="preserve">（3）供应商拟派的项目负责人须具备市政公用</w:t>
      </w:r>
      <w:r>
        <w:rPr>
          <w:rFonts w:hint="eastAsia" w:ascii="宋体" w:hAnsi="宋体" w:cs="宋体"/>
          <w:color w:val="000000"/>
          <w:sz w:val="24"/>
          <w:highlight w:val="none"/>
          <w:lang w:val="zh-CN"/>
        </w:rPr>
        <w:t xml:space="preserve">工程二级及以上</w:t>
      </w:r>
      <w:r>
        <w:rPr>
          <w:rFonts w:hint="eastAsia" w:ascii="宋体" w:hAnsi="宋体" w:cs="宋体"/>
          <w:color w:val="000000"/>
          <w:sz w:val="24"/>
          <w:highlight w:val="none"/>
        </w:rPr>
        <w:t xml:space="preserve">的注册建造师证书及建设行政主管部门颁发的安全生产考核合格证（B证）</w:t>
      </w:r>
      <w:r>
        <w:rPr>
          <w:rFonts w:ascii="宋体" w:hAnsi="宋体" w:cs="宋体"/>
          <w:color w:val="000000"/>
          <w:sz w:val="24"/>
          <w:highlight w:val="none"/>
        </w:rPr>
      </w:r>
      <w:r/>
    </w:p>
    <w:p>
      <w:pPr>
        <w:pStyle w:val="1288"/>
        <w:ind w:firstLine="480"/>
        <w:spacing w:line="360" w:lineRule="auto"/>
        <w:tabs>
          <w:tab w:val="left" w:pos="900" w:leader="none"/>
          <w:tab w:val="left" w:pos="1134" w:leader="none"/>
          <w:tab w:val="left" w:pos="1589" w:leader="none"/>
          <w:tab w:val="left" w:pos="552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（4）提供供应商为项目负责人缴纳的近三个月中任意一个月（自开标之日起往前推算）的社保证明</w:t>
      </w:r>
      <w:r>
        <w:rPr>
          <w:rFonts w:hint="eastAsia" w:ascii="宋体" w:hAnsi="宋体" w:cs="宋体"/>
          <w:color w:val="000000"/>
          <w:sz w:val="24"/>
          <w:highlight w:val="none"/>
        </w:rPr>
      </w:r>
      <w:r/>
    </w:p>
    <w:p>
      <w:pPr>
        <w:pStyle w:val="1288"/>
        <w:ind w:firstLine="480"/>
        <w:spacing w:line="360" w:lineRule="auto"/>
        <w:tabs>
          <w:tab w:val="left" w:pos="900" w:leader="none"/>
          <w:tab w:val="left" w:pos="1134" w:leader="none"/>
          <w:tab w:val="left" w:pos="1589" w:leader="none"/>
          <w:tab w:val="left" w:pos="552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12.项目类别：工程类</w:t>
      </w:r>
      <w:r>
        <w:rPr>
          <w:rFonts w:hint="eastAsia" w:ascii="宋体" w:hAnsi="宋体" w:cs="宋体"/>
          <w:color w:val="000000"/>
          <w:sz w:val="24"/>
          <w:highlight w:val="none"/>
        </w:rPr>
      </w:r>
      <w:r/>
    </w:p>
    <w:p>
      <w:pPr>
        <w:pStyle w:val="1288"/>
        <w:ind w:firstLine="480"/>
        <w:spacing w:line="360" w:lineRule="auto"/>
        <w:tabs>
          <w:tab w:val="left" w:pos="900" w:leader="none"/>
          <w:tab w:val="left" w:pos="1134" w:leader="none"/>
          <w:tab w:val="left" w:pos="1589" w:leader="none"/>
          <w:tab w:val="left" w:pos="5521" w:leader="none"/>
        </w:tabs>
        <w:rPr>
          <w:rFonts w:ascii="宋体" w:hAnsi="宋体" w:cs="宋体"/>
          <w:color w:val="000000"/>
          <w:sz w:val="24"/>
          <w:highlight w:val="none"/>
        </w:rPr>
      </w:pPr>
      <w:r>
        <w:rPr>
          <w:rFonts w:hint="eastAsia" w:ascii="宋体" w:hAnsi="宋体" w:cs="宋体"/>
          <w:color w:val="000000"/>
          <w:sz w:val="24"/>
          <w:highlight w:val="none"/>
        </w:rPr>
        <w:t xml:space="preserve">13.工程质量：合格</w:t>
      </w:r>
      <w:r>
        <w:rPr>
          <w:rFonts w:ascii="宋体" w:hAnsi="宋体" w:cs="宋体"/>
          <w:color w:val="000000"/>
          <w:sz w:val="24"/>
          <w:highlight w:val="none"/>
        </w:rPr>
      </w:r>
      <w:r/>
    </w:p>
    <w:p>
      <w:pPr>
        <w:pStyle w:val="1288"/>
        <w:spacing w:line="360" w:lineRule="auto"/>
        <w:tabs>
          <w:tab w:val="left" w:pos="900" w:leader="none"/>
          <w:tab w:val="left" w:pos="1134" w:leader="none"/>
          <w:tab w:val="left" w:pos="1589" w:leader="none"/>
          <w:tab w:val="left" w:pos="5521" w:leader="none"/>
        </w:tabs>
        <w:rPr>
          <w:rFonts w:hint="eastAsia" w:ascii="宋体" w:hAnsi="宋体" w:cs="宋体"/>
          <w:b/>
          <w:bCs/>
          <w:color w:val="000000"/>
          <w:sz w:val="24"/>
          <w:highlight w:val="none"/>
        </w:rPr>
      </w:pPr>
      <w:r>
        <w:rPr>
          <w:rFonts w:hint="eastAsia" w:ascii="宋体" w:hAnsi="宋体" w:cs="宋体"/>
          <w:b/>
          <w:bCs/>
          <w:color w:val="000000"/>
          <w:sz w:val="24"/>
          <w:highlight w:val="none"/>
        </w:rPr>
        <w:t xml:space="preserve">二、商务要求</w:t>
      </w:r>
      <w:r>
        <w:rPr>
          <w:rFonts w:hint="eastAsia" w:ascii="宋体" w:hAnsi="宋体" w:cs="宋体"/>
          <w:b/>
          <w:bCs/>
          <w:color w:val="000000"/>
          <w:sz w:val="24"/>
          <w:highlight w:val="none"/>
        </w:rPr>
      </w:r>
      <w:r/>
    </w:p>
    <w:p>
      <w:pPr>
        <w:pStyle w:val="1288"/>
        <w:ind w:firstLine="480"/>
        <w:spacing w:line="360" w:lineRule="auto"/>
        <w:tabs>
          <w:tab w:val="left" w:pos="900" w:leader="none"/>
          <w:tab w:val="left" w:pos="1134" w:leader="none"/>
          <w:tab w:val="left" w:pos="1589" w:leader="none"/>
          <w:tab w:val="left" w:pos="5521" w:leader="none"/>
        </w:tabs>
        <w:rPr>
          <w:rFonts w:ascii="宋体" w:hAnsi="宋体" w:cs="宋体"/>
          <w:color w:val="000000"/>
          <w:sz w:val="24"/>
          <w:highlight w:val="none"/>
        </w:rPr>
      </w:pPr>
      <w:r>
        <w:rPr>
          <w:rFonts w:hint="eastAsia" w:ascii="宋体" w:hAnsi="宋体" w:cs="宋体"/>
          <w:color w:val="000000"/>
          <w:sz w:val="24"/>
          <w:highlight w:val="none"/>
        </w:rPr>
        <w:t xml:space="preserve">1.交付（实施）的时间（期限）和地点（范围）</w:t>
      </w:r>
      <w:r>
        <w:rPr>
          <w:rFonts w:ascii="宋体" w:hAnsi="宋体" w:cs="宋体"/>
          <w:color w:val="000000"/>
          <w:sz w:val="24"/>
          <w:highlight w:val="none"/>
        </w:rPr>
      </w:r>
      <w:r/>
    </w:p>
    <w:p>
      <w:pPr>
        <w:pStyle w:val="1288"/>
        <w:ind w:firstLine="480"/>
        <w:spacing w:line="360" w:lineRule="auto"/>
        <w:tabs>
          <w:tab w:val="left" w:pos="900" w:leader="none"/>
          <w:tab w:val="left" w:pos="1134" w:leader="none"/>
          <w:tab w:val="left" w:pos="1589" w:leader="none"/>
          <w:tab w:val="left" w:pos="552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（1）交付（实施）的时间（期限）：自收到采购人开工通知后50个日历天内完工并通过验收。</w:t>
      </w:r>
      <w:r>
        <w:rPr>
          <w:rFonts w:hint="eastAsia" w:ascii="宋体" w:hAnsi="宋体" w:cs="宋体"/>
          <w:color w:val="000000"/>
          <w:sz w:val="24"/>
          <w:highlight w:val="none"/>
        </w:rPr>
      </w:r>
      <w:r/>
    </w:p>
    <w:p>
      <w:pPr>
        <w:pStyle w:val="1288"/>
        <w:ind w:firstLine="480"/>
        <w:spacing w:line="360" w:lineRule="auto"/>
        <w:tabs>
          <w:tab w:val="left" w:pos="900" w:leader="none"/>
          <w:tab w:val="left" w:pos="1134" w:leader="none"/>
          <w:tab w:val="left" w:pos="1589" w:leader="none"/>
          <w:tab w:val="left" w:pos="552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（2）交付（实施）和地点（范围）：常州市荆川公园、人民公园</w:t>
      </w:r>
      <w:r>
        <w:rPr>
          <w:rFonts w:hint="eastAsia" w:ascii="宋体" w:hAnsi="宋体" w:cs="宋体"/>
          <w:color w:val="000000"/>
          <w:sz w:val="24"/>
          <w:highlight w:val="none"/>
        </w:rPr>
      </w:r>
      <w:r/>
    </w:p>
    <w:p>
      <w:pPr>
        <w:pStyle w:val="1288"/>
        <w:ind w:firstLine="480"/>
        <w:spacing w:line="360" w:lineRule="auto"/>
        <w:tabs>
          <w:tab w:val="left" w:pos="900" w:leader="none"/>
          <w:tab w:val="left" w:pos="1134" w:leader="none"/>
          <w:tab w:val="left" w:pos="1589" w:leader="none"/>
          <w:tab w:val="left" w:pos="5521" w:leader="none"/>
        </w:tabs>
        <w:rPr>
          <w:color w:val="000000"/>
          <w:highlight w:val="none"/>
        </w:rPr>
      </w:pPr>
      <w:r>
        <w:rPr>
          <w:rFonts w:hint="eastAsia" w:ascii="宋体" w:hAnsi="宋体" w:cs="宋体"/>
          <w:color w:val="000000"/>
          <w:sz w:val="24"/>
          <w:highlight w:val="none"/>
        </w:rPr>
        <w:t xml:space="preserve">2</w:t>
      </w:r>
      <w:r>
        <w:rPr>
          <w:rFonts w:ascii="宋体" w:hAnsi="宋体" w:cs="宋体"/>
          <w:color w:val="000000"/>
          <w:sz w:val="24"/>
          <w:highlight w:val="none"/>
        </w:rPr>
        <w:t xml:space="preserve">.</w:t>
      </w:r>
      <w:r>
        <w:rPr>
          <w:rFonts w:hint="eastAsia" w:ascii="宋体" w:hAnsi="宋体" w:cs="宋体"/>
          <w:color w:val="000000"/>
          <w:sz w:val="24"/>
          <w:highlight w:val="none"/>
        </w:rPr>
        <w:t xml:space="preserve">付款条件（进度和方式）</w:t>
      </w:r>
      <w:r>
        <w:rPr>
          <w:color w:val="000000"/>
          <w:highlight w:val="none"/>
        </w:rPr>
      </w:r>
      <w:r/>
    </w:p>
    <w:p>
      <w:pPr>
        <w:pStyle w:val="1288"/>
        <w:ind w:firstLine="480"/>
        <w:spacing w:line="360" w:lineRule="auto"/>
        <w:tabs>
          <w:tab w:val="left" w:pos="900" w:leader="none"/>
          <w:tab w:val="left" w:pos="1134" w:leader="none"/>
          <w:tab w:val="left" w:pos="1589" w:leader="none"/>
          <w:tab w:val="left" w:pos="552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（1）合同签订具备进场条件</w:t>
      </w:r>
      <w:r>
        <w:rPr>
          <w:rFonts w:ascii="宋体" w:hAnsi="宋体" w:cs="宋体"/>
          <w:color w:val="000000"/>
          <w:sz w:val="24"/>
          <w:highlight w:val="none"/>
        </w:rPr>
        <w:t xml:space="preserve">15</w:t>
      </w:r>
      <w:r>
        <w:rPr>
          <w:rFonts w:hint="eastAsia" w:ascii="宋体" w:hAnsi="宋体" w:cs="宋体"/>
          <w:color w:val="000000"/>
          <w:sz w:val="24"/>
          <w:highlight w:val="none"/>
        </w:rPr>
        <w:t xml:space="preserve">日内采购人预付签约合同价（扣除暂列金）的10%作为预付款。</w:t>
      </w:r>
      <w:r>
        <w:rPr>
          <w:rFonts w:hint="eastAsia" w:ascii="宋体" w:hAnsi="宋体" w:cs="宋体"/>
          <w:color w:val="000000"/>
          <w:sz w:val="24"/>
          <w:highlight w:val="none"/>
        </w:rPr>
      </w:r>
      <w:r/>
    </w:p>
    <w:p>
      <w:pPr>
        <w:pStyle w:val="1288"/>
        <w:ind w:firstLine="480"/>
        <w:spacing w:line="360" w:lineRule="auto"/>
        <w:tabs>
          <w:tab w:val="left" w:pos="900" w:leader="none"/>
          <w:tab w:val="left" w:pos="1134" w:leader="none"/>
          <w:tab w:val="left" w:pos="1589" w:leader="none"/>
          <w:tab w:val="left" w:pos="5521" w:leader="none"/>
        </w:tabs>
        <w:rPr>
          <w:rFonts w:ascii="宋体" w:hAnsi="宋体" w:cs="宋体"/>
          <w:color w:val="000000"/>
          <w:sz w:val="24"/>
          <w:highlight w:val="none"/>
        </w:rPr>
      </w:pPr>
      <w:r>
        <w:rPr>
          <w:rFonts w:hint="eastAsia" w:ascii="宋体" w:hAnsi="宋体" w:cs="宋体"/>
          <w:color w:val="000000"/>
          <w:sz w:val="24"/>
          <w:highlight w:val="none"/>
        </w:rPr>
        <w:t xml:space="preserve">（2）</w:t>
      </w:r>
      <w:r>
        <w:rPr>
          <w:rFonts w:ascii="宋体" w:hAnsi="宋体" w:cs="宋体"/>
          <w:color w:val="000000"/>
          <w:sz w:val="24"/>
          <w:highlight w:val="none"/>
        </w:rPr>
        <w:t xml:space="preserve">工程竣工验收合格且供应商提交完整竣工资料后</w:t>
      </w:r>
      <w:r>
        <w:rPr>
          <w:rFonts w:hint="eastAsia" w:ascii="宋体" w:hAnsi="宋体" w:cs="宋体"/>
          <w:color w:val="000000"/>
          <w:sz w:val="24"/>
          <w:highlight w:val="none"/>
        </w:rPr>
        <w:t xml:space="preserve">10</w:t>
      </w:r>
      <w:r>
        <w:rPr>
          <w:rFonts w:ascii="宋体" w:hAnsi="宋体" w:cs="宋体"/>
          <w:color w:val="000000"/>
          <w:sz w:val="24"/>
          <w:highlight w:val="none"/>
        </w:rPr>
        <w:t xml:space="preserve">日内，进度款累计支付至签约合同价（扣除暂列金额）的80%。</w:t>
      </w:r>
      <w:r>
        <w:rPr>
          <w:rFonts w:ascii="宋体" w:hAnsi="宋体" w:cs="宋体"/>
          <w:color w:val="000000"/>
          <w:sz w:val="24"/>
          <w:highlight w:val="none"/>
        </w:rPr>
      </w:r>
      <w:r/>
    </w:p>
    <w:p>
      <w:pPr>
        <w:pStyle w:val="1288"/>
        <w:ind w:firstLine="480"/>
        <w:spacing w:line="360" w:lineRule="auto"/>
        <w:tabs>
          <w:tab w:val="left" w:pos="900" w:leader="none"/>
          <w:tab w:val="left" w:pos="1134" w:leader="none"/>
          <w:tab w:val="left" w:pos="1589" w:leader="none"/>
          <w:tab w:val="left" w:pos="552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工程竣工结算经采购人、跟踪审计审定，供应商向采购人提交金额为审定总价3%、有效期覆盖项目缺陷责任期的不可撤销见索即付工程质量保证金银行保函后10天内，采购人付至审定总价的100%；缺陷责任期满，工程无质量缺陷且供应商完成全部保修义务后，采购人退还银行保函。</w:t>
      </w:r>
      <w:r>
        <w:rPr>
          <w:rFonts w:hint="eastAsia" w:ascii="宋体" w:hAnsi="宋体" w:cs="宋体"/>
          <w:color w:val="000000"/>
          <w:sz w:val="24"/>
          <w:highlight w:val="none"/>
        </w:rPr>
      </w:r>
      <w:r/>
    </w:p>
    <w:p>
      <w:pPr>
        <w:pStyle w:val="1288"/>
        <w:ind w:firstLine="480"/>
        <w:spacing w:line="360" w:lineRule="auto"/>
        <w:tabs>
          <w:tab w:val="left" w:pos="900" w:leader="none"/>
          <w:tab w:val="left" w:pos="1134" w:leader="none"/>
          <w:tab w:val="left" w:pos="1589" w:leader="none"/>
          <w:tab w:val="left" w:pos="552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（4）如对本工程结算进行抽查复审，必须经审计后方可办理工程结算。</w:t>
      </w:r>
      <w:r>
        <w:rPr>
          <w:rFonts w:hint="eastAsia" w:ascii="宋体" w:hAnsi="宋体" w:cs="宋体"/>
          <w:color w:val="000000"/>
          <w:sz w:val="24"/>
          <w:highlight w:val="none"/>
        </w:rPr>
      </w:r>
      <w:r/>
    </w:p>
    <w:p>
      <w:pPr>
        <w:pStyle w:val="1288"/>
        <w:ind w:firstLine="480"/>
        <w:spacing w:line="360" w:lineRule="auto"/>
        <w:tabs>
          <w:tab w:val="left" w:pos="900" w:leader="none"/>
          <w:tab w:val="left" w:pos="1134" w:leader="none"/>
          <w:tab w:val="left" w:pos="1589" w:leader="none"/>
          <w:tab w:val="left" w:pos="552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（5）在工程施工中因采购人原因需调整节点进度，支付方式可作调整。</w:t>
      </w:r>
      <w:r>
        <w:rPr>
          <w:rFonts w:hint="eastAsia" w:ascii="宋体" w:hAnsi="宋体" w:cs="宋体"/>
          <w:color w:val="000000"/>
          <w:sz w:val="24"/>
          <w:highlight w:val="none"/>
        </w:rPr>
      </w:r>
      <w:r/>
    </w:p>
    <w:p>
      <w:pPr>
        <w:pStyle w:val="1288"/>
        <w:ind w:firstLine="480"/>
        <w:spacing w:line="360" w:lineRule="auto"/>
        <w:tabs>
          <w:tab w:val="left" w:pos="900" w:leader="none"/>
          <w:tab w:val="left" w:pos="1134" w:leader="none"/>
          <w:tab w:val="left" w:pos="1589" w:leader="none"/>
          <w:tab w:val="left" w:pos="5521" w:leader="none"/>
        </w:tabs>
        <w:rPr>
          <w:rFonts w:hint="eastAsia"/>
          <w:color w:val="000000"/>
          <w:highlight w:val="none"/>
        </w:rPr>
      </w:pPr>
      <w:r>
        <w:rPr>
          <w:rFonts w:hint="eastAsia" w:ascii="宋体" w:hAnsi="宋体" w:cs="宋体"/>
          <w:color w:val="000000"/>
          <w:sz w:val="24"/>
          <w:highlight w:val="none"/>
        </w:rPr>
        <w:t xml:space="preserve">（6）采购人根据合同专用条款约定支付工程款的时间误差尽量控制在30天以内，在此范围内，供应商不得停止施工且不得以此借口向采购人提出索赔。每次付款时供应商需提供与付款金额相等的普通发票。</w:t>
      </w:r>
      <w:r>
        <w:rPr>
          <w:rFonts w:hint="eastAsia"/>
          <w:color w:val="000000"/>
          <w:highlight w:val="none"/>
        </w:rPr>
      </w:r>
      <w:r/>
    </w:p>
    <w:p>
      <w:pPr>
        <w:pStyle w:val="1288"/>
        <w:ind w:firstLine="480"/>
        <w:spacing w:line="360" w:lineRule="auto"/>
        <w:tabs>
          <w:tab w:val="left" w:pos="900" w:leader="none"/>
          <w:tab w:val="left" w:pos="1134" w:leader="none"/>
          <w:tab w:val="left" w:pos="1589" w:leader="none"/>
          <w:tab w:val="left" w:pos="5521" w:leader="none"/>
        </w:tabs>
        <w:rPr>
          <w:rFonts w:ascii="宋体" w:hAnsi="宋体" w:cs="宋体"/>
          <w:color w:val="000000"/>
          <w:sz w:val="24"/>
          <w:highlight w:val="none"/>
        </w:rPr>
      </w:pPr>
      <w:r>
        <w:rPr>
          <w:rFonts w:hint="eastAsia" w:ascii="宋体" w:hAnsi="宋体" w:cs="宋体"/>
          <w:color w:val="000000"/>
          <w:sz w:val="24"/>
          <w:highlight w:val="none"/>
        </w:rPr>
        <w:t xml:space="preserve">3.工程质保要求</w:t>
      </w:r>
      <w:r>
        <w:rPr>
          <w:rFonts w:ascii="宋体" w:hAnsi="宋体" w:cs="宋体"/>
          <w:color w:val="000000"/>
          <w:sz w:val="24"/>
          <w:highlight w:val="none"/>
        </w:rPr>
      </w:r>
      <w:r/>
    </w:p>
    <w:p>
      <w:pPr>
        <w:pStyle w:val="1288"/>
        <w:ind w:firstLine="480"/>
        <w:spacing w:line="360" w:lineRule="auto"/>
        <w:tabs>
          <w:tab w:val="left" w:pos="900" w:leader="none"/>
          <w:tab w:val="left" w:pos="1134" w:leader="none"/>
          <w:tab w:val="left" w:pos="1589" w:leader="none"/>
          <w:tab w:val="left" w:pos="552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（1）工程质量保证期：本项目硬质景观、配套设施等土建安装工程质保期为2年；绿化工程苗木养护期为1年。质保期、养护期均自项目整体竣工验收合格之日起计算。</w:t>
      </w:r>
      <w:r>
        <w:rPr>
          <w:rFonts w:hint="eastAsia" w:ascii="宋体" w:hAnsi="宋体" w:cs="宋体"/>
          <w:color w:val="000000"/>
          <w:sz w:val="24"/>
          <w:highlight w:val="none"/>
        </w:rPr>
      </w:r>
      <w:r/>
    </w:p>
    <w:p>
      <w:pPr>
        <w:pStyle w:val="1288"/>
        <w:ind w:firstLine="480"/>
        <w:spacing w:line="360" w:lineRule="auto"/>
        <w:tabs>
          <w:tab w:val="left" w:pos="900" w:leader="none"/>
          <w:tab w:val="left" w:pos="1134" w:leader="none"/>
          <w:tab w:val="left" w:pos="1589" w:leader="none"/>
          <w:tab w:val="left" w:pos="552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质量保证责任范围：除人为损坏、自然灾害及不可抗力因素造成损坏外，凡因成交供应商施工质量原因造成工程范围内各部位破损、脱落、开裂、设施故障等问题，均属于成交供应商质保责任范围，成交供应商须无偿开展维修、更换。绿化养护期内，成交供应商须落实苗木浇灌、施肥、修剪、病虫害防治等日常管护工作；死亡、长势不良苗木由成交供应商无偿补植，补植苗木养护周期顺延。</w:t>
      </w:r>
      <w:r>
        <w:rPr>
          <w:rFonts w:hint="eastAsia" w:ascii="宋体" w:hAnsi="宋体" w:cs="宋体"/>
          <w:color w:val="000000"/>
          <w:sz w:val="24"/>
          <w:highlight w:val="none"/>
        </w:rPr>
      </w:r>
      <w:r/>
    </w:p>
    <w:p>
      <w:pPr>
        <w:pStyle w:val="1288"/>
        <w:ind w:firstLine="480"/>
        <w:spacing w:line="360" w:lineRule="auto"/>
        <w:tabs>
          <w:tab w:val="left" w:pos="900" w:leader="none"/>
          <w:tab w:val="left" w:pos="1134" w:leader="none"/>
          <w:tab w:val="left" w:pos="1589" w:leader="none"/>
          <w:tab w:val="left" w:pos="552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（3）费用约定：上述质保维修、绿化养护、苗木补植产生的全部人工、材料、机械等费用均包含在响应总报价内，采购人无需另行支付任何费用。</w:t>
      </w:r>
      <w:r>
        <w:rPr>
          <w:rFonts w:hint="eastAsia" w:ascii="宋体" w:hAnsi="宋体" w:cs="宋体"/>
          <w:color w:val="000000"/>
          <w:sz w:val="24"/>
          <w:highlight w:val="none"/>
        </w:rPr>
      </w:r>
      <w:r/>
    </w:p>
    <w:p>
      <w:pPr>
        <w:pStyle w:val="1288"/>
        <w:ind w:firstLine="480"/>
        <w:spacing w:line="360" w:lineRule="auto"/>
        <w:tabs>
          <w:tab w:val="left" w:pos="900" w:leader="none"/>
          <w:tab w:val="left" w:pos="1134" w:leader="none"/>
          <w:tab w:val="left" w:pos="1589" w:leader="none"/>
          <w:tab w:val="left" w:pos="552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4.报价要求</w:t>
      </w:r>
      <w:r>
        <w:rPr>
          <w:rFonts w:hint="eastAsia" w:ascii="宋体" w:hAnsi="宋体" w:cs="宋体"/>
          <w:color w:val="000000"/>
          <w:sz w:val="24"/>
          <w:highlight w:val="none"/>
        </w:rPr>
      </w:r>
      <w:r/>
    </w:p>
    <w:p>
      <w:pPr>
        <w:pStyle w:val="1288"/>
        <w:ind w:firstLine="480"/>
        <w:spacing w:line="360" w:lineRule="auto"/>
        <w:tabs>
          <w:tab w:val="left" w:pos="900" w:leader="none"/>
          <w:tab w:val="left" w:pos="1134" w:leader="none"/>
          <w:tab w:val="left" w:pos="1589" w:leader="none"/>
          <w:tab w:val="left" w:pos="5521" w:leader="none"/>
        </w:tabs>
        <w:rPr>
          <w:rFonts w:hint="eastAsia" w:ascii="宋体" w:hAnsi="宋体" w:cs="宋体"/>
          <w:b/>
          <w:bCs/>
          <w:color w:val="000000"/>
          <w:sz w:val="24"/>
          <w:highlight w:val="none"/>
        </w:rPr>
      </w:pPr>
      <w:r>
        <w:rPr>
          <w:rFonts w:hint="eastAsia" w:ascii="宋体" w:hAnsi="宋体" w:cs="宋体"/>
          <w:color w:val="000000"/>
          <w:sz w:val="24"/>
          <w:highlight w:val="none"/>
        </w:rPr>
        <w:t xml:space="preserve">本项目为固定综合单价报价，投标报价包含文件所确定的采购范围相应货物或者服务的提供、设计、制作、包装、运输、仓储、印刷、劳务、培训、设施设备、工具、耗材、验收、售后服务、利润、保险、税金、政策性文件规定及本项目包含的所有风险、责任等各项应有费用以及为完成该项项目所涉及到的一切相关费用。</w:t>
      </w:r>
      <w:r>
        <w:rPr>
          <w:rFonts w:hint="eastAsia" w:ascii="宋体" w:hAnsi="宋体" w:cs="宋体"/>
          <w:b/>
          <w:bCs/>
          <w:color w:val="000000"/>
          <w:sz w:val="24"/>
          <w:highlight w:val="none"/>
        </w:rPr>
        <w:t xml:space="preserve">采购人不再另行支付任何费用。</w:t>
      </w:r>
      <w:r>
        <w:rPr>
          <w:rFonts w:hint="eastAsia" w:ascii="宋体" w:hAnsi="宋体" w:cs="宋体"/>
          <w:b/>
          <w:bCs/>
          <w:color w:val="000000"/>
          <w:sz w:val="24"/>
          <w:highlight w:val="none"/>
        </w:rPr>
      </w:r>
      <w:r/>
    </w:p>
    <w:p>
      <w:pPr>
        <w:pStyle w:val="1288"/>
        <w:ind w:firstLine="480"/>
        <w:spacing w:line="360" w:lineRule="auto"/>
        <w:tabs>
          <w:tab w:val="left" w:pos="900" w:leader="none"/>
          <w:tab w:val="left" w:pos="1134" w:leader="none"/>
          <w:tab w:val="left" w:pos="1589" w:leader="none"/>
          <w:tab w:val="left" w:pos="5521" w:leader="none"/>
        </w:tabs>
        <w:rPr>
          <w:rFonts w:hint="eastAsia" w:ascii="宋体" w:hAnsi="宋体" w:cs="宋体"/>
          <w:b/>
          <w:bCs/>
          <w:color w:val="000000"/>
          <w:sz w:val="24"/>
          <w:highlight w:val="none"/>
        </w:rPr>
      </w:pPr>
      <w:r>
        <w:rPr>
          <w:rFonts w:hint="eastAsia" w:ascii="宋体" w:hAnsi="宋体" w:cs="宋体"/>
          <w:b/>
          <w:bCs/>
          <w:color w:val="000000"/>
          <w:sz w:val="24"/>
          <w:highlight w:val="none"/>
        </w:rPr>
        <w:t xml:space="preserve">5.业绩要求</w:t>
      </w:r>
      <w:r>
        <w:rPr>
          <w:rFonts w:hint="eastAsia" w:ascii="宋体" w:hAnsi="宋体" w:cs="宋体"/>
          <w:b/>
          <w:bCs/>
          <w:color w:val="000000"/>
          <w:sz w:val="24"/>
          <w:highlight w:val="none"/>
        </w:rPr>
      </w:r>
      <w:r/>
    </w:p>
    <w:p>
      <w:pPr>
        <w:pStyle w:val="1288"/>
        <w:ind w:firstLine="480"/>
        <w:spacing w:line="360" w:lineRule="auto"/>
        <w:tabs>
          <w:tab w:val="left" w:pos="900" w:leader="none"/>
          <w:tab w:val="left" w:pos="1134" w:leader="none"/>
          <w:tab w:val="left" w:pos="1589" w:leader="none"/>
          <w:tab w:val="left" w:pos="5521" w:leader="none"/>
        </w:tabs>
        <w:rPr>
          <w:rFonts w:hint="eastAsia" w:ascii="宋体" w:hAnsi="宋体" w:cs="宋体"/>
          <w:b/>
          <w:bCs/>
          <w:color w:val="000000"/>
          <w:sz w:val="24"/>
          <w:highlight w:val="none"/>
        </w:rPr>
      </w:pPr>
      <w:r>
        <w:rPr>
          <w:rFonts w:ascii="宋体" w:hAnsi="宋体" w:cs="宋体"/>
          <w:color w:val="000000"/>
          <w:sz w:val="24"/>
          <w:highlight w:val="none"/>
        </w:rPr>
        <w:t xml:space="preserve">★</w:t>
      </w:r>
      <w:r>
        <w:rPr>
          <w:rFonts w:hint="eastAsia" w:ascii="宋体" w:hAnsi="宋体" w:cs="宋体"/>
          <w:b/>
          <w:bCs/>
          <w:color w:val="000000"/>
          <w:sz w:val="24"/>
          <w:highlight w:val="none"/>
        </w:rPr>
        <w:t xml:space="preserve">供应商提供1份自2023年1月1日以来截止投标时间（以合同签订日期为准）承接过的类似项目业绩合同，提供合同扫描件并加盖公章，未提供作无效响应。</w:t>
      </w:r>
      <w:r>
        <w:rPr>
          <w:rFonts w:hint="eastAsia" w:ascii="宋体" w:hAnsi="宋体" w:cs="宋体"/>
          <w:b/>
          <w:bCs/>
          <w:color w:val="000000"/>
          <w:sz w:val="24"/>
          <w:highlight w:val="none"/>
        </w:rPr>
      </w:r>
      <w:r/>
    </w:p>
    <w:p>
      <w:pPr>
        <w:pStyle w:val="1288"/>
        <w:spacing w:line="360" w:lineRule="auto"/>
        <w:tabs>
          <w:tab w:val="left" w:pos="900" w:leader="none"/>
          <w:tab w:val="left" w:pos="1134" w:leader="none"/>
          <w:tab w:val="left" w:pos="1589" w:leader="none"/>
          <w:tab w:val="left" w:pos="5521" w:leader="none"/>
        </w:tabs>
        <w:rPr>
          <w:rFonts w:hint="eastAsia" w:ascii="宋体" w:hAnsi="宋体" w:cs="宋体"/>
          <w:b/>
          <w:bCs/>
          <w:color w:val="000000"/>
          <w:sz w:val="24"/>
          <w:highlight w:val="none"/>
        </w:rPr>
      </w:pPr>
      <w:r>
        <w:rPr>
          <w:rFonts w:hint="eastAsia" w:ascii="宋体" w:hAnsi="宋体" w:cs="宋体"/>
          <w:b/>
          <w:bCs/>
          <w:color w:val="000000"/>
          <w:sz w:val="24"/>
          <w:highlight w:val="none"/>
        </w:rPr>
        <w:t xml:space="preserve">三、技术要求</w:t>
      </w:r>
      <w:r>
        <w:rPr>
          <w:rFonts w:hint="eastAsia" w:ascii="宋体" w:hAnsi="宋体" w:cs="宋体"/>
          <w:b/>
          <w:bCs/>
          <w:color w:val="000000"/>
          <w:sz w:val="24"/>
          <w:highlight w:val="none"/>
        </w:rPr>
      </w:r>
      <w:r/>
    </w:p>
    <w:p>
      <w:pPr>
        <w:pStyle w:val="1288"/>
        <w:ind w:firstLine="480"/>
        <w:spacing w:line="360" w:lineRule="auto"/>
        <w:tabs>
          <w:tab w:val="left" w:pos="900" w:leader="none"/>
          <w:tab w:val="left" w:pos="1134" w:leader="none"/>
          <w:tab w:val="left" w:pos="1589" w:leader="none"/>
          <w:tab w:val="left" w:pos="5521" w:leader="none"/>
        </w:tabs>
        <w:rPr>
          <w:rFonts w:hint="eastAsia" w:ascii="宋体" w:hAnsi="宋体" w:cs="宋体"/>
          <w:b/>
          <w:bCs/>
          <w:color w:val="000000"/>
          <w:sz w:val="24"/>
          <w:highlight w:val="none"/>
        </w:rPr>
      </w:pPr>
      <w:r/>
      <w:bookmarkStart w:id="783" w:name="_Toc195013382"/>
      <w:r>
        <w:rPr>
          <w:rFonts w:hint="eastAsia" w:ascii="宋体" w:hAnsi="宋体" w:cs="宋体"/>
          <w:b/>
          <w:bCs/>
          <w:color w:val="000000"/>
          <w:sz w:val="24"/>
          <w:highlight w:val="none"/>
        </w:rPr>
        <w:t xml:space="preserve">1.采购标的需实现的功能或者目标</w:t>
      </w:r>
      <w:r>
        <w:rPr>
          <w:rFonts w:hint="eastAsia" w:ascii="宋体" w:hAnsi="宋体" w:cs="宋体"/>
          <w:b/>
          <w:bCs/>
          <w:color w:val="000000"/>
          <w:sz w:val="24"/>
          <w:highlight w:val="none"/>
        </w:rPr>
      </w:r>
      <w:r/>
    </w:p>
    <w:p>
      <w:pPr>
        <w:pStyle w:val="1288"/>
        <w:ind w:firstLine="480"/>
        <w:spacing w:line="360" w:lineRule="auto"/>
        <w:tabs>
          <w:tab w:val="left" w:pos="900" w:leader="none"/>
          <w:tab w:val="left" w:pos="1134" w:leader="none"/>
          <w:tab w:val="left" w:pos="1589" w:leader="none"/>
          <w:tab w:val="left" w:pos="552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完成荆川公园、人民公园相关节点园艺景观提升改造，通过苗木更新、土壤改良、硬质场地建设、景观配套设施安装、文化景观打造，改善公园林下及节点景观效果，打造海棠、绣球特色观赏点位，完善公园休闲活动空间；合同履行期内按时完成全部施工内容，工程质量符合国家、行业及地方现行标准，满足公园日常开放使用要求，苗木成活率100%。</w:t>
      </w:r>
      <w:r>
        <w:rPr>
          <w:rFonts w:hint="eastAsia" w:ascii="宋体" w:hAnsi="宋体" w:cs="宋体"/>
          <w:color w:val="000000"/>
          <w:sz w:val="24"/>
          <w:highlight w:val="none"/>
        </w:rPr>
      </w:r>
      <w:r/>
    </w:p>
    <w:p>
      <w:pPr>
        <w:pStyle w:val="1288"/>
        <w:ind w:firstLine="480"/>
        <w:spacing w:line="360" w:lineRule="auto"/>
        <w:tabs>
          <w:tab w:val="left" w:pos="900" w:leader="none"/>
          <w:tab w:val="left" w:pos="1134" w:leader="none"/>
          <w:tab w:val="left" w:pos="1589" w:leader="none"/>
          <w:tab w:val="left" w:pos="5521" w:leader="none"/>
        </w:tabs>
        <w:rPr>
          <w:rFonts w:hint="eastAsia" w:ascii="宋体" w:hAnsi="宋体" w:cs="宋体"/>
          <w:b/>
          <w:bCs/>
          <w:color w:val="000000"/>
          <w:sz w:val="24"/>
          <w:highlight w:val="none"/>
        </w:rPr>
      </w:pPr>
      <w:r>
        <w:rPr>
          <w:rFonts w:hint="eastAsia" w:ascii="宋体" w:hAnsi="宋体" w:cs="宋体"/>
          <w:b/>
          <w:bCs/>
          <w:color w:val="000000"/>
          <w:sz w:val="24"/>
          <w:highlight w:val="none"/>
        </w:rPr>
        <w:t xml:space="preserve">2.需执行的国家相关标准、行业标准、地方标准或者其他标准、规范</w:t>
      </w:r>
      <w:r>
        <w:rPr>
          <w:rFonts w:hint="eastAsia" w:ascii="宋体" w:hAnsi="宋体" w:cs="宋体"/>
          <w:b/>
          <w:bCs/>
          <w:color w:val="000000"/>
          <w:sz w:val="24"/>
          <w:highlight w:val="none"/>
        </w:rPr>
      </w:r>
      <w:r/>
    </w:p>
    <w:p>
      <w:pPr>
        <w:pStyle w:val="1288"/>
        <w:ind w:firstLine="480"/>
        <w:spacing w:line="360" w:lineRule="auto"/>
        <w:tabs>
          <w:tab w:val="left" w:pos="900" w:leader="none"/>
          <w:tab w:val="left" w:pos="1134" w:leader="none"/>
          <w:tab w:val="left" w:pos="1589" w:leader="none"/>
          <w:tab w:val="left" w:pos="552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《中华人民共和国建筑法》、《建设工程安全生产管理条例》、《建设工程质量管理条例》等国家、地方现行法律、法规、标准、规范、规程。</w:t>
      </w:r>
      <w:r>
        <w:rPr>
          <w:rFonts w:hint="eastAsia" w:ascii="宋体" w:hAnsi="宋体" w:cs="宋体"/>
          <w:color w:val="000000"/>
          <w:sz w:val="24"/>
          <w:highlight w:val="none"/>
        </w:rPr>
      </w:r>
      <w:r/>
    </w:p>
    <w:p>
      <w:pPr>
        <w:pStyle w:val="1288"/>
        <w:ind w:firstLine="480"/>
        <w:spacing w:line="360" w:lineRule="auto"/>
        <w:tabs>
          <w:tab w:val="left" w:pos="900" w:leader="none"/>
          <w:tab w:val="left" w:pos="1134" w:leader="none"/>
          <w:tab w:val="left" w:pos="1589" w:leader="none"/>
          <w:tab w:val="left" w:pos="552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工程质量标准：符合国家《建筑工程施工质量验收统一标准》（GB503002021）、《园林绿化工程项目规范》（GB550142021）、《建筑电气工程施工质量验收规范》（GB 503032015）及江苏省、常州市现行园林绿化相关标准规范为质量评定验收标准，确保验收合格。</w:t>
      </w:r>
      <w:r>
        <w:rPr>
          <w:rFonts w:hint="eastAsia" w:ascii="宋体" w:hAnsi="宋体" w:cs="宋体"/>
          <w:color w:val="000000"/>
          <w:sz w:val="24"/>
          <w:highlight w:val="none"/>
        </w:rPr>
      </w:r>
      <w:r/>
    </w:p>
    <w:p>
      <w:pPr>
        <w:pStyle w:val="1288"/>
        <w:ind w:firstLine="480"/>
        <w:spacing w:line="360" w:lineRule="auto"/>
        <w:tabs>
          <w:tab w:val="left" w:pos="900" w:leader="none"/>
          <w:tab w:val="left" w:pos="1134" w:leader="none"/>
          <w:tab w:val="left" w:pos="1589" w:leader="none"/>
          <w:tab w:val="left" w:pos="552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合同履行期内法律、法规、施工规范、验收规范及地方政府规章、文件有调整或更新的，按最新版执行。</w:t>
      </w:r>
      <w:r>
        <w:rPr>
          <w:rFonts w:hint="eastAsia" w:ascii="宋体" w:hAnsi="宋体" w:cs="宋体"/>
          <w:color w:val="000000"/>
          <w:sz w:val="24"/>
          <w:highlight w:val="none"/>
        </w:rPr>
      </w:r>
      <w:r/>
    </w:p>
    <w:p>
      <w:pPr>
        <w:pStyle w:val="1288"/>
        <w:ind w:firstLine="480"/>
        <w:spacing w:line="360" w:lineRule="auto"/>
        <w:tabs>
          <w:tab w:val="left" w:pos="900" w:leader="none"/>
          <w:tab w:val="left" w:pos="1134" w:leader="none"/>
          <w:tab w:val="left" w:pos="1589" w:leader="none"/>
          <w:tab w:val="left" w:pos="5521" w:leader="none"/>
        </w:tabs>
        <w:rPr>
          <w:rFonts w:hint="eastAsia" w:ascii="宋体" w:hAnsi="宋体" w:cs="宋体"/>
          <w:b/>
          <w:bCs/>
          <w:color w:val="000000"/>
          <w:sz w:val="24"/>
          <w:highlight w:val="none"/>
        </w:rPr>
      </w:pPr>
      <w:r>
        <w:rPr>
          <w:rFonts w:hint="eastAsia" w:ascii="宋体" w:hAnsi="宋体" w:cs="宋体"/>
          <w:b/>
          <w:bCs/>
          <w:color w:val="000000"/>
          <w:sz w:val="24"/>
          <w:highlight w:val="none"/>
        </w:rPr>
        <w:t xml:space="preserve">3.项目概况及采购范围</w:t>
      </w:r>
      <w:r>
        <w:rPr>
          <w:rFonts w:hint="eastAsia" w:ascii="宋体" w:hAnsi="宋体" w:cs="宋体"/>
          <w:b/>
          <w:bCs/>
          <w:color w:val="000000"/>
          <w:sz w:val="24"/>
          <w:highlight w:val="none"/>
        </w:rPr>
      </w:r>
      <w:r/>
    </w:p>
    <w:p>
      <w:pPr>
        <w:pStyle w:val="1288"/>
        <w:ind w:firstLine="480"/>
        <w:spacing w:line="360" w:lineRule="auto"/>
        <w:tabs>
          <w:tab w:val="left" w:pos="900" w:leader="none"/>
          <w:tab w:val="left" w:pos="1134" w:leader="none"/>
          <w:tab w:val="left" w:pos="1589" w:leader="none"/>
          <w:tab w:val="left" w:pos="552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（1）项目概况</w:t>
      </w:r>
      <w:r>
        <w:rPr>
          <w:rFonts w:hint="eastAsia" w:ascii="宋体" w:hAnsi="宋体" w:cs="宋体"/>
          <w:color w:val="000000"/>
          <w:sz w:val="24"/>
          <w:highlight w:val="none"/>
        </w:rPr>
      </w:r>
      <w:r/>
    </w:p>
    <w:p>
      <w:pPr>
        <w:pStyle w:val="1288"/>
        <w:ind w:firstLine="480"/>
        <w:spacing w:line="360" w:lineRule="auto"/>
        <w:tabs>
          <w:tab w:val="left" w:pos="900" w:leader="none"/>
          <w:tab w:val="left" w:pos="1134" w:leader="none"/>
          <w:tab w:val="left" w:pos="1589" w:leader="none"/>
          <w:tab w:val="left" w:pos="552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项目实施地点为荆川公园、人民公园相关节点改造，总提升面积约4450㎡。</w:t>
      </w:r>
      <w:r>
        <w:rPr>
          <w:rFonts w:hint="eastAsia" w:ascii="宋体" w:hAnsi="宋体" w:cs="宋体"/>
          <w:color w:val="000000"/>
          <w:sz w:val="24"/>
          <w:highlight w:val="none"/>
        </w:rPr>
      </w:r>
      <w:r/>
    </w:p>
    <w:p>
      <w:pPr>
        <w:pStyle w:val="1288"/>
        <w:ind w:firstLine="480"/>
        <w:spacing w:line="360" w:lineRule="auto"/>
        <w:tabs>
          <w:tab w:val="left" w:pos="900" w:leader="none"/>
          <w:tab w:val="left" w:pos="1134" w:leader="none"/>
          <w:tab w:val="left" w:pos="1589" w:leader="none"/>
          <w:tab w:val="left" w:pos="5521" w:leader="none"/>
        </w:tabs>
        <w:rPr>
          <w:rFonts w:ascii="宋体" w:hAnsi="宋体" w:cs="宋体"/>
          <w:color w:val="000000"/>
          <w:sz w:val="24"/>
          <w:highlight w:val="none"/>
        </w:rPr>
      </w:pPr>
      <w:r>
        <w:rPr>
          <w:rFonts w:hint="eastAsia" w:ascii="宋体" w:hAnsi="宋体" w:cs="宋体"/>
          <w:color w:val="000000"/>
          <w:sz w:val="24"/>
          <w:highlight w:val="none"/>
        </w:rPr>
        <w:t xml:space="preserve">（2）包含但不限于：场地清杂、现状苗木梳理修剪、苗木移植、土壤改良、苗木栽植、地被种植；园路铺装、汀步、挡墙、景观坐凳、景石等硬质工程；EPDM 乒乓球场地、L型百叶蔷薇围挡、玻璃栏杆、电气管线、给排水、雨水口等配套设施；海棠IP雕塑、主题花境、文化景观营造；施工垃圾清运、成品保护；完工后的一级养护，全部包工、包料、包机械、包运输、包成活、包验收、包养护。</w:t>
      </w:r>
      <w:r>
        <w:rPr>
          <w:rFonts w:ascii="宋体" w:hAnsi="宋体" w:cs="宋体"/>
          <w:color w:val="000000"/>
          <w:sz w:val="24"/>
          <w:highlight w:val="none"/>
        </w:rPr>
      </w:r>
      <w:r/>
    </w:p>
    <w:p>
      <w:pPr>
        <w:pStyle w:val="1288"/>
        <w:ind w:firstLine="480"/>
        <w:spacing w:line="360" w:lineRule="auto"/>
        <w:tabs>
          <w:tab w:val="left" w:pos="900" w:leader="none"/>
          <w:tab w:val="left" w:pos="1134" w:leader="none"/>
          <w:tab w:val="left" w:pos="1589" w:leader="none"/>
          <w:tab w:val="left" w:pos="5521" w:leader="none"/>
        </w:tabs>
        <w:rPr>
          <w:rFonts w:hint="eastAsia" w:ascii="宋体" w:hAnsi="宋体" w:cs="宋体"/>
          <w:b/>
          <w:bCs/>
          <w:color w:val="000000"/>
          <w:sz w:val="24"/>
          <w:highlight w:val="none"/>
        </w:rPr>
      </w:pPr>
      <w:r>
        <w:rPr>
          <w:rFonts w:hint="eastAsia" w:ascii="宋体" w:hAnsi="宋体" w:cs="宋体"/>
          <w:b/>
          <w:bCs/>
          <w:color w:val="000000"/>
          <w:sz w:val="24"/>
          <w:highlight w:val="none"/>
        </w:rPr>
        <w:t xml:space="preserve">4.主要技术要求</w:t>
      </w:r>
      <w:r>
        <w:rPr>
          <w:rFonts w:hint="eastAsia" w:ascii="宋体" w:hAnsi="宋体" w:cs="宋体"/>
          <w:b/>
          <w:bCs/>
          <w:color w:val="000000"/>
          <w:sz w:val="24"/>
          <w:highlight w:val="none"/>
        </w:rPr>
      </w:r>
      <w:r/>
    </w:p>
    <w:p>
      <w:pPr>
        <w:pStyle w:val="1288"/>
        <w:ind w:firstLine="480"/>
        <w:spacing w:line="360" w:lineRule="auto"/>
        <w:tabs>
          <w:tab w:val="left" w:pos="900" w:leader="none"/>
          <w:tab w:val="left" w:pos="1134" w:leader="none"/>
          <w:tab w:val="left" w:pos="1589" w:leader="none"/>
          <w:tab w:val="left" w:pos="552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（1）绿化工程</w:t>
      </w:r>
      <w:r>
        <w:rPr>
          <w:rFonts w:hint="eastAsia" w:ascii="宋体" w:hAnsi="宋体" w:cs="宋体"/>
          <w:color w:val="000000"/>
          <w:sz w:val="24"/>
          <w:highlight w:val="none"/>
        </w:rPr>
      </w:r>
      <w:r/>
    </w:p>
    <w:p>
      <w:pPr>
        <w:pStyle w:val="1288"/>
        <w:ind w:firstLine="480"/>
        <w:spacing w:line="360" w:lineRule="auto"/>
        <w:tabs>
          <w:tab w:val="left" w:pos="900" w:leader="none"/>
          <w:tab w:val="left" w:pos="1134" w:leader="none"/>
          <w:tab w:val="left" w:pos="1589" w:leader="none"/>
          <w:tab w:val="left" w:pos="552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①苗木规格、品种、土球、冠幅、树形严格按照施工图纸要求执行，不得降低规格，严禁使用病苗、弱苗、断头苗。</w:t>
      </w:r>
      <w:r>
        <w:rPr>
          <w:rFonts w:hint="eastAsia" w:ascii="宋体" w:hAnsi="宋体" w:cs="宋体"/>
          <w:color w:val="000000"/>
          <w:sz w:val="24"/>
          <w:highlight w:val="none"/>
        </w:rPr>
      </w:r>
      <w:r/>
    </w:p>
    <w:p>
      <w:pPr>
        <w:pStyle w:val="1288"/>
        <w:ind w:firstLine="480"/>
        <w:spacing w:line="360" w:lineRule="auto"/>
        <w:tabs>
          <w:tab w:val="left" w:pos="900" w:leader="none"/>
          <w:tab w:val="left" w:pos="1134" w:leader="none"/>
          <w:tab w:val="left" w:pos="1589" w:leader="none"/>
          <w:tab w:val="left" w:pos="552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②土壤改良区域须按图纸完成换土、有机质改良处理，满足苗木生长条件。</w:t>
      </w:r>
      <w:r>
        <w:rPr>
          <w:rFonts w:hint="eastAsia" w:ascii="宋体" w:hAnsi="宋体" w:cs="宋体"/>
          <w:color w:val="000000"/>
          <w:sz w:val="24"/>
          <w:highlight w:val="none"/>
        </w:rPr>
      </w:r>
      <w:r/>
    </w:p>
    <w:p>
      <w:pPr>
        <w:pStyle w:val="1288"/>
        <w:ind w:firstLine="480"/>
        <w:spacing w:line="360" w:lineRule="auto"/>
        <w:tabs>
          <w:tab w:val="left" w:pos="900" w:leader="none"/>
          <w:tab w:val="left" w:pos="1134" w:leader="none"/>
          <w:tab w:val="left" w:pos="1589" w:leader="none"/>
          <w:tab w:val="left" w:pos="552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③移植苗木做好断根、包裹、修剪、保水措施，保障移植成活率。</w:t>
      </w:r>
      <w:r>
        <w:rPr>
          <w:rFonts w:hint="eastAsia" w:ascii="宋体" w:hAnsi="宋体" w:cs="宋体"/>
          <w:color w:val="000000"/>
          <w:sz w:val="24"/>
          <w:highlight w:val="none"/>
        </w:rPr>
      </w:r>
      <w:r/>
    </w:p>
    <w:p>
      <w:pPr>
        <w:pStyle w:val="1288"/>
        <w:ind w:firstLine="480"/>
        <w:spacing w:line="360" w:lineRule="auto"/>
        <w:tabs>
          <w:tab w:val="left" w:pos="900" w:leader="none"/>
          <w:tab w:val="left" w:pos="1134" w:leader="none"/>
          <w:tab w:val="left" w:pos="1589" w:leader="none"/>
          <w:tab w:val="left" w:pos="552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④反季节种植必须编制专项保活方案，落实遮阴、喷雾、支撑、防寒等措施。</w:t>
      </w:r>
      <w:r>
        <w:rPr>
          <w:rFonts w:hint="eastAsia" w:ascii="宋体" w:hAnsi="宋体" w:cs="宋体"/>
          <w:color w:val="000000"/>
          <w:sz w:val="24"/>
          <w:highlight w:val="none"/>
        </w:rPr>
      </w:r>
      <w:r/>
    </w:p>
    <w:p>
      <w:pPr>
        <w:pStyle w:val="1288"/>
        <w:ind w:firstLine="480"/>
        <w:spacing w:line="360" w:lineRule="auto"/>
        <w:tabs>
          <w:tab w:val="left" w:pos="900" w:leader="none"/>
          <w:tab w:val="left" w:pos="1134" w:leader="none"/>
          <w:tab w:val="left" w:pos="1589" w:leader="none"/>
          <w:tab w:val="left" w:pos="552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⑤养护期内所有死亡、长势不良苗木，</w:t>
      </w:r>
      <w:r>
        <w:rPr>
          <w:rFonts w:hint="eastAsia" w:ascii="宋体" w:hAnsi="宋体" w:cs="宋体"/>
          <w:b/>
          <w:bCs/>
          <w:color w:val="000000"/>
          <w:sz w:val="24"/>
          <w:highlight w:val="none"/>
        </w:rPr>
        <w:t xml:space="preserve">供应商必须无条件采用同品种、同规格苗木及时补植，补植后重新计算该株苗木养护周期。</w:t>
      </w:r>
      <w:r>
        <w:rPr>
          <w:rFonts w:hint="eastAsia" w:ascii="宋体" w:hAnsi="宋体" w:cs="宋体"/>
          <w:color w:val="000000"/>
          <w:sz w:val="24"/>
          <w:highlight w:val="none"/>
        </w:rPr>
      </w:r>
      <w:r/>
    </w:p>
    <w:p>
      <w:pPr>
        <w:pStyle w:val="1288"/>
        <w:ind w:firstLine="480"/>
        <w:spacing w:line="360" w:lineRule="auto"/>
        <w:tabs>
          <w:tab w:val="left" w:pos="900" w:leader="none"/>
          <w:tab w:val="left" w:pos="1134" w:leader="none"/>
          <w:tab w:val="left" w:pos="1589" w:leader="none"/>
          <w:tab w:val="left" w:pos="552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（2）硬质景观工程</w:t>
      </w:r>
      <w:r>
        <w:rPr>
          <w:rFonts w:hint="eastAsia" w:ascii="宋体" w:hAnsi="宋体" w:cs="宋体"/>
          <w:color w:val="000000"/>
          <w:sz w:val="24"/>
          <w:highlight w:val="none"/>
        </w:rPr>
      </w:r>
      <w:r/>
    </w:p>
    <w:p>
      <w:pPr>
        <w:pStyle w:val="1288"/>
        <w:ind w:firstLine="480"/>
        <w:spacing w:line="360" w:lineRule="auto"/>
        <w:tabs>
          <w:tab w:val="left" w:pos="900" w:leader="none"/>
          <w:tab w:val="left" w:pos="1134" w:leader="none"/>
          <w:tab w:val="left" w:pos="1589" w:leader="none"/>
          <w:tab w:val="left" w:pos="552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①园路、汀步、挡墙、塑木坐凳、景石等硬质构筑物材料、工艺、尺寸严格执行图纸要求；</w:t>
      </w:r>
      <w:r>
        <w:rPr>
          <w:rFonts w:hint="eastAsia" w:ascii="宋体" w:hAnsi="宋体" w:cs="宋体"/>
          <w:color w:val="000000"/>
          <w:sz w:val="24"/>
          <w:highlight w:val="none"/>
        </w:rPr>
      </w:r>
      <w:r/>
    </w:p>
    <w:p>
      <w:pPr>
        <w:pStyle w:val="1288"/>
        <w:ind w:firstLine="480"/>
        <w:spacing w:line="360" w:lineRule="auto"/>
        <w:tabs>
          <w:tab w:val="left" w:pos="900" w:leader="none"/>
          <w:tab w:val="left" w:pos="1134" w:leader="none"/>
          <w:tab w:val="left" w:pos="1589" w:leader="none"/>
          <w:tab w:val="left" w:pos="552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②EPDM乒乓球场材料符合国家塑胶场地相关标准，平整度、厚度满足使用要求，无脱层、开裂；</w:t>
      </w:r>
      <w:r>
        <w:rPr>
          <w:rFonts w:hint="eastAsia" w:ascii="宋体" w:hAnsi="宋体" w:cs="宋体"/>
          <w:color w:val="000000"/>
          <w:sz w:val="24"/>
          <w:highlight w:val="none"/>
        </w:rPr>
      </w:r>
      <w:r/>
    </w:p>
    <w:p>
      <w:pPr>
        <w:pStyle w:val="1288"/>
        <w:ind w:firstLine="480"/>
        <w:spacing w:line="360" w:lineRule="auto"/>
        <w:tabs>
          <w:tab w:val="left" w:pos="900" w:leader="none"/>
          <w:tab w:val="left" w:pos="1134" w:leader="none"/>
          <w:tab w:val="left" w:pos="1589" w:leader="none"/>
          <w:tab w:val="left" w:pos="552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③所有硬质构件牢固安全，边角处理到位，满足公园游人日常使用安全。</w:t>
      </w:r>
      <w:r>
        <w:rPr>
          <w:rFonts w:hint="eastAsia" w:ascii="宋体" w:hAnsi="宋体" w:cs="宋体"/>
          <w:color w:val="000000"/>
          <w:sz w:val="24"/>
          <w:highlight w:val="none"/>
        </w:rPr>
      </w:r>
      <w:r/>
    </w:p>
    <w:p>
      <w:pPr>
        <w:pStyle w:val="1288"/>
        <w:ind w:firstLine="480"/>
        <w:spacing w:line="360" w:lineRule="auto"/>
        <w:tabs>
          <w:tab w:val="left" w:pos="900" w:leader="none"/>
          <w:tab w:val="left" w:pos="1134" w:leader="none"/>
          <w:tab w:val="left" w:pos="1589" w:leader="none"/>
          <w:tab w:val="left" w:pos="552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（3）配套设施工程</w:t>
      </w:r>
      <w:r>
        <w:rPr>
          <w:rFonts w:hint="eastAsia" w:ascii="宋体" w:hAnsi="宋体" w:cs="宋体"/>
          <w:color w:val="000000"/>
          <w:sz w:val="24"/>
          <w:highlight w:val="none"/>
        </w:rPr>
      </w:r>
      <w:r/>
    </w:p>
    <w:p>
      <w:pPr>
        <w:pStyle w:val="1288"/>
        <w:ind w:firstLine="480"/>
        <w:spacing w:line="360" w:lineRule="auto"/>
        <w:tabs>
          <w:tab w:val="left" w:pos="900" w:leader="none"/>
          <w:tab w:val="left" w:pos="1134" w:leader="none"/>
          <w:tab w:val="left" w:pos="1589" w:leader="none"/>
          <w:tab w:val="left" w:pos="552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①L型百叶蔷薇围挡、玻璃栏杆加工、安装严格按图纸参数实施，结构安全可靠；</w:t>
      </w:r>
      <w:r>
        <w:rPr>
          <w:rFonts w:hint="eastAsia" w:ascii="宋体" w:hAnsi="宋体" w:cs="宋体"/>
          <w:color w:val="000000"/>
          <w:sz w:val="24"/>
          <w:highlight w:val="none"/>
        </w:rPr>
      </w:r>
      <w:r/>
    </w:p>
    <w:p>
      <w:pPr>
        <w:pStyle w:val="1288"/>
        <w:ind w:firstLine="480"/>
        <w:spacing w:line="360" w:lineRule="auto"/>
        <w:tabs>
          <w:tab w:val="left" w:pos="900" w:leader="none"/>
          <w:tab w:val="left" w:pos="1134" w:leader="none"/>
          <w:tab w:val="left" w:pos="1589" w:leader="none"/>
          <w:tab w:val="left" w:pos="552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②电气管线、给排水、雨水口施工符合电气、给排水规范，管线隐蔽部分做好记录，满足公园使用安全；</w:t>
      </w:r>
      <w:r>
        <w:rPr>
          <w:rFonts w:hint="eastAsia" w:ascii="宋体" w:hAnsi="宋体" w:cs="宋体"/>
          <w:color w:val="000000"/>
          <w:sz w:val="24"/>
          <w:highlight w:val="none"/>
        </w:rPr>
      </w:r>
      <w:r/>
    </w:p>
    <w:p>
      <w:pPr>
        <w:pStyle w:val="1288"/>
        <w:ind w:firstLine="480"/>
        <w:spacing w:line="360" w:lineRule="auto"/>
        <w:tabs>
          <w:tab w:val="left" w:pos="900" w:leader="none"/>
          <w:tab w:val="left" w:pos="1134" w:leader="none"/>
          <w:tab w:val="left" w:pos="1589" w:leader="none"/>
          <w:tab w:val="left" w:pos="552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③所有设施完成后调试运行正常。</w:t>
      </w:r>
      <w:r>
        <w:rPr>
          <w:rFonts w:hint="eastAsia" w:ascii="宋体" w:hAnsi="宋体" w:cs="宋体"/>
          <w:color w:val="000000"/>
          <w:sz w:val="24"/>
          <w:highlight w:val="none"/>
        </w:rPr>
      </w:r>
      <w:r/>
    </w:p>
    <w:p>
      <w:pPr>
        <w:pStyle w:val="1288"/>
        <w:ind w:firstLine="480"/>
        <w:spacing w:line="360" w:lineRule="auto"/>
        <w:tabs>
          <w:tab w:val="left" w:pos="900" w:leader="none"/>
          <w:tab w:val="left" w:pos="1134" w:leader="none"/>
          <w:tab w:val="left" w:pos="1589" w:leader="none"/>
          <w:tab w:val="left" w:pos="5521" w:leader="none"/>
        </w:tabs>
        <w:rPr>
          <w:rFonts w:ascii="宋体" w:hAnsi="宋体" w:cs="宋体"/>
          <w:color w:val="000000"/>
          <w:sz w:val="24"/>
          <w:highlight w:val="none"/>
        </w:rPr>
      </w:pPr>
      <w:r>
        <w:rPr>
          <w:rFonts w:hint="eastAsia" w:ascii="宋体" w:hAnsi="宋体" w:cs="宋体"/>
          <w:color w:val="000000"/>
          <w:sz w:val="24"/>
          <w:highlight w:val="none"/>
        </w:rPr>
        <w:t xml:space="preserve">（4）文化景观要求</w:t>
      </w:r>
      <w:r>
        <w:rPr>
          <w:rFonts w:ascii="宋体" w:hAnsi="宋体" w:cs="宋体"/>
          <w:color w:val="000000"/>
          <w:sz w:val="24"/>
          <w:highlight w:val="none"/>
        </w:rPr>
      </w:r>
      <w:r/>
    </w:p>
    <w:p>
      <w:pPr>
        <w:pStyle w:val="1288"/>
        <w:ind w:firstLine="480"/>
        <w:spacing w:line="360" w:lineRule="auto"/>
        <w:tabs>
          <w:tab w:val="left" w:pos="900" w:leader="none"/>
          <w:tab w:val="left" w:pos="1134" w:leader="none"/>
          <w:tab w:val="left" w:pos="1589" w:leader="none"/>
          <w:tab w:val="left" w:pos="552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①荆川公园唐氏宗祠片区 “荆棠毓秀”“川公三友”、人民公园季子亭 “崇法绣色” 等文化景观，造型、意境、植物组团不得低于图纸及效果图呈现效果；</w:t>
      </w:r>
      <w:r>
        <w:rPr>
          <w:rFonts w:hint="eastAsia" w:ascii="宋体" w:hAnsi="宋体" w:cs="宋体"/>
          <w:color w:val="000000"/>
          <w:sz w:val="24"/>
          <w:highlight w:val="none"/>
        </w:rPr>
      </w:r>
      <w:r/>
    </w:p>
    <w:p>
      <w:pPr>
        <w:pStyle w:val="1288"/>
        <w:ind w:firstLine="480"/>
        <w:spacing w:line="360" w:lineRule="auto"/>
        <w:tabs>
          <w:tab w:val="left" w:pos="900" w:leader="none"/>
          <w:tab w:val="left" w:pos="1134" w:leader="none"/>
          <w:tab w:val="left" w:pos="1589" w:leader="none"/>
          <w:tab w:val="left" w:pos="552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②海棠IP雕塑、文化景石、主题花境位置、样式按图纸落地，兼顾文化表达与公园观赏功能。</w:t>
      </w:r>
      <w:r>
        <w:rPr>
          <w:rFonts w:hint="eastAsia" w:ascii="宋体" w:hAnsi="宋体" w:cs="宋体"/>
          <w:color w:val="000000"/>
          <w:sz w:val="24"/>
          <w:highlight w:val="none"/>
        </w:rPr>
      </w:r>
      <w:r/>
    </w:p>
    <w:p>
      <w:pPr>
        <w:pStyle w:val="1288"/>
        <w:ind w:firstLine="480"/>
        <w:spacing w:line="360" w:lineRule="auto"/>
        <w:tabs>
          <w:tab w:val="left" w:pos="900" w:leader="none"/>
          <w:tab w:val="left" w:pos="1134" w:leader="none"/>
          <w:tab w:val="left" w:pos="1589" w:leader="none"/>
          <w:tab w:val="left" w:pos="5521" w:leader="none"/>
        </w:tabs>
        <w:rPr>
          <w:rFonts w:ascii="宋体" w:hAnsi="宋体" w:cs="宋体"/>
          <w:b/>
          <w:bCs/>
          <w:color w:val="000000"/>
          <w:sz w:val="24"/>
          <w:highlight w:val="none"/>
        </w:rPr>
      </w:pPr>
      <w:r>
        <w:rPr>
          <w:rFonts w:hint="eastAsia" w:ascii="宋体" w:hAnsi="宋体" w:cs="宋体"/>
          <w:b/>
          <w:bCs/>
          <w:color w:val="000000"/>
          <w:sz w:val="24"/>
          <w:highlight w:val="none"/>
        </w:rPr>
        <w:t xml:space="preserve">5.质量、安全文明施工</w:t>
      </w:r>
      <w:r>
        <w:rPr>
          <w:rFonts w:ascii="宋体" w:hAnsi="宋体" w:cs="宋体"/>
          <w:b/>
          <w:bCs/>
          <w:color w:val="000000"/>
          <w:sz w:val="24"/>
          <w:highlight w:val="none"/>
        </w:rPr>
      </w:r>
      <w:r/>
    </w:p>
    <w:p>
      <w:pPr>
        <w:pStyle w:val="1288"/>
        <w:ind w:firstLine="480"/>
        <w:spacing w:line="360" w:lineRule="auto"/>
        <w:tabs>
          <w:tab w:val="left" w:pos="900" w:leader="none"/>
          <w:tab w:val="left" w:pos="1134" w:leader="none"/>
          <w:tab w:val="left" w:pos="1589" w:leader="none"/>
          <w:tab w:val="left" w:pos="552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（1）工程整体质量：一次性验收合格，苗木成活率100%。</w:t>
      </w:r>
      <w:r>
        <w:rPr>
          <w:rFonts w:hint="eastAsia" w:ascii="宋体" w:hAnsi="宋体" w:cs="宋体"/>
          <w:color w:val="000000"/>
          <w:sz w:val="24"/>
          <w:highlight w:val="none"/>
        </w:rPr>
      </w:r>
      <w:r/>
    </w:p>
    <w:p>
      <w:pPr>
        <w:pStyle w:val="1288"/>
        <w:ind w:firstLine="480"/>
        <w:spacing w:line="360" w:lineRule="auto"/>
        <w:tabs>
          <w:tab w:val="left" w:pos="900" w:leader="none"/>
          <w:tab w:val="left" w:pos="1134" w:leader="none"/>
          <w:tab w:val="left" w:pos="1589" w:leader="none"/>
          <w:tab w:val="left" w:pos="552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安全文明施工：落实安全生产责任制，做好现场围挡、警示标识，保护现有古树名木、现状保留设施，施工垃圾日产日清，服从公园管理单位现场管理；施工期间发生安全事故全部由成交供应商承担全部责任与费用。</w:t>
      </w:r>
      <w:r>
        <w:rPr>
          <w:rFonts w:hint="eastAsia" w:ascii="宋体" w:hAnsi="宋体" w:cs="宋体"/>
          <w:color w:val="000000"/>
          <w:sz w:val="24"/>
          <w:highlight w:val="none"/>
        </w:rPr>
      </w:r>
      <w:r/>
    </w:p>
    <w:p>
      <w:pPr>
        <w:pStyle w:val="1288"/>
        <w:ind w:firstLine="480"/>
        <w:spacing w:line="360" w:lineRule="auto"/>
        <w:tabs>
          <w:tab w:val="left" w:pos="900" w:leader="none"/>
          <w:tab w:val="left" w:pos="1134" w:leader="none"/>
          <w:tab w:val="left" w:pos="1589" w:leader="none"/>
          <w:tab w:val="left" w:pos="552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（3）成品保护：对保留树木、构筑物、公园设施做好保护措施，造成损坏由成交单位负责修复并承担全部费用</w:t>
      </w:r>
      <w:r>
        <w:rPr>
          <w:rFonts w:hint="eastAsia" w:ascii="宋体" w:hAnsi="宋体" w:cs="宋体"/>
          <w:color w:val="000000"/>
          <w:sz w:val="24"/>
          <w:highlight w:val="none"/>
        </w:rPr>
      </w:r>
      <w:r/>
    </w:p>
    <w:p>
      <w:pPr>
        <w:pStyle w:val="1288"/>
        <w:ind w:firstLine="480"/>
        <w:spacing w:line="360" w:lineRule="auto"/>
        <w:tabs>
          <w:tab w:val="left" w:pos="900" w:leader="none"/>
          <w:tab w:val="left" w:pos="1134" w:leader="none"/>
          <w:tab w:val="left" w:pos="1589" w:leader="none"/>
          <w:tab w:val="left" w:pos="5521" w:leader="none"/>
        </w:tabs>
        <w:rPr>
          <w:rFonts w:hint="eastAsia" w:ascii="宋体" w:hAnsi="宋体" w:cs="宋体"/>
          <w:b/>
          <w:bCs/>
          <w:color w:val="000000"/>
          <w:sz w:val="24"/>
          <w:highlight w:val="none"/>
        </w:rPr>
      </w:pPr>
      <w:r>
        <w:rPr>
          <w:rFonts w:hint="eastAsia" w:ascii="宋体" w:hAnsi="宋体" w:cs="宋体"/>
          <w:b/>
          <w:bCs/>
          <w:color w:val="000000"/>
          <w:sz w:val="24"/>
          <w:highlight w:val="none"/>
        </w:rPr>
        <w:t xml:space="preserve">6.人员配置要求</w:t>
      </w:r>
      <w:r>
        <w:rPr>
          <w:rFonts w:hint="eastAsia" w:ascii="宋体" w:hAnsi="宋体" w:cs="宋体"/>
          <w:b/>
          <w:bCs/>
          <w:color w:val="000000"/>
          <w:sz w:val="24"/>
          <w:highlight w:val="none"/>
        </w:rPr>
      </w:r>
      <w:r/>
    </w:p>
    <w:p>
      <w:pPr>
        <w:pStyle w:val="1288"/>
        <w:ind w:firstLine="480"/>
        <w:spacing w:line="360" w:lineRule="auto"/>
        <w:tabs>
          <w:tab w:val="left" w:pos="900" w:leader="none"/>
          <w:tab w:val="left" w:pos="1134" w:leader="none"/>
          <w:tab w:val="left" w:pos="1589" w:leader="none"/>
          <w:tab w:val="left" w:pos="552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（1）成交供应商须为本项目配置足额项目管理及作业人员，项目实施全过程岗位人员须持证上岗，所有人员不得同时在其他在建项目担任关键岗位。</w:t>
      </w:r>
      <w:r>
        <w:rPr>
          <w:rFonts w:hint="eastAsia" w:ascii="宋体" w:hAnsi="宋体" w:cs="宋体"/>
          <w:color w:val="000000"/>
          <w:sz w:val="24"/>
          <w:highlight w:val="none"/>
        </w:rPr>
      </w:r>
      <w:r/>
    </w:p>
    <w:p>
      <w:pPr>
        <w:pStyle w:val="1288"/>
        <w:ind w:firstLine="480"/>
        <w:spacing w:line="360" w:lineRule="auto"/>
        <w:tabs>
          <w:tab w:val="left" w:pos="900" w:leader="none"/>
          <w:tab w:val="left" w:pos="1134" w:leader="none"/>
          <w:tab w:val="left" w:pos="1589" w:leader="none"/>
          <w:tab w:val="left" w:pos="552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（2）项目负责人（项目经理）：具备市政公用工程二级及以上注册建造师证书，持有有效的安全生产考核合格证书（B 证）。</w:t>
      </w:r>
      <w:r>
        <w:rPr>
          <w:rFonts w:hint="eastAsia" w:ascii="宋体" w:hAnsi="宋体" w:cs="宋体"/>
          <w:color w:val="000000"/>
          <w:sz w:val="24"/>
          <w:highlight w:val="none"/>
        </w:rPr>
      </w:r>
      <w:r/>
    </w:p>
    <w:p>
      <w:pPr>
        <w:pStyle w:val="1288"/>
        <w:ind w:firstLine="480"/>
        <w:spacing w:line="360" w:lineRule="auto"/>
        <w:tabs>
          <w:tab w:val="left" w:pos="900" w:leader="none"/>
          <w:tab w:val="left" w:pos="1134" w:leader="none"/>
          <w:tab w:val="left" w:pos="1589" w:leader="none"/>
          <w:tab w:val="left" w:pos="552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（3）技术人员：园林、市政相关专业中级及以上职称各1名，拥有公园绿化、硬质景观施工技术管理经验，全面负责本项目施工技术、图纸交底、隐蔽工程、现场技术问题处置等工作。</w:t>
      </w:r>
      <w:r>
        <w:rPr>
          <w:rFonts w:hint="eastAsia" w:ascii="宋体" w:hAnsi="宋体" w:cs="宋体"/>
          <w:color w:val="000000"/>
          <w:sz w:val="24"/>
          <w:highlight w:val="none"/>
        </w:rPr>
      </w:r>
      <w:r/>
    </w:p>
    <w:p>
      <w:pPr>
        <w:pStyle w:val="1288"/>
        <w:ind w:firstLine="480"/>
        <w:spacing w:line="360" w:lineRule="auto"/>
        <w:tabs>
          <w:tab w:val="left" w:pos="900" w:leader="none"/>
          <w:tab w:val="left" w:pos="1134" w:leader="none"/>
          <w:tab w:val="left" w:pos="1589" w:leader="none"/>
          <w:tab w:val="left" w:pos="5521" w:leader="none"/>
        </w:tabs>
        <w:rPr>
          <w:rFonts w:ascii="宋体" w:hAnsi="宋体" w:cs="宋体"/>
          <w:color w:val="000000"/>
          <w:sz w:val="24"/>
          <w:highlight w:val="none"/>
        </w:rPr>
      </w:pPr>
      <w:r>
        <w:rPr>
          <w:rFonts w:ascii="宋体" w:hAnsi="宋体" w:cs="宋体"/>
          <w:color w:val="000000"/>
          <w:sz w:val="24"/>
          <w:highlight w:val="none"/>
        </w:rPr>
        <w:t xml:space="preserve">★</w:t>
      </w:r>
      <w:r>
        <w:rPr>
          <w:rFonts w:hint="eastAsia" w:ascii="宋体" w:hAnsi="宋体" w:cs="宋体"/>
          <w:color w:val="000000"/>
          <w:sz w:val="24"/>
          <w:highlight w:val="none"/>
        </w:rPr>
        <w:t xml:space="preserve">供应商须提供</w:t>
      </w:r>
      <w:r>
        <w:rPr>
          <w:rFonts w:hint="eastAsia" w:ascii="宋体" w:hAnsi="宋体" w:cs="宋体"/>
          <w:color w:val="000000"/>
          <w:sz w:val="24"/>
          <w:highlight w:val="none"/>
        </w:rPr>
        <w:t xml:space="preserve">市政、园林相关专业中级及以上职称证书复印件并加盖公章，</w:t>
      </w:r>
      <w:r>
        <w:rPr>
          <w:rFonts w:hint="eastAsia" w:ascii="宋体" w:hAnsi="宋体" w:cs="宋体"/>
          <w:b/>
          <w:bCs/>
          <w:color w:val="000000"/>
          <w:sz w:val="24"/>
          <w:highlight w:val="none"/>
        </w:rPr>
        <w:t xml:space="preserve">未提供作无效响应。</w:t>
      </w:r>
      <w:r>
        <w:rPr>
          <w:rFonts w:ascii="宋体" w:hAnsi="宋体" w:cs="宋体"/>
          <w:color w:val="000000"/>
          <w:sz w:val="24"/>
          <w:highlight w:val="none"/>
        </w:rPr>
      </w:r>
      <w:r/>
    </w:p>
    <w:p>
      <w:pPr>
        <w:pStyle w:val="1288"/>
        <w:ind w:firstLine="480"/>
        <w:spacing w:line="360" w:lineRule="auto"/>
        <w:tabs>
          <w:tab w:val="left" w:pos="900" w:leader="none"/>
          <w:tab w:val="left" w:pos="1134" w:leader="none"/>
          <w:tab w:val="left" w:pos="1589" w:leader="none"/>
          <w:tab w:val="left" w:pos="552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（4）人员管理要求</w:t>
      </w:r>
      <w:r>
        <w:rPr>
          <w:rFonts w:hint="eastAsia" w:ascii="宋体" w:hAnsi="宋体" w:cs="宋体"/>
          <w:color w:val="000000"/>
          <w:sz w:val="24"/>
          <w:highlight w:val="none"/>
        </w:rPr>
      </w:r>
      <w:r/>
    </w:p>
    <w:p>
      <w:pPr>
        <w:pStyle w:val="1288"/>
        <w:ind w:firstLine="480"/>
        <w:spacing w:line="360" w:lineRule="auto"/>
        <w:tabs>
          <w:tab w:val="left" w:pos="900" w:leader="none"/>
          <w:tab w:val="left" w:pos="1134" w:leader="none"/>
          <w:tab w:val="left" w:pos="1589" w:leader="none"/>
          <w:tab w:val="left" w:pos="552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①上述关键岗位人员开工前须将身份证、职称证书、注册证书、社保缴纳证明提交采购人核查；未达到配置要求，采购人有权不予签发开工令。</w:t>
      </w:r>
      <w:r>
        <w:rPr>
          <w:rFonts w:hint="eastAsia" w:ascii="宋体" w:hAnsi="宋体" w:cs="宋体"/>
          <w:color w:val="000000"/>
          <w:sz w:val="24"/>
          <w:highlight w:val="none"/>
        </w:rPr>
      </w:r>
      <w:r/>
    </w:p>
    <w:p>
      <w:pPr>
        <w:pStyle w:val="1288"/>
        <w:ind w:firstLine="480"/>
        <w:spacing w:line="360" w:lineRule="auto"/>
        <w:tabs>
          <w:tab w:val="left" w:pos="900" w:leader="none"/>
          <w:tab w:val="left" w:pos="1134" w:leader="none"/>
          <w:tab w:val="left" w:pos="1589" w:leader="none"/>
          <w:tab w:val="left" w:pos="552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②项目施工期间关键岗位人员必须驻场履职，采购人有权进行人员考勤核查；未经采购人书面同意，成交供应商不得擅自更换、兼职、脱岗。</w:t>
      </w:r>
      <w:r>
        <w:rPr>
          <w:rFonts w:hint="eastAsia" w:ascii="宋体" w:hAnsi="宋体" w:cs="宋体"/>
          <w:color w:val="000000"/>
          <w:sz w:val="24"/>
          <w:highlight w:val="none"/>
        </w:rPr>
      </w:r>
      <w:r/>
    </w:p>
    <w:p>
      <w:pPr>
        <w:pStyle w:val="1288"/>
        <w:ind w:firstLine="480"/>
        <w:spacing w:line="360" w:lineRule="auto"/>
        <w:tabs>
          <w:tab w:val="left" w:pos="900" w:leader="none"/>
          <w:tab w:val="left" w:pos="1134" w:leader="none"/>
          <w:tab w:val="left" w:pos="1589" w:leader="none"/>
          <w:tab w:val="left" w:pos="552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③确因特殊情况需要更换关键岗位人员，更换后人员资质、业绩不得低于被替换人员，须提前提交申请及证明材料，取得采购人书面批准后方可更换。未经同意擅自更换人员，采购人有权按合同约定追究违约责任。</w:t>
      </w:r>
      <w:r>
        <w:rPr>
          <w:rFonts w:hint="eastAsia" w:ascii="宋体" w:hAnsi="宋体" w:cs="宋体"/>
          <w:color w:val="000000"/>
          <w:sz w:val="24"/>
          <w:highlight w:val="none"/>
        </w:rPr>
      </w:r>
      <w:r/>
    </w:p>
    <w:p>
      <w:pPr>
        <w:pStyle w:val="1288"/>
        <w:ind w:firstLine="480"/>
        <w:spacing w:line="360" w:lineRule="auto"/>
        <w:tabs>
          <w:tab w:val="left" w:pos="900" w:leader="none"/>
          <w:tab w:val="left" w:pos="1134" w:leader="none"/>
          <w:tab w:val="left" w:pos="1589" w:leader="none"/>
          <w:tab w:val="left" w:pos="5521" w:leader="none"/>
        </w:tabs>
        <w:rPr>
          <w:rFonts w:hint="eastAsia"/>
          <w:color w:val="000000"/>
          <w:highlight w:val="none"/>
        </w:rPr>
      </w:pPr>
      <w:r>
        <w:rPr>
          <w:rFonts w:hint="eastAsia" w:ascii="宋体" w:hAnsi="宋体" w:cs="宋体"/>
          <w:color w:val="000000"/>
          <w:sz w:val="24"/>
          <w:highlight w:val="none"/>
        </w:rPr>
        <w:t xml:space="preserve">④现场作业人员须做好安全教育，服从公园现场管理，作业时做好文明施工，减少对公园对外开放的影响。</w:t>
      </w:r>
      <w:r>
        <w:rPr>
          <w:rFonts w:hint="eastAsia"/>
          <w:color w:val="000000"/>
          <w:highlight w:val="none"/>
        </w:rPr>
      </w:r>
      <w:r/>
    </w:p>
    <w:p>
      <w:pPr>
        <w:pStyle w:val="1288"/>
        <w:ind w:firstLine="480"/>
        <w:spacing w:line="360" w:lineRule="auto"/>
        <w:tabs>
          <w:tab w:val="left" w:pos="900" w:leader="none"/>
          <w:tab w:val="left" w:pos="1134" w:leader="none"/>
          <w:tab w:val="left" w:pos="1589" w:leader="none"/>
          <w:tab w:val="left" w:pos="5521" w:leader="none"/>
        </w:tabs>
        <w:rPr>
          <w:rFonts w:ascii="宋体" w:hAnsi="宋体" w:cs="宋体"/>
          <w:b/>
          <w:bCs/>
          <w:color w:val="000000"/>
          <w:sz w:val="24"/>
          <w:highlight w:val="none"/>
        </w:rPr>
      </w:pPr>
      <w:r>
        <w:rPr>
          <w:rFonts w:hint="eastAsia" w:ascii="宋体" w:hAnsi="宋体" w:cs="宋体"/>
          <w:b/>
          <w:bCs/>
          <w:color w:val="000000"/>
          <w:sz w:val="24"/>
          <w:highlight w:val="none"/>
        </w:rPr>
        <w:t xml:space="preserve">7.验收要求</w:t>
      </w:r>
      <w:r>
        <w:rPr>
          <w:rFonts w:ascii="宋体" w:hAnsi="宋体" w:cs="宋体"/>
          <w:b/>
          <w:bCs/>
          <w:color w:val="000000"/>
          <w:sz w:val="24"/>
          <w:highlight w:val="none"/>
        </w:rPr>
      </w:r>
      <w:r/>
    </w:p>
    <w:p>
      <w:pPr>
        <w:pStyle w:val="1288"/>
        <w:ind w:firstLine="480"/>
        <w:spacing w:line="360" w:lineRule="auto"/>
        <w:tabs>
          <w:tab w:val="left" w:pos="900" w:leader="none"/>
          <w:tab w:val="left" w:pos="1134" w:leader="none"/>
          <w:tab w:val="left" w:pos="1589" w:leader="none"/>
          <w:tab w:val="left" w:pos="552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（1）完工后成交供应商提交完整竣工资料（竣工图、隐蔽工程记录、材料合格证、苗木资料等），向采购人申请竣工验收。</w:t>
      </w:r>
      <w:r>
        <w:rPr>
          <w:rFonts w:hint="eastAsia" w:ascii="宋体" w:hAnsi="宋体" w:cs="宋体"/>
          <w:color w:val="000000"/>
          <w:sz w:val="24"/>
          <w:highlight w:val="none"/>
        </w:rPr>
      </w:r>
      <w:r/>
    </w:p>
    <w:p>
      <w:pPr>
        <w:pStyle w:val="1288"/>
        <w:ind w:firstLine="480"/>
        <w:spacing w:line="360" w:lineRule="auto"/>
        <w:tabs>
          <w:tab w:val="left" w:pos="900" w:leader="none"/>
          <w:tab w:val="left" w:pos="1134" w:leader="none"/>
          <w:tab w:val="left" w:pos="1589" w:leader="none"/>
          <w:tab w:val="left" w:pos="552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（2）竣工验收按照国家、行业、地方现行规范、图纸、清单逐项核查；绿化部分核查苗木品种、规格、成活情况；硬质及设施核查外观、安全、使用功能。</w:t>
      </w:r>
      <w:r>
        <w:rPr>
          <w:rFonts w:hint="eastAsia" w:ascii="宋体" w:hAnsi="宋体" w:cs="宋体"/>
          <w:color w:val="000000"/>
          <w:sz w:val="24"/>
          <w:highlight w:val="none"/>
        </w:rPr>
      </w:r>
      <w:r/>
    </w:p>
    <w:p>
      <w:pPr>
        <w:pStyle w:val="1288"/>
        <w:ind w:firstLine="480"/>
        <w:spacing w:line="360" w:lineRule="auto"/>
        <w:tabs>
          <w:tab w:val="left" w:pos="900" w:leader="none"/>
          <w:tab w:val="left" w:pos="1134" w:leader="none"/>
          <w:tab w:val="left" w:pos="1589" w:leader="none"/>
          <w:tab w:val="left" w:pos="552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（3）养护期内开展中期检查、养护期满最终验收；养护期结束苗木保存率须达到 100%，景观效果达到设计预期，方可完成最终验收。</w:t>
      </w:r>
      <w:r>
        <w:rPr>
          <w:rFonts w:hint="eastAsia" w:ascii="宋体" w:hAnsi="宋体" w:cs="宋体"/>
          <w:color w:val="000000"/>
          <w:sz w:val="24"/>
          <w:highlight w:val="none"/>
        </w:rPr>
      </w:r>
      <w:r/>
    </w:p>
    <w:p>
      <w:pPr>
        <w:pStyle w:val="1288"/>
        <w:ind w:firstLine="480"/>
        <w:spacing w:line="360" w:lineRule="auto"/>
        <w:tabs>
          <w:tab w:val="left" w:pos="900" w:leader="none"/>
          <w:tab w:val="left" w:pos="1134" w:leader="none"/>
          <w:tab w:val="left" w:pos="1589" w:leader="none"/>
          <w:tab w:val="left" w:pos="5521" w:leader="none"/>
        </w:tabs>
        <w:rPr>
          <w:rFonts w:ascii="宋体" w:hAnsi="宋体" w:eastAsia="宋体" w:cs="宋体"/>
          <w:b/>
          <w:bCs/>
          <w:color w:val="000000"/>
          <w:sz w:val="24"/>
          <w:highlight w:val="none"/>
          <w:lang w:val="en-US" w:eastAsia="zh-CN"/>
        </w:rPr>
      </w:pPr>
      <w:r>
        <w:rPr>
          <w:rFonts w:hint="eastAsia" w:ascii="宋体" w:hAnsi="宋体" w:eastAsia="宋体" w:cs="宋体"/>
          <w:b/>
          <w:bCs/>
          <w:color w:val="000000"/>
          <w:sz w:val="24"/>
          <w:highlight w:val="none"/>
          <w:lang w:val="en-US" w:eastAsia="zh-CN"/>
        </w:rPr>
        <w:t xml:space="preserve">8.本项目工程量清单、图纸及其他附件</w:t>
      </w:r>
      <w:r>
        <w:rPr>
          <w:rFonts w:ascii="宋体" w:hAnsi="宋体" w:eastAsia="宋体" w:cs="宋体"/>
          <w:b/>
          <w:bCs/>
          <w:color w:val="000000"/>
          <w:sz w:val="24"/>
          <w:highlight w:val="none"/>
          <w:lang w:val="en-US" w:eastAsia="zh-CN"/>
        </w:rPr>
      </w:r>
      <w:r/>
    </w:p>
    <w:p>
      <w:pPr>
        <w:pStyle w:val="1288"/>
        <w:ind w:firstLine="480"/>
        <w:spacing w:line="360" w:lineRule="auto"/>
        <w:tabs>
          <w:tab w:val="left" w:pos="900" w:leader="none"/>
          <w:tab w:val="left" w:pos="1134" w:leader="none"/>
          <w:tab w:val="left" w:pos="1589" w:leader="none"/>
          <w:tab w:val="left" w:pos="5521" w:leader="none"/>
        </w:tabs>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通过网盘分享的文件：2026年常州市市属公园园艺景观提升工程.zip</w:t>
      </w:r>
      <w:r>
        <w:rPr>
          <w:rFonts w:hint="eastAsia" w:ascii="宋体" w:hAnsi="宋体" w:eastAsia="宋体" w:cs="宋体"/>
          <w:color w:val="000000"/>
          <w:sz w:val="24"/>
          <w:highlight w:val="none"/>
          <w:lang w:eastAsia="zh-CN"/>
        </w:rPr>
      </w:r>
      <w:r/>
    </w:p>
    <w:p>
      <w:pPr>
        <w:pStyle w:val="1288"/>
        <w:ind w:firstLine="480"/>
        <w:spacing w:line="360" w:lineRule="auto"/>
        <w:tabs>
          <w:tab w:val="left" w:pos="900" w:leader="none"/>
          <w:tab w:val="left" w:pos="1134" w:leader="none"/>
          <w:tab w:val="left" w:pos="1589" w:leader="none"/>
          <w:tab w:val="left" w:pos="5521" w:leader="none"/>
        </w:tabs>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链接: https://pan.baidu.com/s/1cJngxaFUy_5AsO5wVWK16w?pwd=d5t2 提取码: d5t2 </w:t>
      </w:r>
      <w:r>
        <w:rPr>
          <w:rFonts w:hint="eastAsia" w:ascii="宋体" w:hAnsi="宋体" w:eastAsia="宋体" w:cs="宋体"/>
          <w:color w:val="000000"/>
          <w:sz w:val="24"/>
          <w:highlight w:val="none"/>
          <w:lang w:eastAsia="zh-CN"/>
        </w:rPr>
      </w:r>
      <w:r/>
    </w:p>
    <w:p>
      <w:pPr>
        <w:pStyle w:val="1288"/>
        <w:ind w:firstLine="720"/>
        <w:spacing w:line="360" w:lineRule="auto"/>
        <w:rPr>
          <w:b/>
          <w:color w:val="000000"/>
          <w:sz w:val="36"/>
          <w:szCs w:val="36"/>
          <w:highlight w:val="none"/>
        </w:rPr>
      </w:pPr>
      <w:r>
        <w:rPr>
          <w:b/>
          <w:color w:val="000000"/>
          <w:sz w:val="36"/>
          <w:szCs w:val="36"/>
          <w:highlight w:val="none"/>
        </w:rPr>
      </w:r>
      <w:r/>
    </w:p>
    <w:p>
      <w:pPr>
        <w:pStyle w:val="1288"/>
        <w:jc w:val="center"/>
        <w:spacing w:line="360" w:lineRule="auto"/>
        <w:rPr>
          <w:rFonts w:hint="eastAsia"/>
          <w:b/>
          <w:color w:val="000000"/>
          <w:sz w:val="36"/>
          <w:szCs w:val="36"/>
          <w:highlight w:val="none"/>
        </w:rPr>
      </w:pPr>
      <w:r>
        <w:rPr>
          <w:rFonts w:hint="eastAsia"/>
          <w:b/>
          <w:color w:val="000000"/>
          <w:sz w:val="36"/>
          <w:szCs w:val="36"/>
          <w:highlight w:val="none"/>
        </w:rPr>
      </w:r>
      <w:r/>
    </w:p>
    <w:p>
      <w:pPr>
        <w:pStyle w:val="1288"/>
        <w:jc w:val="center"/>
        <w:spacing w:line="360" w:lineRule="auto"/>
        <w:rPr>
          <w:rFonts w:hint="eastAsia"/>
          <w:b/>
          <w:color w:val="000000"/>
          <w:sz w:val="36"/>
          <w:szCs w:val="36"/>
          <w:highlight w:val="none"/>
        </w:rPr>
      </w:pPr>
      <w:r>
        <w:rPr>
          <w:rFonts w:hint="eastAsia"/>
          <w:b/>
          <w:color w:val="000000"/>
          <w:sz w:val="36"/>
          <w:szCs w:val="36"/>
          <w:highlight w:val="none"/>
        </w:rPr>
      </w:r>
      <w:r/>
    </w:p>
    <w:p>
      <w:pPr>
        <w:pStyle w:val="1288"/>
        <w:jc w:val="center"/>
        <w:spacing w:line="360" w:lineRule="auto"/>
        <w:rPr>
          <w:rFonts w:hint="eastAsia"/>
          <w:b/>
          <w:color w:val="000000"/>
          <w:sz w:val="36"/>
          <w:szCs w:val="36"/>
          <w:highlight w:val="none"/>
        </w:rPr>
      </w:pPr>
      <w:r>
        <w:rPr>
          <w:rFonts w:hint="eastAsia"/>
          <w:b/>
          <w:color w:val="000000"/>
          <w:sz w:val="36"/>
          <w:szCs w:val="36"/>
          <w:highlight w:val="none"/>
        </w:rPr>
      </w:r>
      <w:r/>
    </w:p>
    <w:p>
      <w:pPr>
        <w:pStyle w:val="1288"/>
        <w:jc w:val="center"/>
        <w:spacing w:line="360" w:lineRule="auto"/>
        <w:rPr>
          <w:rFonts w:hint="eastAsia"/>
          <w:b/>
          <w:color w:val="000000"/>
          <w:sz w:val="36"/>
          <w:szCs w:val="36"/>
          <w:highlight w:val="none"/>
        </w:rPr>
      </w:pPr>
      <w:r>
        <w:rPr>
          <w:rFonts w:hint="eastAsia"/>
          <w:b/>
          <w:color w:val="000000"/>
          <w:sz w:val="36"/>
          <w:szCs w:val="36"/>
          <w:highlight w:val="none"/>
        </w:rPr>
      </w:r>
      <w:r/>
    </w:p>
    <w:p>
      <w:pPr>
        <w:pStyle w:val="1288"/>
        <w:jc w:val="center"/>
        <w:spacing w:line="360" w:lineRule="auto"/>
        <w:rPr>
          <w:rFonts w:hint="eastAsia"/>
          <w:b/>
          <w:color w:val="000000"/>
          <w:sz w:val="36"/>
          <w:szCs w:val="36"/>
          <w:highlight w:val="none"/>
        </w:rPr>
      </w:pPr>
      <w:r>
        <w:rPr>
          <w:rFonts w:hint="eastAsia"/>
          <w:b/>
          <w:color w:val="000000"/>
          <w:sz w:val="36"/>
          <w:szCs w:val="36"/>
          <w:highlight w:val="none"/>
        </w:rPr>
      </w:r>
      <w:r/>
    </w:p>
    <w:p>
      <w:pPr>
        <w:pStyle w:val="1288"/>
        <w:jc w:val="center"/>
        <w:spacing w:line="360" w:lineRule="auto"/>
        <w:rPr>
          <w:rFonts w:hint="eastAsia"/>
          <w:b/>
          <w:color w:val="000000"/>
          <w:sz w:val="36"/>
          <w:szCs w:val="36"/>
          <w:highlight w:val="none"/>
        </w:rPr>
      </w:pPr>
      <w:r>
        <w:rPr>
          <w:rFonts w:hint="eastAsia"/>
          <w:b/>
          <w:color w:val="000000"/>
          <w:sz w:val="36"/>
          <w:szCs w:val="36"/>
          <w:highlight w:val="none"/>
        </w:rPr>
      </w:r>
      <w:r/>
    </w:p>
    <w:p>
      <w:pPr>
        <w:pStyle w:val="1288"/>
        <w:jc w:val="center"/>
        <w:spacing w:line="360" w:lineRule="auto"/>
        <w:rPr>
          <w:rFonts w:hint="eastAsia"/>
          <w:b/>
          <w:color w:val="000000"/>
          <w:sz w:val="36"/>
          <w:szCs w:val="36"/>
          <w:highlight w:val="none"/>
        </w:rPr>
      </w:pPr>
      <w:r>
        <w:rPr>
          <w:rFonts w:hint="eastAsia"/>
          <w:b/>
          <w:color w:val="000000"/>
          <w:sz w:val="36"/>
          <w:szCs w:val="36"/>
          <w:highlight w:val="none"/>
        </w:rPr>
      </w:r>
      <w:r/>
    </w:p>
    <w:p>
      <w:pPr>
        <w:pStyle w:val="1288"/>
        <w:jc w:val="center"/>
        <w:spacing w:line="360" w:lineRule="auto"/>
        <w:rPr>
          <w:rFonts w:hint="eastAsia"/>
          <w:b/>
          <w:color w:val="000000"/>
          <w:sz w:val="36"/>
          <w:szCs w:val="36"/>
          <w:highlight w:val="none"/>
        </w:rPr>
      </w:pPr>
      <w:r>
        <w:rPr>
          <w:rFonts w:hint="eastAsia"/>
          <w:b/>
          <w:color w:val="000000"/>
          <w:sz w:val="36"/>
          <w:szCs w:val="36"/>
          <w:highlight w:val="none"/>
        </w:rPr>
      </w:r>
      <w:r/>
    </w:p>
    <w:p>
      <w:pPr>
        <w:pStyle w:val="1288"/>
        <w:jc w:val="center"/>
        <w:spacing w:line="360" w:lineRule="auto"/>
        <w:rPr>
          <w:rFonts w:hint="eastAsia"/>
          <w:b/>
          <w:color w:val="000000"/>
          <w:sz w:val="36"/>
          <w:szCs w:val="36"/>
          <w:highlight w:val="none"/>
        </w:rPr>
      </w:pPr>
      <w:r>
        <w:rPr>
          <w:rFonts w:hint="eastAsia"/>
          <w:b/>
          <w:color w:val="000000"/>
          <w:sz w:val="36"/>
          <w:szCs w:val="36"/>
          <w:highlight w:val="none"/>
        </w:rPr>
      </w:r>
      <w:r/>
    </w:p>
    <w:p>
      <w:pPr>
        <w:pStyle w:val="1288"/>
        <w:jc w:val="center"/>
        <w:spacing w:line="360" w:lineRule="auto"/>
        <w:rPr>
          <w:rFonts w:hint="eastAsia"/>
          <w:b/>
          <w:color w:val="000000"/>
          <w:sz w:val="36"/>
          <w:szCs w:val="36"/>
          <w:highlight w:val="none"/>
        </w:rPr>
      </w:pPr>
      <w:r>
        <w:rPr>
          <w:rFonts w:hint="eastAsia"/>
          <w:b/>
          <w:color w:val="000000"/>
          <w:sz w:val="36"/>
          <w:szCs w:val="36"/>
          <w:highlight w:val="none"/>
        </w:rPr>
      </w:r>
      <w:r/>
    </w:p>
    <w:p>
      <w:pPr>
        <w:pStyle w:val="1288"/>
        <w:jc w:val="center"/>
        <w:spacing w:line="360" w:lineRule="auto"/>
        <w:rPr>
          <w:rFonts w:hint="eastAsia"/>
          <w:b/>
          <w:color w:val="000000"/>
          <w:sz w:val="36"/>
          <w:szCs w:val="36"/>
          <w:highlight w:val="none"/>
        </w:rPr>
      </w:pPr>
      <w:r>
        <w:rPr>
          <w:rFonts w:hint="eastAsia"/>
          <w:b/>
          <w:color w:val="000000"/>
          <w:sz w:val="36"/>
          <w:szCs w:val="36"/>
          <w:highlight w:val="none"/>
        </w:rPr>
      </w:r>
      <w:r/>
    </w:p>
    <w:p>
      <w:pPr>
        <w:pStyle w:val="1288"/>
        <w:jc w:val="center"/>
        <w:spacing w:line="360" w:lineRule="auto"/>
        <w:rPr>
          <w:rFonts w:hint="eastAsia"/>
          <w:b/>
          <w:color w:val="000000"/>
          <w:sz w:val="36"/>
          <w:szCs w:val="36"/>
          <w:highlight w:val="none"/>
        </w:rPr>
      </w:pPr>
      <w:r>
        <w:rPr>
          <w:rFonts w:hint="eastAsia"/>
          <w:b/>
          <w:color w:val="000000"/>
          <w:sz w:val="36"/>
          <w:szCs w:val="36"/>
          <w:highlight w:val="none"/>
        </w:rPr>
      </w:r>
      <w:r/>
    </w:p>
    <w:p>
      <w:pPr>
        <w:jc w:val="center"/>
        <w:spacing w:line="360" w:lineRule="auto"/>
        <w:rPr>
          <w:rFonts w:hint="eastAsia"/>
          <w:b/>
          <w:bCs/>
          <w:color w:val="000000"/>
          <w:sz w:val="36"/>
          <w:szCs w:val="36"/>
          <w:highlight w:val="none"/>
        </w:rPr>
      </w:pPr>
      <w:r>
        <w:rPr>
          <w:rFonts w:hint="eastAsia"/>
          <w:b/>
          <w:color w:val="000000"/>
          <w:sz w:val="36"/>
          <w:szCs w:val="36"/>
          <w:highlight w:val="none"/>
        </w:rPr>
      </w:r>
      <w:r>
        <w:rPr>
          <w:rFonts w:hint="eastAsia"/>
          <w:b/>
          <w:color w:val="000000"/>
          <w:sz w:val="36"/>
          <w:szCs w:val="36"/>
          <w:highlight w:val="none"/>
        </w:rPr>
      </w:r>
      <w:r/>
    </w:p>
    <w:p>
      <w:pPr>
        <w:pStyle w:val="1288"/>
        <w:jc w:val="center"/>
        <w:spacing w:line="360" w:lineRule="auto"/>
        <w:rPr>
          <w:rFonts w:hint="eastAsia"/>
          <w:b/>
          <w:bCs/>
          <w:color w:val="000000"/>
          <w:sz w:val="36"/>
          <w:szCs w:val="36"/>
          <w:highlight w:val="none"/>
        </w:rPr>
      </w:pPr>
      <w:r>
        <w:rPr>
          <w:rFonts w:hint="eastAsia"/>
          <w:b/>
          <w:color w:val="000000"/>
          <w:sz w:val="36"/>
          <w:szCs w:val="36"/>
          <w:highlight w:val="none"/>
        </w:rPr>
        <w:t xml:space="preserve"> </w:t>
      </w:r>
      <w:r>
        <w:rPr>
          <w:rFonts w:hint="eastAsia"/>
          <w:b/>
          <w:color w:val="000000"/>
          <w:sz w:val="36"/>
          <w:szCs w:val="36"/>
          <w:highlight w:val="none"/>
        </w:rPr>
      </w:r>
      <w:r/>
    </w:p>
    <w:p>
      <w:pPr>
        <w:pStyle w:val="1288"/>
        <w:jc w:val="center"/>
        <w:spacing w:line="360" w:lineRule="auto"/>
        <w:rPr>
          <w:b/>
          <w:color w:val="000000"/>
          <w:sz w:val="36"/>
          <w:szCs w:val="36"/>
          <w:highlight w:val="none"/>
        </w:rPr>
      </w:pPr>
      <w:r>
        <w:rPr>
          <w:rFonts w:hint="eastAsia"/>
          <w:b/>
          <w:color w:val="000000"/>
          <w:sz w:val="36"/>
          <w:szCs w:val="36"/>
          <w:highlight w:val="none"/>
        </w:rPr>
        <w:t xml:space="preserve">第五章</w:t>
      </w:r>
      <w:r>
        <w:rPr>
          <w:b/>
          <w:color w:val="000000"/>
          <w:sz w:val="36"/>
          <w:szCs w:val="36"/>
          <w:highlight w:val="none"/>
        </w:rPr>
        <w:t xml:space="preserve">  合同条款</w:t>
      </w:r>
      <w:bookmarkEnd w:id="783"/>
      <w:r>
        <w:rPr>
          <w:b/>
          <w:color w:val="000000"/>
          <w:sz w:val="36"/>
          <w:szCs w:val="36"/>
          <w:highlight w:val="none"/>
        </w:rPr>
      </w:r>
      <w:r/>
    </w:p>
    <w:p>
      <w:pPr>
        <w:pStyle w:val="1289"/>
        <w:jc w:val="center"/>
        <w:spacing w:before="120" w:after="120" w:line="400" w:lineRule="exact"/>
        <w:rPr>
          <w:rFonts w:hint="eastAsia"/>
          <w:color w:val="000000"/>
          <w:szCs w:val="36"/>
          <w:highlight w:val="none"/>
        </w:rPr>
      </w:pPr>
      <w:r/>
      <w:bookmarkStart w:id="784" w:name="_Toc152042554"/>
      <w:r/>
      <w:bookmarkStart w:id="785" w:name="_Toc16443"/>
      <w:r/>
      <w:bookmarkStart w:id="786" w:name="_Toc2706"/>
      <w:r/>
      <w:bookmarkStart w:id="787" w:name="_Toc16304"/>
      <w:r/>
      <w:bookmarkStart w:id="788" w:name="_Toc19013"/>
      <w:r/>
      <w:bookmarkStart w:id="789" w:name="_Toc144974834"/>
      <w:r/>
      <w:bookmarkStart w:id="790" w:name="_Toc13002"/>
      <w:r/>
      <w:bookmarkStart w:id="791" w:name="_Toc17225"/>
      <w:r/>
      <w:bookmarkStart w:id="792" w:name="_Toc4032"/>
      <w:r/>
      <w:bookmarkStart w:id="793" w:name="_Toc24309"/>
      <w:r/>
      <w:bookmarkStart w:id="794" w:name="_Toc10324"/>
      <w:r/>
      <w:bookmarkStart w:id="795" w:name="_Toc15700"/>
      <w:r/>
      <w:bookmarkStart w:id="796" w:name="_Toc21075"/>
      <w:r/>
      <w:bookmarkStart w:id="797" w:name="_Toc152045772"/>
      <w:r/>
      <w:bookmarkStart w:id="798" w:name="_Toc13636"/>
      <w:r/>
      <w:bookmarkStart w:id="799" w:name="_Toc227984065"/>
      <w:r>
        <w:rPr>
          <w:rFonts w:hint="eastAsia"/>
          <w:color w:val="000000"/>
          <w:szCs w:val="36"/>
          <w:highlight w:val="none"/>
        </w:rPr>
      </w:r>
      <w:r/>
    </w:p>
    <w:p>
      <w:pPr>
        <w:pStyle w:val="1289"/>
        <w:jc w:val="center"/>
        <w:spacing w:before="120" w:after="120" w:line="400" w:lineRule="exact"/>
        <w:rPr>
          <w:rFonts w:hint="eastAsia"/>
          <w:color w:val="000000"/>
          <w:szCs w:val="36"/>
          <w:highlight w:val="none"/>
        </w:rPr>
      </w:pPr>
      <w:r>
        <w:rPr>
          <w:rFonts w:hint="eastAsia"/>
          <w:color w:val="000000"/>
          <w:szCs w:val="36"/>
          <w:highlight w:val="none"/>
        </w:rPr>
      </w:r>
      <w:r/>
    </w:p>
    <w:p>
      <w:pPr>
        <w:pStyle w:val="1289"/>
        <w:jc w:val="center"/>
        <w:spacing w:before="120" w:after="120" w:line="400" w:lineRule="exact"/>
        <w:rPr>
          <w:rFonts w:hint="eastAsia"/>
          <w:color w:val="000000"/>
          <w:szCs w:val="36"/>
          <w:highlight w:val="none"/>
        </w:rPr>
      </w:pPr>
      <w:r>
        <w:rPr>
          <w:rFonts w:hint="eastAsia"/>
          <w:color w:val="000000"/>
          <w:szCs w:val="36"/>
          <w:highlight w:val="none"/>
        </w:rPr>
      </w:r>
      <w:r/>
    </w:p>
    <w:p>
      <w:pPr>
        <w:pStyle w:val="1289"/>
        <w:jc w:val="center"/>
        <w:spacing w:before="120" w:after="120" w:line="400" w:lineRule="exact"/>
        <w:rPr>
          <w:rFonts w:hint="eastAsia"/>
          <w:color w:val="000000"/>
          <w:szCs w:val="36"/>
          <w:highlight w:val="none"/>
        </w:rPr>
      </w:pPr>
      <w:r>
        <w:rPr>
          <w:rFonts w:hint="eastAsia"/>
          <w:color w:val="000000"/>
          <w:szCs w:val="36"/>
          <w:highlight w:val="none"/>
        </w:rPr>
        <w:t xml:space="preserve"> </w:t>
      </w:r>
      <w:bookmarkEnd w:id="787"/>
      <w:r>
        <w:rPr>
          <w:rFonts w:hint="eastAsia"/>
          <w:color w:val="000000"/>
          <w:szCs w:val="36"/>
          <w:highlight w:val="none"/>
        </w:rPr>
      </w:r>
      <w:r/>
    </w:p>
    <w:p>
      <w:pPr>
        <w:pStyle w:val="1348"/>
        <w:ind w:left="420" w:right="0"/>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1348"/>
        <w:ind w:left="420" w:right="0"/>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1288"/>
        <w:jc w:val="center"/>
        <w:spacing w:line="360" w:lineRule="auto"/>
        <w:rPr>
          <w:rFonts w:hint="eastAsia" w:ascii="宋体" w:hAnsi="宋体" w:cs="宋体"/>
          <w:b/>
          <w:bCs/>
          <w:color w:val="000000"/>
          <w:sz w:val="36"/>
          <w:szCs w:val="36"/>
          <w:highlight w:val="none"/>
        </w:rPr>
      </w:pPr>
      <w:r>
        <w:rPr>
          <w:rFonts w:hint="eastAsia" w:ascii="宋体" w:hAnsi="宋体" w:cs="宋体"/>
          <w:b/>
          <w:bCs/>
          <w:color w:val="000000"/>
          <w:sz w:val="36"/>
          <w:szCs w:val="36"/>
          <w:highlight w:val="none"/>
        </w:rPr>
        <w:t xml:space="preserve">建设工程施工合同</w:t>
      </w:r>
      <w:r>
        <w:rPr>
          <w:rFonts w:hint="eastAsia" w:ascii="宋体" w:hAnsi="宋体" w:cs="宋体"/>
          <w:b/>
          <w:bCs/>
          <w:color w:val="000000"/>
          <w:sz w:val="36"/>
          <w:szCs w:val="36"/>
          <w:highlight w:val="none"/>
        </w:rPr>
        <w:br w:type="textWrapping" w:clear="all"/>
      </w:r>
      <w:r>
        <w:rPr>
          <w:rFonts w:hint="eastAsia" w:ascii="宋体" w:hAnsi="宋体" w:cs="宋体"/>
          <w:b/>
          <w:bCs/>
          <w:color w:val="000000"/>
          <w:sz w:val="36"/>
          <w:szCs w:val="36"/>
          <w:highlight w:val="none"/>
        </w:rPr>
      </w:r>
      <w:r/>
    </w:p>
    <w:p>
      <w:pPr>
        <w:pStyle w:val="1288"/>
        <w:jc w:val="center"/>
        <w:rPr>
          <w:rFonts w:hint="eastAsia" w:ascii="宋体" w:hAnsi="宋体" w:cs="宋体"/>
          <w:b/>
          <w:color w:val="000000"/>
          <w:szCs w:val="21"/>
          <w:highlight w:val="none"/>
        </w:rPr>
      </w:pPr>
      <w:r>
        <w:rPr>
          <w:rFonts w:hint="eastAsia" w:ascii="宋体" w:hAnsi="宋体" w:cs="宋体"/>
          <w:b/>
          <w:color w:val="000000"/>
          <w:szCs w:val="21"/>
          <w:highlight w:val="none"/>
        </w:rPr>
      </w:r>
      <w:r/>
    </w:p>
    <w:p>
      <w:pPr>
        <w:pStyle w:val="1288"/>
        <w:jc w:val="center"/>
        <w:rPr>
          <w:rFonts w:hint="eastAsia" w:ascii="宋体" w:hAnsi="宋体" w:cs="宋体"/>
          <w:b/>
          <w:color w:val="000000"/>
          <w:szCs w:val="21"/>
          <w:highlight w:val="none"/>
        </w:rPr>
      </w:pPr>
      <w:r>
        <w:rPr>
          <w:rFonts w:hint="eastAsia" w:ascii="宋体" w:hAnsi="宋体" w:cs="宋体"/>
          <w:b/>
          <w:color w:val="000000"/>
          <w:szCs w:val="21"/>
          <w:highlight w:val="none"/>
        </w:rPr>
      </w:r>
      <w:r/>
    </w:p>
    <w:p>
      <w:pPr>
        <w:pStyle w:val="1288"/>
        <w:jc w:val="center"/>
        <w:rPr>
          <w:rFonts w:hint="eastAsia" w:ascii="宋体" w:hAnsi="宋体" w:cs="宋体"/>
          <w:b/>
          <w:color w:val="000000"/>
          <w:szCs w:val="21"/>
          <w:highlight w:val="none"/>
        </w:rPr>
      </w:pPr>
      <w:r>
        <w:rPr>
          <w:rFonts w:hint="eastAsia" w:ascii="宋体" w:hAnsi="宋体" w:cs="宋体"/>
          <w:b/>
          <w:color w:val="000000"/>
          <w:szCs w:val="21"/>
          <w:highlight w:val="none"/>
        </w:rPr>
      </w:r>
      <w:r/>
    </w:p>
    <w:p>
      <w:pPr>
        <w:pStyle w:val="1288"/>
        <w:jc w:val="center"/>
        <w:rPr>
          <w:rFonts w:hint="eastAsia" w:ascii="宋体" w:hAnsi="宋体" w:cs="宋体"/>
          <w:b/>
          <w:color w:val="000000"/>
          <w:szCs w:val="21"/>
          <w:highlight w:val="none"/>
        </w:rPr>
      </w:pPr>
      <w:r>
        <w:rPr>
          <w:rFonts w:hint="eastAsia" w:ascii="宋体" w:hAnsi="宋体" w:cs="宋体"/>
          <w:b/>
          <w:color w:val="000000"/>
          <w:szCs w:val="21"/>
          <w:highlight w:val="none"/>
        </w:rPr>
      </w:r>
      <w:r/>
    </w:p>
    <w:p>
      <w:pPr>
        <w:pStyle w:val="1288"/>
        <w:jc w:val="center"/>
        <w:rPr>
          <w:rFonts w:hint="eastAsia" w:ascii="宋体" w:hAnsi="宋体" w:cs="宋体"/>
          <w:b/>
          <w:color w:val="000000"/>
          <w:szCs w:val="21"/>
          <w:highlight w:val="none"/>
        </w:rPr>
      </w:pPr>
      <w:r>
        <w:rPr>
          <w:rFonts w:hint="eastAsia" w:ascii="宋体" w:hAnsi="宋体" w:cs="宋体"/>
          <w:b/>
          <w:color w:val="000000"/>
          <w:szCs w:val="21"/>
          <w:highlight w:val="none"/>
        </w:rPr>
      </w:r>
      <w:r/>
    </w:p>
    <w:p>
      <w:pPr>
        <w:pStyle w:val="1288"/>
        <w:jc w:val="center"/>
        <w:rPr>
          <w:rFonts w:hint="eastAsia" w:ascii="宋体" w:hAnsi="宋体" w:cs="宋体"/>
          <w:b/>
          <w:color w:val="000000"/>
          <w:szCs w:val="21"/>
          <w:highlight w:val="none"/>
        </w:rPr>
      </w:pPr>
      <w:r>
        <w:rPr>
          <w:rFonts w:hint="eastAsia" w:ascii="宋体" w:hAnsi="宋体" w:cs="宋体"/>
          <w:b/>
          <w:color w:val="000000"/>
          <w:szCs w:val="21"/>
          <w:highlight w:val="none"/>
        </w:rPr>
      </w:r>
      <w:r/>
    </w:p>
    <w:p>
      <w:pPr>
        <w:pStyle w:val="1288"/>
        <w:rPr>
          <w:rFonts w:hint="eastAsia" w:ascii="宋体" w:hAnsi="宋体" w:cs="宋体"/>
          <w:b/>
          <w:color w:val="000000"/>
          <w:szCs w:val="21"/>
          <w:highlight w:val="none"/>
        </w:rPr>
      </w:pPr>
      <w:r>
        <w:rPr>
          <w:rFonts w:hint="eastAsia" w:ascii="宋体" w:hAnsi="宋体" w:cs="宋体"/>
          <w:b/>
          <w:color w:val="000000"/>
          <w:szCs w:val="21"/>
          <w:highlight w:val="none"/>
        </w:rPr>
      </w:r>
      <w:r/>
    </w:p>
    <w:p>
      <w:pPr>
        <w:pStyle w:val="1288"/>
        <w:rPr>
          <w:rFonts w:hint="eastAsia" w:ascii="宋体" w:hAnsi="宋体" w:cs="宋体"/>
          <w:b/>
          <w:color w:val="000000"/>
          <w:szCs w:val="21"/>
          <w:highlight w:val="none"/>
        </w:rPr>
      </w:pPr>
      <w:r>
        <w:rPr>
          <w:rFonts w:hint="eastAsia" w:ascii="宋体" w:hAnsi="宋体" w:cs="宋体"/>
          <w:b/>
          <w:color w:val="000000"/>
          <w:szCs w:val="21"/>
          <w:highlight w:val="none"/>
        </w:rPr>
      </w:r>
      <w:r/>
    </w:p>
    <w:p>
      <w:pPr>
        <w:pStyle w:val="1288"/>
        <w:ind w:right="2719"/>
        <w:jc w:val="center"/>
        <w:rPr>
          <w:rFonts w:hint="eastAsia" w:ascii="宋体" w:hAnsi="宋体" w:cs="宋体"/>
          <w:b/>
          <w:color w:val="000000"/>
          <w:sz w:val="28"/>
          <w:szCs w:val="28"/>
          <w:highlight w:val="none"/>
        </w:rPr>
      </w:pPr>
      <w:r>
        <w:rPr>
          <w:rFonts w:hint="eastAsia" w:ascii="宋体" w:hAnsi="宋体" w:cs="宋体"/>
          <w:color w:val="000000"/>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3970020</wp:posOffset>
                </wp:positionH>
                <wp:positionV relativeFrom="paragraph">
                  <wp:posOffset>120015</wp:posOffset>
                </wp:positionV>
                <wp:extent cx="723900" cy="457200"/>
                <wp:effectExtent l="0" t="0" r="0" b="0"/>
                <wp:wrapNone/>
                <wp:docPr id="10" name=""/>
                <wp:cNvGraphicFramePr/>
                <a:graphic xmlns:a="http://schemas.openxmlformats.org/drawingml/2006/main">
                  <a:graphicData uri="http://schemas.microsoft.com/office/word/2010/wordprocessingShape">
                    <wps:wsp>
                      <wps:cNvPr id="0" name=""/>
                      <wps:cNvSpPr txBox="1"/>
                      <wps:spPr bwMode="auto">
                        <a:xfrm>
                          <a:off x="0" y="0"/>
                          <a:ext cx="723900" cy="457200"/>
                        </a:xfrm>
                        <a:prstGeom prst="rect">
                          <a:avLst/>
                        </a:prstGeom>
                        <a:noFill/>
                        <a:ln>
                          <a:solidFill>
                            <a:srgbClr val="FFFFFF"/>
                          </a:solidFill>
                        </a:ln>
                      </wps:spPr>
                      <wps:txbx>
                        <w:txbxContent>
                          <w:p>
                            <w:pPr>
                              <w:pStyle w:val="1288"/>
                              <w:rPr>
                                <w:rFonts w:hint="eastAsia"/>
                                <w:b/>
                                <w:bCs/>
                                <w:sz w:val="32"/>
                              </w:rPr>
                            </w:pPr>
                            <w:r>
                              <w:rPr>
                                <w:rFonts w:hint="eastAsia"/>
                                <w:b/>
                                <w:bCs/>
                                <w:sz w:val="32"/>
                              </w:rPr>
                              <w:t xml:space="preserve">制定</w:t>
                            </w:r>
                            <w:r>
                              <w:rPr>
                                <w:rFonts w:hint="eastAsia"/>
                                <w:b/>
                                <w:bCs/>
                                <w:sz w:val="32"/>
                              </w:rPr>
                            </w:r>
                            <w:r/>
                          </w:p>
                          <w:p>
                            <w:pPr>
                              <w:pStyle w:val="1288"/>
                            </w:pPr>
                            <w:r/>
                            <w:r/>
                          </w:p>
                        </w:txbxContent>
                      </wps:txbx>
                      <wps:bodyPr wrap="square" upright="1"/>
                    </wps:wsp>
                  </a:graphicData>
                </a:graphic>
              </wp:anchor>
            </w:drawing>
          </mc:Choice>
          <mc:Fallback>
            <w:pict>
              <v:shape id="shape 9" o:spid="_x0000_s9" o:spt="202" type="#_x0000_t202" style="position:absolute;z-index:524288;o:allowoverlap:true;o:allowincell:true;mso-position-horizontal-relative:text;margin-left:312.6pt;mso-position-horizontal:absolute;mso-position-vertical-relative:text;margin-top:9.4pt;mso-position-vertical:absolute;width:57.0pt;height:36.0pt;mso-wrap-distance-left:9.0pt;mso-wrap-distance-top:0.0pt;mso-wrap-distance-right:9.0pt;mso-wrap-distance-bottom:0.0pt;visibility:visible;" filled="f" strokecolor="#FFFFFF">
                <v:textbox inset="0,0,0,0">
                  <w:txbxContent>
                    <w:p>
                      <w:pPr>
                        <w:pStyle w:val="1288"/>
                        <w:rPr>
                          <w:rFonts w:hint="eastAsia"/>
                          <w:b/>
                          <w:bCs/>
                          <w:sz w:val="32"/>
                        </w:rPr>
                      </w:pPr>
                      <w:r>
                        <w:rPr>
                          <w:rFonts w:hint="eastAsia"/>
                          <w:b/>
                          <w:bCs/>
                          <w:sz w:val="32"/>
                        </w:rPr>
                        <w:t xml:space="preserve">制定</w:t>
                      </w:r>
                      <w:r>
                        <w:rPr>
                          <w:rFonts w:hint="eastAsia"/>
                          <w:b/>
                          <w:bCs/>
                          <w:sz w:val="32"/>
                        </w:rPr>
                      </w:r>
                      <w:r/>
                    </w:p>
                    <w:p>
                      <w:pPr>
                        <w:pStyle w:val="1288"/>
                      </w:pPr>
                      <w:r/>
                      <w:r/>
                    </w:p>
                  </w:txbxContent>
                </v:textbox>
              </v:shape>
            </w:pict>
          </mc:Fallback>
        </mc:AlternateContent>
      </w:r>
      <w:r>
        <w:rPr>
          <w:rFonts w:hint="eastAsia" w:ascii="宋体" w:hAnsi="宋体" w:cs="宋体"/>
          <w:b/>
          <w:color w:val="000000"/>
          <w:sz w:val="28"/>
          <w:szCs w:val="28"/>
          <w:highlight w:val="none"/>
        </w:rPr>
        <w:t xml:space="preserve">                       住房城乡建设部</w:t>
      </w:r>
      <w:r>
        <w:rPr>
          <w:rFonts w:hint="eastAsia" w:ascii="宋体" w:hAnsi="宋体" w:cs="宋体"/>
          <w:b/>
          <w:color w:val="000000"/>
          <w:sz w:val="28"/>
          <w:szCs w:val="28"/>
          <w:highlight w:val="none"/>
        </w:rPr>
      </w:r>
      <w:r/>
    </w:p>
    <w:p>
      <w:pPr>
        <w:pStyle w:val="1288"/>
        <w:ind w:right="2719" w:firstLine="2396"/>
        <w:jc w:val="both"/>
        <w:rPr>
          <w:rFonts w:hint="eastAsia" w:ascii="宋体" w:hAnsi="宋体" w:cs="宋体"/>
          <w:b/>
          <w:color w:val="000000"/>
          <w:sz w:val="28"/>
          <w:szCs w:val="28"/>
          <w:highlight w:val="none"/>
        </w:rPr>
      </w:pPr>
      <w:r>
        <w:rPr>
          <w:rFonts w:hint="eastAsia" w:ascii="宋体" w:hAnsi="宋体" w:cs="宋体"/>
          <w:b/>
          <w:color w:val="000000"/>
          <w:sz w:val="28"/>
          <w:szCs w:val="28"/>
          <w:highlight w:val="none"/>
        </w:rPr>
        <w:t xml:space="preserve">国家工商行政管理总局</w:t>
      </w:r>
      <w:r>
        <w:rPr>
          <w:rFonts w:hint="eastAsia" w:ascii="宋体" w:hAnsi="宋体" w:cs="宋体"/>
          <w:b/>
          <w:color w:val="000000"/>
          <w:sz w:val="28"/>
          <w:szCs w:val="28"/>
          <w:highlight w:val="none"/>
        </w:rPr>
      </w:r>
      <w:r/>
    </w:p>
    <w:p>
      <w:pPr>
        <w:pStyle w:val="1288"/>
        <w:rPr>
          <w:rFonts w:hint="eastAsia" w:ascii="宋体" w:hAnsi="宋体" w:cs="宋体"/>
          <w:b/>
          <w:color w:val="000000"/>
          <w:szCs w:val="21"/>
          <w:highlight w:val="none"/>
        </w:rPr>
      </w:pPr>
      <w:r>
        <w:rPr>
          <w:rFonts w:hint="eastAsia" w:ascii="宋体" w:hAnsi="宋体" w:cs="宋体"/>
          <w:b/>
          <w:color w:val="000000"/>
          <w:szCs w:val="21"/>
          <w:highlight w:val="none"/>
        </w:rPr>
      </w:r>
      <w:r/>
    </w:p>
    <w:p>
      <w:pPr>
        <w:pStyle w:val="1294"/>
        <w:tabs>
          <w:tab w:val="left" w:pos="567" w:leader="none"/>
        </w:tabs>
        <w:rPr>
          <w:color w:val="000000"/>
          <w:highlight w:val="none"/>
        </w:rPr>
      </w:pPr>
      <w:r>
        <w:rPr>
          <w:color w:val="000000"/>
          <w:highlight w:val="none"/>
        </w:rPr>
      </w:r>
      <w:r/>
    </w:p>
    <w:p>
      <w:pPr>
        <w:pStyle w:val="1288"/>
        <w:rPr>
          <w:color w:val="000000"/>
          <w:highlight w:val="none"/>
        </w:rPr>
      </w:pPr>
      <w:r>
        <w:rPr>
          <w:color w:val="000000"/>
          <w:highlight w:val="none"/>
        </w:rPr>
      </w:r>
      <w:r/>
    </w:p>
    <w:p>
      <w:pPr>
        <w:pStyle w:val="1288"/>
        <w:rPr>
          <w:rFonts w:hint="eastAsia" w:ascii="宋体" w:hAnsi="宋体" w:cs="宋体"/>
          <w:color w:val="000000"/>
          <w:sz w:val="24"/>
          <w:highlight w:val="none"/>
        </w:rPr>
      </w:pPr>
      <w:r/>
      <w:bookmarkStart w:id="800" w:name="OLE_LINK15"/>
      <w:r>
        <w:rPr>
          <w:rFonts w:hint="eastAsia" w:ascii="宋体" w:hAnsi="宋体" w:cs="宋体"/>
          <w:color w:val="000000"/>
          <w:sz w:val="24"/>
          <w:highlight w:val="none"/>
        </w:rPr>
      </w:r>
      <w:r/>
    </w:p>
    <w:p>
      <w:pPr>
        <w:pStyle w:val="1288"/>
        <w:rPr>
          <w:rFonts w:hint="eastAsia" w:ascii="宋体" w:hAnsi="宋体" w:cs="宋体"/>
          <w:color w:val="000000"/>
          <w:sz w:val="24"/>
          <w:highlight w:val="none"/>
        </w:rPr>
      </w:pPr>
      <w:r>
        <w:rPr>
          <w:rFonts w:hint="eastAsia" w:ascii="宋体" w:hAnsi="宋体" w:cs="宋体"/>
          <w:color w:val="000000"/>
          <w:sz w:val="24"/>
          <w:highlight w:val="none"/>
        </w:rPr>
      </w:r>
      <w:r/>
    </w:p>
    <w:p>
      <w:pPr>
        <w:pStyle w:val="1288"/>
        <w:rPr>
          <w:rFonts w:hint="eastAsia" w:ascii="宋体" w:hAnsi="宋体" w:cs="宋体"/>
          <w:color w:val="000000"/>
          <w:sz w:val="24"/>
          <w:highlight w:val="none"/>
        </w:rPr>
      </w:pPr>
      <w:r>
        <w:rPr>
          <w:rFonts w:hint="eastAsia" w:ascii="宋体" w:hAnsi="宋体" w:cs="宋体"/>
          <w:color w:val="000000"/>
          <w:sz w:val="24"/>
          <w:highlight w:val="none"/>
        </w:rPr>
      </w:r>
      <w:r/>
    </w:p>
    <w:p>
      <w:pPr>
        <w:pStyle w:val="1288"/>
        <w:rPr>
          <w:rFonts w:hint="eastAsia" w:ascii="宋体" w:hAnsi="宋体" w:cs="宋体"/>
          <w:color w:val="000000"/>
          <w:sz w:val="24"/>
          <w:highlight w:val="none"/>
        </w:rPr>
      </w:pPr>
      <w:r>
        <w:rPr>
          <w:rFonts w:hint="eastAsia" w:ascii="宋体" w:hAnsi="宋体" w:cs="宋体"/>
          <w:color w:val="000000"/>
          <w:sz w:val="24"/>
          <w:highlight w:val="none"/>
        </w:rPr>
      </w:r>
      <w:r/>
    </w:p>
    <w:p>
      <w:pPr>
        <w:pStyle w:val="1288"/>
        <w:rPr>
          <w:rFonts w:hint="eastAsia" w:ascii="宋体" w:hAnsi="宋体" w:cs="宋体"/>
          <w:color w:val="000000"/>
          <w:sz w:val="24"/>
          <w:highlight w:val="none"/>
        </w:rPr>
      </w:pPr>
      <w:r>
        <w:rPr>
          <w:rFonts w:hint="eastAsia" w:ascii="宋体" w:hAnsi="宋体" w:cs="宋体"/>
          <w:color w:val="000000"/>
          <w:sz w:val="24"/>
          <w:highlight w:val="none"/>
        </w:rPr>
      </w:r>
      <w:r/>
    </w:p>
    <w:p>
      <w:pPr>
        <w:rPr>
          <w:rFonts w:hint="eastAsia" w:ascii="宋体" w:hAnsi="宋体" w:cs="宋体"/>
          <w:color w:val="000000"/>
          <w:sz w:val="24"/>
          <w:szCs w:val="24"/>
          <w:highlight w:val="none"/>
        </w:rPr>
      </w:pPr>
      <w:r>
        <w:rPr>
          <w:rFonts w:hint="eastAsia" w:ascii="宋体" w:hAnsi="宋体" w:cs="宋体"/>
          <w:color w:val="000000"/>
          <w:sz w:val="24"/>
          <w:highlight w:val="none"/>
        </w:rPr>
      </w:r>
      <w:r>
        <w:rPr>
          <w:rFonts w:hint="eastAsia" w:ascii="宋体" w:hAnsi="宋体" w:cs="宋体"/>
          <w:color w:val="000000"/>
          <w:sz w:val="24"/>
          <w:highlight w:val="none"/>
        </w:rPr>
      </w:r>
    </w:p>
    <w:p>
      <w:pPr>
        <w:rPr>
          <w:rFonts w:hint="eastAsia" w:ascii="宋体" w:hAnsi="宋体" w:cs="宋体"/>
          <w:color w:val="000000"/>
          <w:sz w:val="24"/>
          <w:szCs w:val="24"/>
          <w:highlight w:val="none"/>
        </w:rPr>
      </w:pPr>
      <w:r>
        <w:rPr>
          <w:rFonts w:hint="eastAsia" w:ascii="宋体" w:hAnsi="宋体" w:cs="宋体"/>
          <w:color w:val="000000"/>
          <w:sz w:val="24"/>
          <w:highlight w:val="none"/>
        </w:rPr>
      </w:r>
      <w:r>
        <w:rPr>
          <w:rFonts w:hint="eastAsia" w:ascii="宋体" w:hAnsi="宋体" w:cs="宋体"/>
          <w:color w:val="000000"/>
          <w:sz w:val="24"/>
          <w:highlight w:val="none"/>
        </w:rPr>
      </w:r>
    </w:p>
    <w:p>
      <w:pPr>
        <w:rPr>
          <w:rFonts w:hint="eastAsia" w:ascii="宋体" w:hAnsi="宋体" w:cs="宋体"/>
          <w:color w:val="000000"/>
          <w:sz w:val="24"/>
          <w:szCs w:val="24"/>
          <w:highlight w:val="none"/>
        </w:rPr>
      </w:pPr>
      <w:r>
        <w:rPr>
          <w:rFonts w:hint="eastAsia" w:ascii="宋体" w:hAnsi="宋体" w:cs="宋体"/>
          <w:color w:val="000000"/>
          <w:sz w:val="24"/>
          <w:highlight w:val="none"/>
        </w:rPr>
      </w:r>
      <w:r>
        <w:rPr>
          <w:rFonts w:hint="eastAsia" w:ascii="宋体" w:hAnsi="宋体" w:cs="宋体"/>
          <w:color w:val="000000"/>
          <w:sz w:val="24"/>
          <w:highlight w:val="none"/>
        </w:rPr>
      </w:r>
    </w:p>
    <w:p>
      <w:pPr>
        <w:rPr>
          <w:rFonts w:hint="eastAsia" w:ascii="宋体" w:hAnsi="宋体" w:cs="宋体"/>
          <w:color w:val="000000"/>
          <w:sz w:val="24"/>
          <w:szCs w:val="24"/>
          <w:highlight w:val="none"/>
        </w:rPr>
      </w:pPr>
      <w:r>
        <w:rPr>
          <w:rFonts w:hint="eastAsia" w:ascii="宋体" w:hAnsi="宋体" w:cs="宋体"/>
          <w:color w:val="000000"/>
          <w:sz w:val="24"/>
          <w:highlight w:val="none"/>
        </w:rPr>
      </w:r>
      <w:r>
        <w:rPr>
          <w:rFonts w:hint="eastAsia" w:ascii="宋体" w:hAnsi="宋体" w:cs="宋体"/>
          <w:color w:val="000000"/>
          <w:sz w:val="24"/>
          <w:highlight w:val="none"/>
        </w:rPr>
      </w:r>
    </w:p>
    <w:p>
      <w:pPr>
        <w:rPr>
          <w:rFonts w:hint="eastAsia" w:ascii="宋体" w:hAnsi="宋体" w:cs="宋体"/>
          <w:color w:val="000000"/>
          <w:sz w:val="24"/>
          <w:szCs w:val="24"/>
          <w:highlight w:val="none"/>
        </w:rPr>
      </w:pPr>
      <w:r>
        <w:rPr>
          <w:rFonts w:hint="eastAsia" w:ascii="宋体" w:hAnsi="宋体" w:cs="宋体"/>
          <w:color w:val="000000"/>
          <w:sz w:val="24"/>
          <w:highlight w:val="none"/>
        </w:rPr>
      </w:r>
      <w:r>
        <w:rPr>
          <w:rFonts w:hint="eastAsia" w:ascii="宋体" w:hAnsi="宋体" w:cs="宋体"/>
          <w:color w:val="000000"/>
          <w:sz w:val="24"/>
          <w:highlight w:val="none"/>
        </w:rPr>
      </w:r>
    </w:p>
    <w:p>
      <w:pPr>
        <w:rPr>
          <w:rFonts w:hint="eastAsia" w:ascii="宋体" w:hAnsi="宋体" w:cs="宋体"/>
          <w:color w:val="000000"/>
          <w:sz w:val="24"/>
          <w:szCs w:val="24"/>
          <w:highlight w:val="none"/>
        </w:rPr>
      </w:pPr>
      <w:r>
        <w:rPr>
          <w:rFonts w:hint="eastAsia" w:ascii="宋体" w:hAnsi="宋体" w:cs="宋体"/>
          <w:color w:val="000000"/>
          <w:sz w:val="24"/>
          <w:highlight w:val="none"/>
        </w:rPr>
      </w:r>
      <w:r>
        <w:rPr>
          <w:rFonts w:hint="eastAsia" w:ascii="宋体" w:hAnsi="宋体" w:cs="宋体"/>
          <w:color w:val="000000"/>
          <w:sz w:val="24"/>
          <w:highlight w:val="none"/>
        </w:rPr>
      </w:r>
    </w:p>
    <w:p>
      <w:pPr>
        <w:rPr>
          <w:rFonts w:hint="eastAsia" w:ascii="宋体" w:hAnsi="宋体" w:cs="宋体"/>
          <w:color w:val="000000"/>
          <w:sz w:val="24"/>
          <w:szCs w:val="24"/>
          <w:highlight w:val="none"/>
        </w:rPr>
      </w:pPr>
      <w:r>
        <w:rPr>
          <w:rFonts w:hint="eastAsia" w:ascii="宋体" w:hAnsi="宋体" w:cs="宋体"/>
          <w:color w:val="000000"/>
          <w:sz w:val="24"/>
          <w:highlight w:val="none"/>
        </w:rPr>
      </w:r>
      <w:r>
        <w:rPr>
          <w:rFonts w:hint="eastAsia" w:ascii="宋体" w:hAnsi="宋体" w:cs="宋体"/>
          <w:color w:val="000000"/>
          <w:sz w:val="24"/>
          <w:highlight w:val="none"/>
        </w:rPr>
      </w:r>
    </w:p>
    <w:p>
      <w:pPr>
        <w:rPr>
          <w:rFonts w:hint="eastAsia" w:ascii="宋体" w:hAnsi="宋体" w:cs="宋体"/>
          <w:color w:val="000000"/>
          <w:sz w:val="24"/>
          <w:szCs w:val="24"/>
          <w:highlight w:val="none"/>
        </w:rPr>
      </w:pPr>
      <w:r>
        <w:rPr>
          <w:rFonts w:hint="eastAsia" w:ascii="宋体" w:hAnsi="宋体" w:cs="宋体"/>
          <w:color w:val="000000"/>
          <w:sz w:val="24"/>
          <w:highlight w:val="none"/>
        </w:rPr>
      </w:r>
      <w:r>
        <w:rPr>
          <w:rFonts w:hint="eastAsia" w:ascii="宋体" w:hAnsi="宋体" w:cs="宋体"/>
          <w:color w:val="000000"/>
          <w:sz w:val="24"/>
          <w:highlight w:val="none"/>
        </w:rPr>
      </w:r>
    </w:p>
    <w:p>
      <w:pPr>
        <w:rPr>
          <w:rFonts w:hint="eastAsia" w:ascii="宋体" w:hAnsi="宋体" w:cs="宋体"/>
          <w:color w:val="000000"/>
          <w:sz w:val="24"/>
          <w:szCs w:val="24"/>
          <w:highlight w:val="none"/>
        </w:rPr>
      </w:pPr>
      <w:r>
        <w:rPr>
          <w:rFonts w:hint="eastAsia" w:ascii="宋体" w:hAnsi="宋体" w:cs="宋体"/>
          <w:color w:val="000000"/>
          <w:sz w:val="24"/>
          <w:highlight w:val="none"/>
        </w:rPr>
      </w:r>
      <w:r>
        <w:rPr>
          <w:rFonts w:hint="eastAsia" w:ascii="宋体" w:hAnsi="宋体" w:cs="宋体"/>
          <w:color w:val="000000"/>
          <w:sz w:val="24"/>
          <w:highlight w:val="none"/>
        </w:rPr>
      </w:r>
    </w:p>
    <w:p>
      <w:pPr>
        <w:pStyle w:val="1288"/>
        <w:rPr>
          <w:rFonts w:hint="eastAsia" w:ascii="宋体" w:hAnsi="宋体" w:cs="宋体"/>
          <w:color w:val="000000"/>
          <w:sz w:val="24"/>
          <w:szCs w:val="24"/>
          <w:highlight w:val="none"/>
        </w:rPr>
      </w:pPr>
      <w:r>
        <w:rPr>
          <w:rFonts w:hint="eastAsia" w:ascii="宋体" w:hAnsi="宋体" w:cs="宋体"/>
          <w:color w:val="000000"/>
          <w:sz w:val="24"/>
          <w:highlight w:val="none"/>
        </w:rPr>
        <w:t xml:space="preserve">甲方:                                合同编号：</w:t>
      </w:r>
      <w:r>
        <w:rPr>
          <w:rFonts w:hint="eastAsia" w:ascii="宋体" w:hAnsi="宋体" w:cs="宋体"/>
          <w:color w:val="000000"/>
          <w:sz w:val="24"/>
          <w:highlight w:val="none"/>
        </w:rPr>
      </w:r>
      <w:r/>
    </w:p>
    <w:p>
      <w:pPr>
        <w:pStyle w:val="1288"/>
        <w:rPr>
          <w:rFonts w:hint="eastAsia" w:ascii="宋体" w:hAnsi="宋体" w:cs="宋体"/>
          <w:color w:val="000000"/>
          <w:sz w:val="24"/>
          <w:highlight w:val="none"/>
        </w:rPr>
      </w:pPr>
      <w:r>
        <w:rPr>
          <w:rFonts w:hint="eastAsia" w:ascii="宋体" w:hAnsi="宋体" w:cs="宋体"/>
          <w:color w:val="000000"/>
          <w:sz w:val="24"/>
          <w:highlight w:val="none"/>
        </w:rPr>
        <w:t xml:space="preserve">乙方:                                签订地点：</w:t>
      </w:r>
      <w:r>
        <w:rPr>
          <w:rFonts w:hint="eastAsia" w:ascii="宋体" w:hAnsi="宋体" w:cs="宋体"/>
          <w:color w:val="000000"/>
          <w:sz w:val="24"/>
          <w:highlight w:val="none"/>
        </w:rPr>
      </w:r>
      <w:r/>
    </w:p>
    <w:p>
      <w:pPr>
        <w:pStyle w:val="1288"/>
        <w:ind w:firstLine="525"/>
        <w:rPr>
          <w:rFonts w:hint="eastAsia" w:ascii="宋体" w:hAnsi="宋体" w:cs="宋体"/>
          <w:color w:val="000000"/>
          <w:sz w:val="24"/>
          <w:highlight w:val="none"/>
        </w:rPr>
      </w:pPr>
      <w:r>
        <w:rPr>
          <w:rFonts w:hint="eastAsia" w:ascii="宋体" w:hAnsi="宋体" w:cs="宋体"/>
          <w:color w:val="000000"/>
          <w:sz w:val="24"/>
          <w:highlight w:val="none"/>
        </w:rPr>
        <w:t xml:space="preserve">根据《中华人民共和国民法典》、《中华人民共和国建筑法》及有关法律规定，遵循平等、自愿、公平和诚实信用的原则，双方就</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及有关事项协商一致，共同达成如下协议：</w:t>
      </w:r>
      <w:r>
        <w:rPr>
          <w:rFonts w:hint="eastAsia" w:ascii="宋体" w:hAnsi="宋体" w:cs="宋体"/>
          <w:color w:val="000000"/>
          <w:sz w:val="24"/>
          <w:highlight w:val="none"/>
        </w:rPr>
      </w:r>
      <w:r/>
    </w:p>
    <w:p>
      <w:pPr>
        <w:pStyle w:val="1347"/>
        <w:spacing w:before="0" w:line="240" w:lineRule="auto"/>
        <w:tabs>
          <w:tab w:val="left" w:pos="567" w:leader="none"/>
        </w:tabs>
        <w:rPr>
          <w:rFonts w:hint="eastAsia" w:cs="宋体"/>
          <w:color w:val="000000"/>
          <w:highlight w:val="none"/>
        </w:rPr>
        <w:outlineLvl w:val="1"/>
      </w:pPr>
      <w:r>
        <w:rPr>
          <w:rFonts w:hint="eastAsia" w:cs="宋体"/>
          <w:b/>
          <w:bCs/>
          <w:color w:val="000000"/>
          <w:highlight w:val="none"/>
        </w:rPr>
        <w:t xml:space="preserve">第1条  工程概况</w:t>
      </w:r>
      <w:r>
        <w:rPr>
          <w:rFonts w:hint="eastAsia" w:cs="宋体"/>
          <w:color w:val="000000"/>
          <w:highlight w:val="none"/>
        </w:rPr>
      </w:r>
      <w:r/>
    </w:p>
    <w:p>
      <w:pPr>
        <w:pStyle w:val="1288"/>
        <w:ind w:firstLine="420"/>
        <w:rPr>
          <w:rStyle w:val="1325"/>
          <w:rFonts w:hint="eastAsia" w:ascii="宋体" w:hAnsi="宋体" w:cs="宋体"/>
          <w:color w:val="000000"/>
          <w:sz w:val="24"/>
          <w:highlight w:val="none"/>
        </w:rPr>
      </w:pPr>
      <w:r>
        <w:rPr>
          <w:rFonts w:hint="eastAsia" w:ascii="宋体" w:hAnsi="宋体" w:cs="宋体"/>
          <w:color w:val="000000"/>
          <w:sz w:val="24"/>
          <w:highlight w:val="none"/>
        </w:rPr>
        <w:t xml:space="preserve">1.1  工程名称：</w:t>
      </w:r>
      <w:r>
        <w:rPr>
          <w:rStyle w:val="1325"/>
          <w:rFonts w:hint="eastAsia" w:ascii="宋体" w:hAnsi="宋体" w:cs="宋体"/>
          <w:color w:val="000000"/>
          <w:sz w:val="24"/>
          <w:highlight w:val="none"/>
        </w:rPr>
      </w:r>
      <w:r/>
    </w:p>
    <w:p>
      <w:pPr>
        <w:pStyle w:val="1288"/>
        <w:rPr>
          <w:rFonts w:hint="eastAsia" w:ascii="宋体" w:hAnsi="宋体" w:cs="宋体"/>
          <w:color w:val="000000"/>
          <w:sz w:val="24"/>
          <w:highlight w:val="none"/>
        </w:rPr>
      </w:pPr>
      <w:r>
        <w:rPr>
          <w:rFonts w:hint="eastAsia" w:ascii="宋体" w:hAnsi="宋体" w:cs="宋体"/>
          <w:color w:val="000000"/>
          <w:sz w:val="24"/>
          <w:highlight w:val="none"/>
        </w:rPr>
        <w:tab/>
      </w:r>
      <w:r>
        <w:rPr>
          <w:rFonts w:hint="eastAsia" w:ascii="宋体" w:hAnsi="宋体" w:cs="宋体"/>
          <w:color w:val="000000"/>
          <w:sz w:val="24"/>
          <w:highlight w:val="none"/>
        </w:rPr>
        <w:t xml:space="preserve">1.2  工程地点：</w:t>
      </w:r>
      <w:r>
        <w:rPr>
          <w:rFonts w:hint="eastAsia" w:ascii="宋体" w:hAnsi="宋体" w:cs="宋体"/>
          <w:color w:val="000000"/>
          <w:sz w:val="24"/>
          <w:highlight w:val="none"/>
        </w:rPr>
      </w:r>
      <w:r/>
    </w:p>
    <w:p>
      <w:pPr>
        <w:pStyle w:val="1288"/>
        <w:ind w:firstLine="420"/>
        <w:rPr>
          <w:rFonts w:hint="eastAsia" w:ascii="宋体" w:hAnsi="宋体" w:cs="宋体"/>
          <w:color w:val="000000"/>
          <w:sz w:val="24"/>
          <w:highlight w:val="none"/>
        </w:rPr>
      </w:pPr>
      <w:r>
        <w:rPr>
          <w:rFonts w:hint="eastAsia" w:ascii="宋体" w:hAnsi="宋体" w:cs="宋体"/>
          <w:color w:val="000000"/>
          <w:sz w:val="24"/>
          <w:highlight w:val="none"/>
        </w:rPr>
        <w:t xml:space="preserve">1.3  承包</w:t>
      </w:r>
      <w:r>
        <w:rPr>
          <w:rFonts w:hint="eastAsia" w:ascii="宋体" w:hAnsi="宋体" w:eastAsia="宋体" w:cs="宋体"/>
          <w:color w:val="000000"/>
          <w:sz w:val="24"/>
          <w:highlight w:val="none"/>
        </w:rPr>
        <w:t xml:space="preserve">范围</w:t>
      </w:r>
      <w:r>
        <w:rPr>
          <w:rFonts w:hint="eastAsia" w:ascii="宋体" w:hAnsi="宋体" w:cs="宋体"/>
          <w:color w:val="000000"/>
          <w:sz w:val="24"/>
          <w:highlight w:val="none"/>
        </w:rPr>
        <w:t xml:space="preserve">： </w:t>
      </w:r>
      <w:r>
        <w:rPr>
          <w:rFonts w:hint="eastAsia" w:ascii="宋体" w:hAnsi="宋体" w:cs="宋体"/>
          <w:color w:val="000000"/>
          <w:sz w:val="24"/>
          <w:highlight w:val="none"/>
        </w:rPr>
      </w:r>
      <w:r/>
    </w:p>
    <w:p>
      <w:pPr>
        <w:pStyle w:val="1288"/>
        <w:ind w:firstLine="420"/>
        <w:rPr>
          <w:rFonts w:hint="eastAsia" w:ascii="宋体" w:hAnsi="宋体" w:cs="宋体"/>
          <w:color w:val="000000"/>
          <w:sz w:val="24"/>
          <w:highlight w:val="none"/>
        </w:rPr>
      </w:pPr>
      <w:r>
        <w:rPr>
          <w:rFonts w:hint="eastAsia" w:ascii="宋体" w:hAnsi="宋体" w:cs="宋体"/>
          <w:color w:val="000000"/>
          <w:sz w:val="24"/>
          <w:highlight w:val="none"/>
        </w:rPr>
        <w:t xml:space="preserve">1.4  承包方式：固定综合单价</w:t>
      </w:r>
      <w:r>
        <w:rPr>
          <w:rFonts w:hint="eastAsia" w:ascii="宋体" w:hAnsi="宋体" w:cs="宋体"/>
          <w:color w:val="000000"/>
          <w:sz w:val="24"/>
          <w:highlight w:val="none"/>
        </w:rPr>
      </w:r>
      <w:r/>
    </w:p>
    <w:p>
      <w:pPr>
        <w:pStyle w:val="1288"/>
        <w:ind w:firstLine="420"/>
        <w:rPr>
          <w:rFonts w:hint="eastAsia" w:ascii="宋体" w:hAnsi="宋体" w:cs="宋体"/>
          <w:color w:val="000000"/>
          <w:sz w:val="24"/>
          <w:highlight w:val="none"/>
        </w:rPr>
      </w:pPr>
      <w:r>
        <w:rPr>
          <w:rFonts w:hint="eastAsia" w:ascii="宋体" w:hAnsi="宋体" w:cs="宋体"/>
          <w:color w:val="000000"/>
          <w:sz w:val="24"/>
          <w:highlight w:val="none"/>
        </w:rPr>
        <w:t xml:space="preserve">1.5  工期：自收到采购人开工通知后50个日历天内完工并通过验收。本工程自202 年 月 日开工,于202  年   月  日竣工。</w:t>
      </w:r>
      <w:r>
        <w:rPr>
          <w:rFonts w:hint="eastAsia" w:ascii="宋体" w:hAnsi="宋体" w:cs="宋体"/>
          <w:color w:val="000000"/>
          <w:sz w:val="24"/>
          <w:highlight w:val="none"/>
        </w:rPr>
      </w:r>
      <w:r/>
    </w:p>
    <w:p>
      <w:pPr>
        <w:pStyle w:val="1288"/>
        <w:ind w:firstLine="420"/>
        <w:rPr>
          <w:rFonts w:hint="eastAsia" w:ascii="宋体" w:hAnsi="宋体" w:cs="宋体"/>
          <w:color w:val="000000"/>
          <w:sz w:val="24"/>
          <w:highlight w:val="none"/>
        </w:rPr>
      </w:pPr>
      <w:r>
        <w:rPr>
          <w:rFonts w:hint="eastAsia" w:ascii="宋体" w:hAnsi="宋体" w:cs="宋体"/>
          <w:color w:val="000000"/>
          <w:sz w:val="24"/>
          <w:highlight w:val="none"/>
        </w:rPr>
        <w:t xml:space="preserve">1.6  工程质量：工程质量符合合格标准。</w:t>
      </w:r>
      <w:r>
        <w:rPr>
          <w:rFonts w:hint="eastAsia" w:ascii="宋体" w:hAnsi="宋体" w:cs="宋体"/>
          <w:color w:val="000000"/>
          <w:sz w:val="24"/>
          <w:highlight w:val="none"/>
        </w:rPr>
      </w:r>
      <w:r/>
    </w:p>
    <w:p>
      <w:pPr>
        <w:pStyle w:val="1288"/>
        <w:ind w:firstLine="420"/>
        <w:rPr>
          <w:rFonts w:hint="eastAsia" w:ascii="宋体" w:hAnsi="宋体" w:cs="宋体"/>
          <w:color w:val="000000"/>
          <w:sz w:val="24"/>
          <w:highlight w:val="none"/>
        </w:rPr>
      </w:pPr>
      <w:r>
        <w:rPr>
          <w:rFonts w:hint="eastAsia" w:ascii="宋体" w:hAnsi="宋体" w:cs="宋体"/>
          <w:color w:val="000000"/>
          <w:sz w:val="24"/>
          <w:highlight w:val="none"/>
        </w:rPr>
        <w:t xml:space="preserve">1.7  合同价款(人民币大写)：</w:t>
      </w:r>
      <w:r>
        <w:rPr>
          <w:rFonts w:hint="eastAsia" w:ascii="宋体" w:hAnsi="宋体" w:cs="宋体"/>
          <w:color w:val="000000"/>
          <w:sz w:val="24"/>
          <w:highlight w:val="none"/>
          <w:u w:val="single"/>
        </w:rPr>
        <w:t xml:space="preserve">    元</w:t>
      </w:r>
      <w:r>
        <w:rPr>
          <w:rFonts w:hint="eastAsia" w:ascii="宋体" w:hAnsi="宋体" w:cs="宋体"/>
          <w:color w:val="000000"/>
          <w:sz w:val="24"/>
          <w:highlight w:val="none"/>
        </w:rPr>
        <w:t xml:space="preserve">（ ）。</w:t>
      </w:r>
      <w:r>
        <w:rPr>
          <w:rFonts w:hint="eastAsia" w:ascii="宋体" w:hAnsi="宋体" w:cs="宋体"/>
          <w:color w:val="000000"/>
          <w:sz w:val="24"/>
          <w:highlight w:val="none"/>
        </w:rPr>
      </w:r>
      <w:r/>
    </w:p>
    <w:p>
      <w:pPr>
        <w:pStyle w:val="1288"/>
        <w:ind w:firstLine="420"/>
        <w:rPr>
          <w:rFonts w:hint="eastAsia" w:ascii="宋体" w:hAnsi="宋体" w:cs="宋体"/>
          <w:color w:val="000000"/>
          <w:sz w:val="24"/>
          <w:highlight w:val="none"/>
        </w:rPr>
      </w:pPr>
      <w:r>
        <w:rPr>
          <w:rFonts w:hint="eastAsia" w:ascii="宋体" w:hAnsi="宋体" w:cs="宋体"/>
          <w:color w:val="000000"/>
          <w:sz w:val="24"/>
          <w:highlight w:val="none"/>
        </w:rPr>
        <w:t xml:space="preserve">1.8  工程质量保修期：</w:t>
      </w:r>
      <w:r>
        <w:rPr>
          <w:rFonts w:hint="eastAsia" w:ascii="宋体" w:hAnsi="宋体" w:cs="宋体"/>
          <w:color w:val="000000"/>
          <w:sz w:val="24"/>
          <w:highlight w:val="none"/>
        </w:rPr>
      </w:r>
      <w:r/>
    </w:p>
    <w:p>
      <w:pPr>
        <w:pStyle w:val="1347"/>
        <w:spacing w:before="0" w:line="240" w:lineRule="auto"/>
        <w:tabs>
          <w:tab w:val="left" w:pos="567" w:leader="none"/>
        </w:tabs>
        <w:rPr>
          <w:rFonts w:hint="eastAsia" w:cs="宋体"/>
          <w:color w:val="000000"/>
          <w:highlight w:val="none"/>
        </w:rPr>
        <w:outlineLvl w:val="1"/>
      </w:pPr>
      <w:r>
        <w:rPr>
          <w:rFonts w:hint="eastAsia" w:cs="宋体"/>
          <w:b/>
          <w:bCs/>
          <w:color w:val="000000"/>
          <w:highlight w:val="none"/>
        </w:rPr>
        <w:t xml:space="preserve">第2条  甲方工作</w:t>
      </w:r>
      <w:r>
        <w:rPr>
          <w:rFonts w:hint="eastAsia" w:cs="宋体"/>
          <w:color w:val="000000"/>
          <w:highlight w:val="none"/>
        </w:rPr>
      </w:r>
      <w:r/>
    </w:p>
    <w:p>
      <w:pPr>
        <w:pStyle w:val="1347"/>
        <w:ind w:firstLine="420"/>
        <w:spacing w:before="0" w:line="240" w:lineRule="auto"/>
        <w:tabs>
          <w:tab w:val="left" w:pos="567" w:leader="none"/>
        </w:tabs>
        <w:rPr>
          <w:rFonts w:hint="eastAsia" w:cs="宋体"/>
          <w:color w:val="000000"/>
          <w:highlight w:val="none"/>
        </w:rPr>
      </w:pPr>
      <w:r>
        <w:rPr>
          <w:rFonts w:hint="eastAsia" w:cs="宋体"/>
          <w:color w:val="000000"/>
          <w:highlight w:val="none"/>
        </w:rPr>
        <w:t xml:space="preserve">2.1  开工前，向乙方进行现场交底；协助乙方接驳施工所需的水、电等，并说明使用注意事项；协助乙方办理施工所涉及的各种申请、批件等手续。</w:t>
      </w:r>
      <w:r>
        <w:rPr>
          <w:rFonts w:hint="eastAsia" w:cs="宋体"/>
          <w:color w:val="000000"/>
          <w:highlight w:val="none"/>
        </w:rPr>
      </w:r>
      <w:r/>
    </w:p>
    <w:p>
      <w:pPr>
        <w:pStyle w:val="1347"/>
        <w:ind w:firstLine="420"/>
        <w:spacing w:before="0" w:line="240" w:lineRule="auto"/>
        <w:tabs>
          <w:tab w:val="left" w:pos="567" w:leader="none"/>
        </w:tabs>
        <w:rPr>
          <w:rFonts w:hint="eastAsia" w:cs="宋体"/>
          <w:color w:val="000000"/>
          <w:highlight w:val="none"/>
        </w:rPr>
      </w:pPr>
      <w:r>
        <w:rPr>
          <w:rFonts w:hint="eastAsia" w:cs="宋体"/>
          <w:color w:val="000000"/>
          <w:highlight w:val="none"/>
        </w:rPr>
        <w:t xml:space="preserve">注：施工现场甲方提供施工用水、用电接驳点，由乙方负责在接驳接口后端自行采购、安装合格计量表并承担相关费用；施工期间产生的水电费由乙方承担，甲乙双方定期共同抄表确认用量，水电费单价按照甲方现行价格执行，费用由甲方在工程进度款中直接扣除。水、电表日常保管、维护、校验责任由乙方负责，管网接驳后产生的损耗由乙方自行承担。</w:t>
      </w:r>
      <w:r>
        <w:rPr>
          <w:rFonts w:hint="eastAsia" w:cs="宋体"/>
          <w:color w:val="000000"/>
          <w:highlight w:val="none"/>
        </w:rPr>
      </w:r>
      <w:r/>
    </w:p>
    <w:p>
      <w:pPr>
        <w:pStyle w:val="1347"/>
        <w:ind w:firstLine="420"/>
        <w:spacing w:before="0" w:line="240" w:lineRule="auto"/>
        <w:tabs>
          <w:tab w:val="left" w:pos="567" w:leader="none"/>
        </w:tabs>
        <w:rPr>
          <w:rFonts w:hint="eastAsia" w:cs="宋体"/>
          <w:color w:val="000000"/>
          <w:highlight w:val="none"/>
        </w:rPr>
      </w:pPr>
      <w:r>
        <w:rPr>
          <w:rFonts w:hint="eastAsia" w:cs="宋体"/>
          <w:color w:val="000000"/>
          <w:highlight w:val="none"/>
        </w:rPr>
        <w:t xml:space="preserve">2.2  指派</w:t>
      </w:r>
      <w:r>
        <w:rPr>
          <w:rFonts w:hint="eastAsia" w:cs="宋体"/>
          <w:color w:val="000000"/>
          <w:highlight w:val="none"/>
          <w:u w:val="single"/>
        </w:rPr>
        <w:t xml:space="preserve"> </w:t>
      </w:r>
      <w:r>
        <w:rPr>
          <w:rFonts w:hint="eastAsia" w:cs="宋体"/>
          <w:color w:val="000000"/>
          <w:highlight w:val="none"/>
          <w:u w:val="single"/>
          <w:lang w:val="en-US" w:eastAsia="zh-CN"/>
        </w:rPr>
        <w:t xml:space="preserve">     </w:t>
      </w:r>
      <w:r>
        <w:rPr>
          <w:rFonts w:cs="宋体"/>
          <w:color w:val="000000"/>
          <w:highlight w:val="none"/>
          <w:u w:val="single"/>
        </w:rPr>
        <w:t xml:space="preserve"> </w:t>
      </w:r>
      <w:r>
        <w:rPr>
          <w:rFonts w:hint="eastAsia" w:cs="宋体"/>
          <w:color w:val="000000"/>
          <w:highlight w:val="none"/>
        </w:rPr>
        <w:t xml:space="preserve">为甲方驻工地代表，负责合同履行。对工程质量、进度进行监督检查，办理验收、变更、登记手续和其他事宜。</w:t>
      </w:r>
      <w:r>
        <w:rPr>
          <w:rFonts w:hint="eastAsia" w:cs="宋体"/>
          <w:color w:val="000000"/>
          <w:highlight w:val="none"/>
        </w:rPr>
      </w:r>
      <w:r/>
    </w:p>
    <w:p>
      <w:pPr>
        <w:pStyle w:val="1347"/>
        <w:ind w:firstLine="420"/>
        <w:spacing w:before="0" w:line="240" w:lineRule="auto"/>
        <w:tabs>
          <w:tab w:val="left" w:pos="567" w:leader="none"/>
        </w:tabs>
        <w:rPr>
          <w:rFonts w:hint="eastAsia" w:cs="宋体"/>
          <w:color w:val="000000"/>
          <w:highlight w:val="none"/>
        </w:rPr>
      </w:pPr>
      <w:r>
        <w:rPr>
          <w:rFonts w:hint="eastAsia" w:cs="宋体"/>
          <w:color w:val="000000"/>
          <w:highlight w:val="none"/>
        </w:rPr>
        <w:t xml:space="preserve">2.3  如确实需要拆改原建筑物结构或设备管线，负责到有关部门办理相应审批手续。</w:t>
      </w:r>
      <w:r>
        <w:rPr>
          <w:rFonts w:hint="eastAsia" w:cs="宋体"/>
          <w:color w:val="000000"/>
          <w:highlight w:val="none"/>
        </w:rPr>
      </w:r>
      <w:r/>
    </w:p>
    <w:p>
      <w:pPr>
        <w:pStyle w:val="1347"/>
        <w:ind w:firstLine="420"/>
        <w:spacing w:before="0" w:line="240" w:lineRule="auto"/>
        <w:tabs>
          <w:tab w:val="left" w:pos="567" w:leader="none"/>
        </w:tabs>
        <w:rPr>
          <w:rFonts w:hint="eastAsia" w:cs="宋体"/>
          <w:color w:val="000000"/>
          <w:highlight w:val="none"/>
        </w:rPr>
      </w:pPr>
      <w:r>
        <w:rPr>
          <w:rFonts w:hint="eastAsia" w:cs="宋体"/>
          <w:color w:val="000000"/>
          <w:highlight w:val="none"/>
        </w:rPr>
        <w:t xml:space="preserve">2.4  协调做好现场安全、消防、垃圾处理等工作。</w:t>
      </w:r>
      <w:r>
        <w:rPr>
          <w:rFonts w:hint="eastAsia" w:cs="宋体"/>
          <w:color w:val="000000"/>
          <w:highlight w:val="none"/>
        </w:rPr>
      </w:r>
      <w:r/>
    </w:p>
    <w:p>
      <w:pPr>
        <w:pStyle w:val="1347"/>
        <w:ind w:firstLine="420"/>
        <w:spacing w:before="0" w:line="240" w:lineRule="auto"/>
        <w:tabs>
          <w:tab w:val="left" w:pos="567" w:leader="none"/>
        </w:tabs>
        <w:rPr>
          <w:rFonts w:hint="eastAsia" w:cs="宋体"/>
          <w:color w:val="000000"/>
          <w:highlight w:val="none"/>
        </w:rPr>
        <w:outlineLvl w:val="2"/>
      </w:pPr>
      <w:r>
        <w:rPr>
          <w:rFonts w:hint="eastAsia" w:cs="宋体"/>
          <w:color w:val="000000"/>
          <w:highlight w:val="none"/>
        </w:rPr>
        <w:t xml:space="preserve">2.5  组织验收、审计及按照合同付款要求办理相关付款手续等工作。</w:t>
      </w:r>
      <w:r>
        <w:rPr>
          <w:rFonts w:hint="eastAsia" w:cs="宋体"/>
          <w:color w:val="000000"/>
          <w:highlight w:val="none"/>
        </w:rPr>
      </w:r>
      <w:r/>
    </w:p>
    <w:p>
      <w:pPr>
        <w:pStyle w:val="1347"/>
        <w:spacing w:before="0" w:line="240" w:lineRule="auto"/>
        <w:tabs>
          <w:tab w:val="left" w:pos="567" w:leader="none"/>
        </w:tabs>
        <w:rPr>
          <w:rFonts w:hint="eastAsia" w:cs="宋体"/>
          <w:b/>
          <w:bCs/>
          <w:color w:val="000000"/>
          <w:highlight w:val="none"/>
        </w:rPr>
        <w:outlineLvl w:val="1"/>
      </w:pPr>
      <w:r>
        <w:rPr>
          <w:rFonts w:hint="eastAsia" w:cs="宋体"/>
          <w:b/>
          <w:bCs/>
          <w:color w:val="000000"/>
          <w:highlight w:val="none"/>
        </w:rPr>
        <w:t xml:space="preserve">第3条  乙方工作</w:t>
      </w:r>
      <w:r>
        <w:rPr>
          <w:rFonts w:hint="eastAsia" w:cs="宋体"/>
          <w:b/>
          <w:bCs/>
          <w:color w:val="000000"/>
          <w:highlight w:val="none"/>
        </w:rPr>
      </w:r>
      <w:r/>
    </w:p>
    <w:p>
      <w:pPr>
        <w:pStyle w:val="1347"/>
        <w:ind w:firstLine="420"/>
        <w:spacing w:before="0" w:line="240" w:lineRule="auto"/>
        <w:tabs>
          <w:tab w:val="left" w:pos="567" w:leader="none"/>
        </w:tabs>
        <w:rPr>
          <w:rFonts w:hint="eastAsia" w:cs="宋体"/>
          <w:color w:val="000000"/>
          <w:highlight w:val="none"/>
        </w:rPr>
      </w:pPr>
      <w:r>
        <w:rPr>
          <w:rFonts w:hint="eastAsia" w:cs="宋体"/>
          <w:color w:val="000000"/>
          <w:highlight w:val="none"/>
        </w:rPr>
        <w:t xml:space="preserve">3.1  参加甲方组织的施工图纸或作法说明的现场交底，中标通知书发出7天内拟定施工方案、进度计划，交甲方审定。</w:t>
      </w:r>
      <w:r>
        <w:rPr>
          <w:rFonts w:hint="eastAsia" w:cs="宋体"/>
          <w:color w:val="000000"/>
          <w:highlight w:val="none"/>
        </w:rPr>
      </w:r>
      <w:r/>
    </w:p>
    <w:p>
      <w:pPr>
        <w:pStyle w:val="1347"/>
        <w:ind w:firstLine="420"/>
        <w:spacing w:before="0" w:line="240" w:lineRule="auto"/>
        <w:tabs>
          <w:tab w:val="left" w:pos="567" w:leader="none"/>
        </w:tabs>
        <w:rPr>
          <w:rFonts w:hint="eastAsia" w:cs="宋体"/>
          <w:color w:val="000000"/>
          <w:highlight w:val="none"/>
        </w:rPr>
      </w:pPr>
      <w:r>
        <w:rPr>
          <w:rFonts w:hint="eastAsia" w:cs="宋体"/>
          <w:color w:val="000000"/>
          <w:highlight w:val="none"/>
        </w:rPr>
        <w:t xml:space="preserve">3.2  指派</w:t>
      </w:r>
      <w:r>
        <w:rPr>
          <w:rFonts w:hint="eastAsia" w:cs="宋体"/>
          <w:color w:val="000000"/>
          <w:highlight w:val="none"/>
          <w:u w:val="single"/>
        </w:rPr>
        <w:t xml:space="preserve">      </w:t>
      </w:r>
      <w:r>
        <w:rPr>
          <w:rFonts w:hint="eastAsia" w:cs="宋体"/>
          <w:color w:val="000000"/>
          <w:highlight w:val="none"/>
        </w:rPr>
        <w:t xml:space="preserve">为乙方驻工地代表，负责合同履行。按要求组织施工，保质、保量、按期完成施工任务，解决由乙方负责的各项事宜。</w:t>
      </w:r>
      <w:r>
        <w:rPr>
          <w:rFonts w:hint="eastAsia" w:cs="宋体"/>
          <w:color w:val="000000"/>
          <w:highlight w:val="none"/>
        </w:rPr>
      </w:r>
      <w:r/>
    </w:p>
    <w:p>
      <w:pPr>
        <w:pStyle w:val="1347"/>
        <w:ind w:firstLine="420"/>
        <w:spacing w:before="0" w:line="240" w:lineRule="auto"/>
        <w:tabs>
          <w:tab w:val="left" w:pos="567" w:leader="none"/>
        </w:tabs>
        <w:rPr>
          <w:rFonts w:hint="eastAsia" w:cs="宋体"/>
          <w:color w:val="000000"/>
          <w:highlight w:val="none"/>
        </w:rPr>
      </w:pPr>
      <w:r>
        <w:rPr>
          <w:rFonts w:hint="eastAsia" w:cs="宋体"/>
          <w:color w:val="000000"/>
          <w:highlight w:val="none"/>
        </w:rPr>
        <w:t xml:space="preserve">3.3  严格执行施工规范、安全操作规程、防火安全规定，乙方必须为高空施工作业人员购买高空作业保险。严格按照图纸或作法说明进行施工，做好各项质量检查记录，参加工程例会、竣工验收，编制工程结算等。</w:t>
      </w:r>
      <w:r>
        <w:rPr>
          <w:rFonts w:hint="eastAsia" w:cs="宋体"/>
          <w:color w:val="000000"/>
          <w:highlight w:val="none"/>
        </w:rPr>
      </w:r>
      <w:r/>
    </w:p>
    <w:p>
      <w:pPr>
        <w:pStyle w:val="1347"/>
        <w:ind w:firstLine="420"/>
        <w:spacing w:before="0" w:line="240" w:lineRule="auto"/>
        <w:tabs>
          <w:tab w:val="left" w:pos="567" w:leader="none"/>
        </w:tabs>
        <w:rPr>
          <w:rFonts w:hint="eastAsia" w:cs="宋体"/>
          <w:color w:val="000000"/>
          <w:highlight w:val="none"/>
        </w:rPr>
      </w:pPr>
      <w:r>
        <w:rPr>
          <w:rFonts w:hint="eastAsia" w:cs="宋体"/>
          <w:color w:val="000000"/>
          <w:highlight w:val="none"/>
        </w:rPr>
        <w:t xml:space="preserve">3.4　服从甲方合理合法管理，按甲方要求，配合甲方做好施工进度、施工质量监管及材料进场验收（不限于以上内容）等一切与施工有关的监管工作。</w:t>
      </w:r>
      <w:r>
        <w:rPr>
          <w:rFonts w:hint="eastAsia" w:cs="宋体"/>
          <w:color w:val="000000"/>
          <w:highlight w:val="none"/>
        </w:rPr>
      </w:r>
      <w:r/>
    </w:p>
    <w:p>
      <w:pPr>
        <w:pStyle w:val="1347"/>
        <w:ind w:firstLine="420"/>
        <w:spacing w:before="0" w:line="240" w:lineRule="auto"/>
        <w:tabs>
          <w:tab w:val="left" w:pos="567" w:leader="none"/>
        </w:tabs>
        <w:rPr>
          <w:rFonts w:hint="eastAsia" w:cs="宋体"/>
          <w:color w:val="000000"/>
          <w:highlight w:val="none"/>
        </w:rPr>
      </w:pPr>
      <w:r>
        <w:rPr>
          <w:rFonts w:hint="eastAsia" w:cs="宋体"/>
          <w:color w:val="000000"/>
          <w:highlight w:val="none"/>
        </w:rPr>
        <w:t xml:space="preserve">3.5  遵守国家或地方政府及有关部门对施工现场管理的规定，妥善保护好施工现场周围建筑物、设备管线及室内有关设备设施不受损坏。做好施工现场安全、拆除的门以及垃圾清理及外运等工作，处理好由于施工带来的扰民问题及与周围单位（居民）的关系。</w:t>
      </w:r>
      <w:r>
        <w:rPr>
          <w:rFonts w:hint="eastAsia" w:cs="宋体"/>
          <w:color w:val="000000"/>
          <w:highlight w:val="none"/>
        </w:rPr>
      </w:r>
      <w:r/>
    </w:p>
    <w:p>
      <w:pPr>
        <w:pStyle w:val="1347"/>
        <w:ind w:firstLine="420"/>
        <w:spacing w:before="0" w:line="240" w:lineRule="auto"/>
        <w:tabs>
          <w:tab w:val="left" w:pos="567" w:leader="none"/>
        </w:tabs>
        <w:rPr>
          <w:rFonts w:hint="eastAsia" w:cs="宋体"/>
          <w:color w:val="000000"/>
          <w:highlight w:val="none"/>
        </w:rPr>
      </w:pPr>
      <w:r>
        <w:rPr>
          <w:rFonts w:hint="eastAsia" w:cs="宋体"/>
          <w:color w:val="000000"/>
          <w:highlight w:val="none"/>
        </w:rPr>
        <w:t xml:space="preserve">3.6 施工中未经甲方同意或有关部门批准，不得随便拆改原建筑物结构及各种设备管线。</w:t>
      </w:r>
      <w:r>
        <w:rPr>
          <w:rFonts w:hint="eastAsia" w:cs="宋体"/>
          <w:color w:val="000000"/>
          <w:highlight w:val="none"/>
        </w:rPr>
      </w:r>
      <w:r/>
    </w:p>
    <w:p>
      <w:pPr>
        <w:pStyle w:val="1347"/>
        <w:ind w:firstLine="420"/>
        <w:spacing w:before="0" w:line="240" w:lineRule="auto"/>
        <w:tabs>
          <w:tab w:val="left" w:pos="567" w:leader="none"/>
        </w:tabs>
        <w:rPr>
          <w:rFonts w:hint="eastAsia" w:cs="宋体"/>
          <w:color w:val="000000"/>
          <w:highlight w:val="none"/>
        </w:rPr>
      </w:pPr>
      <w:r>
        <w:rPr>
          <w:rFonts w:hint="eastAsia" w:cs="宋体"/>
          <w:color w:val="000000"/>
          <w:highlight w:val="none"/>
        </w:rPr>
        <w:t xml:space="preserve">3.7 工程竣工未移交甲方之前，负责对现场的一切设施和工程成品进行保护。</w:t>
      </w:r>
      <w:r>
        <w:rPr>
          <w:rFonts w:hint="eastAsia" w:cs="宋体"/>
          <w:color w:val="000000"/>
          <w:highlight w:val="none"/>
        </w:rPr>
      </w:r>
      <w:r/>
    </w:p>
    <w:p>
      <w:pPr>
        <w:pStyle w:val="1347"/>
        <w:ind w:firstLine="420"/>
        <w:spacing w:before="0" w:line="240" w:lineRule="auto"/>
        <w:tabs>
          <w:tab w:val="left" w:pos="567" w:leader="none"/>
        </w:tabs>
        <w:rPr>
          <w:rFonts w:hint="eastAsia" w:cs="宋体"/>
          <w:color w:val="000000"/>
          <w:highlight w:val="none"/>
        </w:rPr>
      </w:pPr>
      <w:r>
        <w:rPr>
          <w:rFonts w:hint="eastAsia" w:cs="宋体"/>
          <w:color w:val="000000"/>
          <w:highlight w:val="none"/>
        </w:rPr>
        <w:t xml:space="preserve">3.8 乙方提交的竣工资料的内容：根据政府相关部门颁发的竣工验收相关规定及技术档案管理条例编制整理的竣工资料和竣工图，在竣工质量验收（俗称竣前验收）之前经监理及甲方认可后移交给甲方，若乙方未能及时移交，竣工质量验收延后，直至乙方完整移交竣工图及竣工资料为止，由此造成的工期延误或其他一切损失由乙方承担。</w:t>
      </w:r>
      <w:r>
        <w:rPr>
          <w:rFonts w:hint="eastAsia" w:cs="宋体"/>
          <w:color w:val="000000"/>
          <w:highlight w:val="none"/>
        </w:rPr>
      </w:r>
      <w:r/>
    </w:p>
    <w:p>
      <w:pPr>
        <w:pStyle w:val="1347"/>
        <w:ind w:firstLine="420"/>
        <w:spacing w:before="0" w:line="240" w:lineRule="auto"/>
        <w:tabs>
          <w:tab w:val="left" w:pos="567" w:leader="none"/>
        </w:tabs>
        <w:rPr>
          <w:rFonts w:hint="eastAsia" w:cs="宋体"/>
          <w:color w:val="000000"/>
          <w:highlight w:val="none"/>
        </w:rPr>
      </w:pPr>
      <w:r>
        <w:rPr>
          <w:rFonts w:hint="eastAsia" w:cs="宋体"/>
          <w:color w:val="000000"/>
          <w:highlight w:val="none"/>
        </w:rPr>
        <w:t xml:space="preserve">乙方需要提交的竣工资料套数：竣工资料及竣工图一式肆份，电子文件一份。</w:t>
      </w:r>
      <w:r>
        <w:rPr>
          <w:rFonts w:hint="eastAsia" w:cs="宋体"/>
          <w:color w:val="000000"/>
          <w:highlight w:val="none"/>
        </w:rPr>
      </w:r>
      <w:r/>
    </w:p>
    <w:p>
      <w:pPr>
        <w:pStyle w:val="1347"/>
        <w:ind w:firstLine="420"/>
        <w:spacing w:before="0" w:line="240" w:lineRule="auto"/>
        <w:tabs>
          <w:tab w:val="left" w:pos="567" w:leader="none"/>
        </w:tabs>
        <w:rPr>
          <w:rFonts w:hint="eastAsia" w:cs="宋体"/>
          <w:color w:val="000000"/>
          <w:highlight w:val="none"/>
        </w:rPr>
      </w:pPr>
      <w:r>
        <w:rPr>
          <w:rFonts w:hint="eastAsia" w:cs="宋体"/>
          <w:color w:val="000000"/>
          <w:highlight w:val="none"/>
        </w:rPr>
        <w:t xml:space="preserve">乙方提交的竣工资料的费用承担：由乙方自行承担，已包含在签约合同价中。</w:t>
      </w:r>
      <w:r>
        <w:rPr>
          <w:rFonts w:hint="eastAsia" w:cs="宋体"/>
          <w:color w:val="000000"/>
          <w:highlight w:val="none"/>
        </w:rPr>
      </w:r>
      <w:r/>
    </w:p>
    <w:p>
      <w:pPr>
        <w:pStyle w:val="1347"/>
        <w:ind w:firstLine="420"/>
        <w:spacing w:before="0" w:line="240" w:lineRule="auto"/>
        <w:tabs>
          <w:tab w:val="left" w:pos="567" w:leader="none"/>
        </w:tabs>
        <w:rPr>
          <w:rFonts w:hint="eastAsia" w:cs="宋体"/>
          <w:color w:val="000000"/>
          <w:highlight w:val="none"/>
        </w:rPr>
      </w:pPr>
      <w:r>
        <w:rPr>
          <w:rFonts w:hint="eastAsia" w:cs="宋体"/>
          <w:color w:val="000000"/>
          <w:highlight w:val="none"/>
        </w:rPr>
        <w:t xml:space="preserve">乙方提交的竣工资料移交时间：竣工验收前。</w:t>
      </w:r>
      <w:r>
        <w:rPr>
          <w:rFonts w:hint="eastAsia" w:cs="宋体"/>
          <w:color w:val="000000"/>
          <w:highlight w:val="none"/>
        </w:rPr>
      </w:r>
      <w:r/>
    </w:p>
    <w:p>
      <w:pPr>
        <w:pStyle w:val="1347"/>
        <w:ind w:firstLine="420"/>
        <w:spacing w:before="0" w:line="240" w:lineRule="auto"/>
        <w:tabs>
          <w:tab w:val="left" w:pos="567" w:leader="none"/>
        </w:tabs>
        <w:rPr>
          <w:rFonts w:hint="eastAsia" w:cs="宋体"/>
          <w:color w:val="000000"/>
          <w:highlight w:val="none"/>
        </w:rPr>
      </w:pPr>
      <w:r>
        <w:rPr>
          <w:rFonts w:hint="eastAsia" w:cs="宋体"/>
          <w:color w:val="000000"/>
          <w:highlight w:val="none"/>
        </w:rPr>
        <w:t xml:space="preserve">乙方提交的竣工资料形式要求：纸质和电子文件。</w:t>
      </w:r>
      <w:r>
        <w:rPr>
          <w:rFonts w:hint="eastAsia" w:cs="宋体"/>
          <w:color w:val="000000"/>
          <w:highlight w:val="none"/>
        </w:rPr>
      </w:r>
      <w:r/>
    </w:p>
    <w:p>
      <w:pPr>
        <w:pStyle w:val="1347"/>
        <w:spacing w:before="0" w:line="240" w:lineRule="auto"/>
        <w:tabs>
          <w:tab w:val="left" w:pos="567" w:leader="none"/>
        </w:tabs>
        <w:rPr>
          <w:rFonts w:hint="eastAsia" w:cs="宋体"/>
          <w:b/>
          <w:bCs/>
          <w:color w:val="000000"/>
          <w:highlight w:val="none"/>
        </w:rPr>
        <w:outlineLvl w:val="1"/>
      </w:pPr>
      <w:r>
        <w:rPr>
          <w:rFonts w:hint="eastAsia" w:cs="宋体"/>
          <w:b/>
          <w:bCs/>
          <w:color w:val="000000"/>
          <w:highlight w:val="none"/>
        </w:rPr>
        <w:t xml:space="preserve">第4条  关于工期的约定</w:t>
      </w:r>
      <w:r>
        <w:rPr>
          <w:rFonts w:hint="eastAsia" w:cs="宋体"/>
          <w:b/>
          <w:bCs/>
          <w:color w:val="000000"/>
          <w:highlight w:val="none"/>
        </w:rPr>
      </w:r>
      <w:r/>
    </w:p>
    <w:p>
      <w:pPr>
        <w:pStyle w:val="1347"/>
        <w:ind w:firstLine="420"/>
        <w:spacing w:before="0" w:line="240" w:lineRule="auto"/>
        <w:tabs>
          <w:tab w:val="left" w:pos="567" w:leader="none"/>
        </w:tabs>
        <w:rPr>
          <w:rFonts w:hint="eastAsia" w:cs="宋体"/>
          <w:color w:val="000000"/>
          <w:highlight w:val="none"/>
        </w:rPr>
      </w:pPr>
      <w:r>
        <w:rPr>
          <w:rFonts w:hint="eastAsia" w:cs="宋体"/>
          <w:color w:val="000000"/>
          <w:highlight w:val="none"/>
        </w:rPr>
        <w:t xml:space="preserve">4.1  甲方要求比合同约定的工期提前竣工时，应征得乙方同意，并支付乙方因赶工采取的措施费用。</w:t>
      </w:r>
      <w:r>
        <w:rPr>
          <w:rFonts w:hint="eastAsia" w:cs="宋体"/>
          <w:color w:val="000000"/>
          <w:highlight w:val="none"/>
        </w:rPr>
      </w:r>
      <w:r/>
    </w:p>
    <w:p>
      <w:pPr>
        <w:pStyle w:val="1347"/>
        <w:ind w:firstLine="420"/>
        <w:spacing w:before="0" w:line="240" w:lineRule="auto"/>
        <w:tabs>
          <w:tab w:val="left" w:pos="567" w:leader="none"/>
        </w:tabs>
        <w:rPr>
          <w:rFonts w:hint="eastAsia" w:cs="宋体"/>
          <w:color w:val="000000"/>
          <w:highlight w:val="none"/>
        </w:rPr>
        <w:outlineLvl w:val="2"/>
      </w:pPr>
      <w:r>
        <w:rPr>
          <w:rFonts w:hint="eastAsia" w:cs="宋体"/>
          <w:color w:val="000000"/>
          <w:highlight w:val="none"/>
        </w:rPr>
        <w:t xml:space="preserve">4.2  因甲方原因未按约定完成工作，影响工期，工期顺延。</w:t>
      </w:r>
      <w:r>
        <w:rPr>
          <w:rFonts w:hint="eastAsia" w:cs="宋体"/>
          <w:color w:val="000000"/>
          <w:highlight w:val="none"/>
        </w:rPr>
      </w:r>
      <w:r/>
    </w:p>
    <w:p>
      <w:pPr>
        <w:pStyle w:val="1347"/>
        <w:ind w:firstLine="420"/>
        <w:spacing w:before="0" w:line="240" w:lineRule="auto"/>
        <w:tabs>
          <w:tab w:val="left" w:pos="567" w:leader="none"/>
        </w:tabs>
        <w:rPr>
          <w:rFonts w:hint="eastAsia" w:cs="宋体"/>
          <w:color w:val="000000"/>
          <w:highlight w:val="none"/>
        </w:rPr>
      </w:pPr>
      <w:r>
        <w:rPr>
          <w:rFonts w:hint="eastAsia" w:cs="宋体"/>
          <w:color w:val="000000"/>
          <w:highlight w:val="none"/>
        </w:rPr>
        <w:t xml:space="preserve">4.3  因乙方责任，不能按期开工或中途无故停工，影响工期，工期不得顺延。</w:t>
      </w:r>
      <w:r>
        <w:rPr>
          <w:rFonts w:hint="eastAsia" w:cs="宋体"/>
          <w:color w:val="000000"/>
          <w:highlight w:val="none"/>
        </w:rPr>
      </w:r>
      <w:r/>
    </w:p>
    <w:p>
      <w:pPr>
        <w:pStyle w:val="1347"/>
        <w:ind w:firstLine="420"/>
        <w:spacing w:before="0" w:line="240" w:lineRule="auto"/>
        <w:tabs>
          <w:tab w:val="left" w:pos="567" w:leader="none"/>
        </w:tabs>
        <w:rPr>
          <w:rFonts w:hint="eastAsia" w:cs="宋体"/>
          <w:color w:val="000000"/>
          <w:highlight w:val="none"/>
        </w:rPr>
      </w:pPr>
      <w:r>
        <w:rPr>
          <w:rFonts w:hint="eastAsia" w:cs="宋体"/>
          <w:color w:val="000000"/>
          <w:highlight w:val="none"/>
        </w:rPr>
        <w:t xml:space="preserve">4.4  因设计变更或非乙方原因造成的停电、停水、停气及不可抗力因素，导致停工8小时以上（一周内累计计算），工期相应顺延。</w:t>
      </w:r>
      <w:r>
        <w:rPr>
          <w:rFonts w:hint="eastAsia" w:cs="宋体"/>
          <w:color w:val="000000"/>
          <w:highlight w:val="none"/>
        </w:rPr>
      </w:r>
      <w:r/>
    </w:p>
    <w:p>
      <w:pPr>
        <w:pStyle w:val="1347"/>
        <w:spacing w:before="0" w:line="240" w:lineRule="auto"/>
        <w:tabs>
          <w:tab w:val="left" w:pos="567" w:leader="none"/>
        </w:tabs>
        <w:rPr>
          <w:rFonts w:hint="eastAsia" w:cs="宋体"/>
          <w:b/>
          <w:bCs/>
          <w:color w:val="000000"/>
          <w:highlight w:val="none"/>
        </w:rPr>
        <w:outlineLvl w:val="1"/>
      </w:pPr>
      <w:r>
        <w:rPr>
          <w:rFonts w:hint="eastAsia" w:cs="宋体"/>
          <w:b/>
          <w:bCs/>
          <w:color w:val="000000"/>
          <w:highlight w:val="none"/>
        </w:rPr>
        <w:t xml:space="preserve">第5条  关于工程质量及验收的约定</w:t>
      </w:r>
      <w:r>
        <w:rPr>
          <w:rFonts w:hint="eastAsia" w:cs="宋体"/>
          <w:b/>
          <w:bCs/>
          <w:color w:val="000000"/>
          <w:highlight w:val="none"/>
        </w:rPr>
      </w:r>
      <w:r/>
    </w:p>
    <w:p>
      <w:pPr>
        <w:pStyle w:val="1347"/>
        <w:ind w:firstLine="420"/>
        <w:spacing w:before="0" w:line="240" w:lineRule="auto"/>
        <w:tabs>
          <w:tab w:val="left" w:pos="567" w:leader="none"/>
        </w:tabs>
        <w:rPr>
          <w:rFonts w:hint="eastAsia" w:cs="宋体"/>
          <w:color w:val="000000"/>
          <w:highlight w:val="none"/>
        </w:rPr>
      </w:pPr>
      <w:r>
        <w:rPr>
          <w:rFonts w:hint="eastAsia" w:cs="宋体"/>
          <w:color w:val="000000"/>
          <w:highlight w:val="none"/>
        </w:rPr>
        <w:t xml:space="preserve">5.1  本工程质量满足施工图纸、施工规范、谈判文件（含工程量清单）及甲方要求，并符合现行国家及行业验收标准。</w:t>
      </w:r>
      <w:r>
        <w:rPr>
          <w:rFonts w:hint="eastAsia" w:cs="宋体"/>
          <w:color w:val="000000"/>
          <w:highlight w:val="none"/>
        </w:rPr>
      </w:r>
      <w:r/>
    </w:p>
    <w:p>
      <w:pPr>
        <w:pStyle w:val="1347"/>
        <w:ind w:firstLine="420"/>
        <w:spacing w:before="0" w:line="240" w:lineRule="auto"/>
        <w:tabs>
          <w:tab w:val="left" w:pos="567" w:leader="none"/>
        </w:tabs>
        <w:rPr>
          <w:rFonts w:hint="eastAsia" w:cs="宋体"/>
          <w:color w:val="000000"/>
          <w:highlight w:val="none"/>
        </w:rPr>
      </w:pPr>
      <w:r>
        <w:rPr>
          <w:rFonts w:hint="eastAsia" w:cs="宋体"/>
          <w:color w:val="000000"/>
          <w:highlight w:val="none"/>
        </w:rPr>
        <w:t xml:space="preserve">5.2  本工程质量应达到国家质量评定合格标准。</w:t>
      </w:r>
      <w:r>
        <w:rPr>
          <w:rFonts w:hint="eastAsia" w:cs="宋体"/>
          <w:color w:val="000000"/>
          <w:highlight w:val="none"/>
        </w:rPr>
      </w:r>
      <w:r/>
    </w:p>
    <w:p>
      <w:pPr>
        <w:pStyle w:val="1347"/>
        <w:ind w:firstLine="420"/>
        <w:spacing w:before="0" w:line="240" w:lineRule="auto"/>
        <w:tabs>
          <w:tab w:val="left" w:pos="567" w:leader="none"/>
        </w:tabs>
        <w:rPr>
          <w:rFonts w:hint="eastAsia" w:cs="宋体"/>
          <w:color w:val="000000"/>
          <w:highlight w:val="none"/>
        </w:rPr>
      </w:pPr>
      <w:r>
        <w:rPr>
          <w:rFonts w:hint="eastAsia" w:cs="宋体"/>
          <w:color w:val="000000"/>
          <w:highlight w:val="none"/>
        </w:rPr>
        <w:t xml:space="preserve">5.3  甲、乙双方应及时办理隐蔽工程和中间工程的检查与验收手续。甲方不按时参加隐蔽工程和中间工程验收，乙方可自行验收，甲方应予承认。若甲方要求复验时，乙方应按要求办理复验。若复验合格，甲方应承担复验费用，由此造成停工，工期顺延；若复验不合格，其复验及返工费用由乙方承担，工期不予顺延。</w:t>
      </w:r>
      <w:r>
        <w:rPr>
          <w:rFonts w:hint="eastAsia" w:cs="宋体"/>
          <w:color w:val="000000"/>
          <w:highlight w:val="none"/>
        </w:rPr>
      </w:r>
      <w:r/>
    </w:p>
    <w:p>
      <w:pPr>
        <w:pStyle w:val="1347"/>
        <w:ind w:firstLine="420"/>
        <w:spacing w:before="0" w:line="240" w:lineRule="auto"/>
        <w:tabs>
          <w:tab w:val="left" w:pos="567" w:leader="none"/>
        </w:tabs>
        <w:rPr>
          <w:rFonts w:hint="eastAsia" w:cs="宋体"/>
          <w:color w:val="000000"/>
          <w:highlight w:val="none"/>
        </w:rPr>
      </w:pPr>
      <w:r>
        <w:rPr>
          <w:rFonts w:hint="eastAsia" w:cs="宋体"/>
          <w:color w:val="000000"/>
          <w:highlight w:val="none"/>
        </w:rPr>
        <w:t xml:space="preserve">5.4乙方负责采购的材料，应严格按谈判文件要求采购,并提供产品合格证明,对材料质量负责。乙方采购的材料在使用前,应按照甲方的要求进行检验或试验,不合格的不得使用,检验或试验费用由乙方承担。</w:t>
      </w:r>
      <w:r>
        <w:rPr>
          <w:rFonts w:hint="eastAsia" w:cs="宋体"/>
          <w:color w:val="000000"/>
          <w:highlight w:val="none"/>
        </w:rPr>
      </w:r>
      <w:r/>
    </w:p>
    <w:p>
      <w:pPr>
        <w:pStyle w:val="1347"/>
        <w:ind w:firstLine="420"/>
        <w:spacing w:before="0" w:line="240" w:lineRule="auto"/>
        <w:tabs>
          <w:tab w:val="left" w:pos="567" w:leader="none"/>
        </w:tabs>
        <w:rPr>
          <w:rFonts w:hint="eastAsia" w:cs="宋体"/>
          <w:color w:val="000000"/>
          <w:highlight w:val="none"/>
        </w:rPr>
      </w:pPr>
      <w:r>
        <w:rPr>
          <w:rFonts w:hint="eastAsia" w:cs="宋体"/>
          <w:color w:val="000000"/>
          <w:highlight w:val="none"/>
        </w:rPr>
        <w:t xml:space="preserve">5.5 由于甲方提供的材料、设备质量不合格而影响工程质量，其返工费用由甲方承担，工期顺延。</w:t>
      </w:r>
      <w:r>
        <w:rPr>
          <w:rFonts w:hint="eastAsia" w:cs="宋体"/>
          <w:color w:val="000000"/>
          <w:highlight w:val="none"/>
        </w:rPr>
      </w:r>
      <w:r/>
    </w:p>
    <w:p>
      <w:pPr>
        <w:pStyle w:val="1347"/>
        <w:ind w:firstLine="420"/>
        <w:spacing w:before="0" w:line="240" w:lineRule="auto"/>
        <w:tabs>
          <w:tab w:val="left" w:pos="567" w:leader="none"/>
        </w:tabs>
        <w:rPr>
          <w:rFonts w:hint="eastAsia" w:cs="宋体"/>
          <w:color w:val="000000"/>
          <w:highlight w:val="none"/>
        </w:rPr>
      </w:pPr>
      <w:r>
        <w:rPr>
          <w:rFonts w:hint="eastAsia" w:cs="宋体"/>
          <w:color w:val="000000"/>
          <w:highlight w:val="none"/>
        </w:rPr>
        <w:t xml:space="preserve">5.6由于乙方原因造成质量及安全事故，其损失及费用全部由乙方承担，工期不顺延。</w:t>
      </w:r>
      <w:r>
        <w:rPr>
          <w:rFonts w:hint="eastAsia" w:cs="宋体"/>
          <w:color w:val="000000"/>
          <w:highlight w:val="none"/>
        </w:rPr>
      </w:r>
      <w:r/>
    </w:p>
    <w:p>
      <w:pPr>
        <w:pStyle w:val="1347"/>
        <w:ind w:firstLine="420"/>
        <w:spacing w:before="0" w:line="240" w:lineRule="auto"/>
        <w:tabs>
          <w:tab w:val="left" w:pos="567" w:leader="none"/>
        </w:tabs>
        <w:rPr>
          <w:rFonts w:hint="eastAsia" w:cs="宋体"/>
          <w:color w:val="000000"/>
          <w:highlight w:val="none"/>
        </w:rPr>
      </w:pPr>
      <w:r>
        <w:rPr>
          <w:rFonts w:hint="eastAsia" w:cs="宋体"/>
          <w:color w:val="000000"/>
          <w:highlight w:val="none"/>
        </w:rPr>
        <w:t xml:space="preserve">5.7工程竣工后，乙方应书面通知甲方验收，甲方自接到验收通知10个工作日内组织验收，验收合格后办理移交手续。如甲方在规定时间内未能组织验收，需及时通知乙方，另定验收日期。但甲方应承认竣工日期，并承担乙方的看管费用和相关费用。本工程质量目标为合格工程，如因乙方自身原因未能达到本工程合同约定的质量目标，乙方除无条件返工达到合格外另按合同价的2%承担违约金，并承担由此造成的一切损失。</w:t>
      </w:r>
      <w:r>
        <w:rPr>
          <w:rFonts w:hint="eastAsia" w:cs="宋体"/>
          <w:color w:val="000000"/>
          <w:highlight w:val="none"/>
        </w:rPr>
      </w:r>
      <w:r/>
    </w:p>
    <w:p>
      <w:pPr>
        <w:pStyle w:val="1347"/>
        <w:ind w:firstLine="420"/>
        <w:spacing w:before="0" w:line="240" w:lineRule="auto"/>
        <w:tabs>
          <w:tab w:val="left" w:pos="567" w:leader="none"/>
        </w:tabs>
        <w:rPr>
          <w:rFonts w:hint="eastAsia" w:cs="宋体"/>
          <w:color w:val="000000"/>
          <w:highlight w:val="none"/>
        </w:rPr>
        <w:outlineLvl w:val="2"/>
      </w:pPr>
      <w:r>
        <w:rPr>
          <w:rFonts w:hint="eastAsia" w:cs="宋体"/>
          <w:color w:val="000000"/>
          <w:highlight w:val="none"/>
        </w:rPr>
        <w:t xml:space="preserve">5.8未通过甲方验收的工程不能进行结算处理。 </w:t>
      </w:r>
      <w:r>
        <w:rPr>
          <w:rFonts w:hint="eastAsia" w:cs="宋体"/>
          <w:color w:val="000000"/>
          <w:highlight w:val="none"/>
        </w:rPr>
      </w:r>
      <w:r/>
    </w:p>
    <w:p>
      <w:pPr>
        <w:pStyle w:val="1347"/>
        <w:ind w:firstLine="420"/>
        <w:spacing w:before="0" w:line="240" w:lineRule="auto"/>
        <w:tabs>
          <w:tab w:val="left" w:pos="567" w:leader="none"/>
        </w:tabs>
        <w:rPr>
          <w:rFonts w:hint="eastAsia" w:cs="宋体"/>
          <w:color w:val="000000"/>
          <w:highlight w:val="none"/>
        </w:rPr>
      </w:pPr>
      <w:r>
        <w:rPr>
          <w:rFonts w:hint="eastAsia" w:cs="宋体"/>
          <w:color w:val="000000"/>
          <w:highlight w:val="none"/>
        </w:rPr>
        <w:t xml:space="preserve">5.9本工程质量保修期为竣工验收合格之日起2年，自验收合格之日起计算（其中苗木养护期为</w:t>
      </w:r>
      <w:r>
        <w:rPr>
          <w:rFonts w:cs="宋体"/>
          <w:color w:val="000000"/>
          <w:highlight w:val="none"/>
        </w:rPr>
        <w:t xml:space="preserve">1</w:t>
      </w:r>
      <w:r>
        <w:rPr>
          <w:rFonts w:hint="eastAsia" w:cs="宋体"/>
          <w:color w:val="000000"/>
          <w:highlight w:val="none"/>
        </w:rPr>
        <w:t xml:space="preserve">年）。质保期内，因材料、施工原因造成的质量问题由供应商负责无偿修复或更换。属于修复或更换范围和内容的项目，乙方应在接到甲方通知之日后3天内派人修复或更换。乙方不在约定期限内，派人修复或更换，甲方有权委托其他人员修复或更换，所产生费用从余款中扣除。</w:t>
      </w:r>
      <w:r>
        <w:rPr>
          <w:rFonts w:hint="eastAsia" w:cs="宋体"/>
          <w:color w:val="000000"/>
          <w:highlight w:val="none"/>
        </w:rPr>
      </w:r>
      <w:r/>
    </w:p>
    <w:p>
      <w:pPr>
        <w:pStyle w:val="1347"/>
        <w:spacing w:before="0" w:line="240" w:lineRule="auto"/>
        <w:tabs>
          <w:tab w:val="left" w:pos="567" w:leader="none"/>
        </w:tabs>
        <w:rPr>
          <w:rFonts w:hint="eastAsia" w:cs="宋体"/>
          <w:b/>
          <w:bCs/>
          <w:color w:val="000000"/>
          <w:highlight w:val="none"/>
        </w:rPr>
        <w:outlineLvl w:val="1"/>
      </w:pPr>
      <w:r>
        <w:rPr>
          <w:rFonts w:hint="eastAsia" w:cs="宋体"/>
          <w:b/>
          <w:bCs/>
          <w:color w:val="000000"/>
          <w:highlight w:val="none"/>
        </w:rPr>
        <w:t xml:space="preserve">第6条  关于合同价款计量、支付及结算的约定</w:t>
      </w:r>
      <w:r>
        <w:rPr>
          <w:rFonts w:hint="eastAsia" w:cs="宋体"/>
          <w:b/>
          <w:bCs/>
          <w:color w:val="000000"/>
          <w:highlight w:val="none"/>
        </w:rPr>
      </w:r>
      <w:r/>
    </w:p>
    <w:p>
      <w:pPr>
        <w:pStyle w:val="1347"/>
        <w:ind w:firstLine="420"/>
        <w:spacing w:before="0" w:line="240" w:lineRule="auto"/>
        <w:tabs>
          <w:tab w:val="left" w:pos="567" w:leader="none"/>
        </w:tabs>
        <w:rPr>
          <w:rFonts w:hint="eastAsia" w:cs="宋体"/>
          <w:color w:val="000000"/>
          <w:highlight w:val="none"/>
        </w:rPr>
      </w:pPr>
      <w:r>
        <w:rPr>
          <w:rFonts w:hint="eastAsia" w:cs="宋体"/>
          <w:color w:val="000000"/>
          <w:highlight w:val="none"/>
        </w:rPr>
        <w:t xml:space="preserve">6.1  双方商定本合同价款采用固定综合单价。合同中约定的风险范围：</w:t>
      </w:r>
      <w:r>
        <w:rPr>
          <w:rFonts w:hint="eastAsia" w:cs="宋体"/>
          <w:color w:val="000000"/>
          <w:highlight w:val="none"/>
        </w:rPr>
      </w:r>
      <w:r/>
    </w:p>
    <w:p>
      <w:pPr>
        <w:pStyle w:val="1347"/>
        <w:ind w:firstLine="420"/>
        <w:spacing w:before="0" w:line="240" w:lineRule="auto"/>
        <w:tabs>
          <w:tab w:val="left" w:pos="567" w:leader="none"/>
        </w:tabs>
        <w:rPr>
          <w:rFonts w:hint="eastAsia" w:cs="宋体"/>
          <w:color w:val="000000"/>
          <w:highlight w:val="none"/>
        </w:rPr>
      </w:pPr>
      <w:r>
        <w:rPr>
          <w:rFonts w:hint="eastAsia" w:cs="宋体"/>
          <w:color w:val="000000"/>
          <w:highlight w:val="none"/>
        </w:rPr>
        <w:t xml:space="preserve">①市场风险（包括材料价格的波动，采用新的验收标准）；</w:t>
      </w:r>
      <w:r>
        <w:rPr>
          <w:rFonts w:hint="eastAsia" w:cs="宋体"/>
          <w:color w:val="000000"/>
          <w:highlight w:val="none"/>
        </w:rPr>
      </w:r>
      <w:r/>
    </w:p>
    <w:p>
      <w:pPr>
        <w:pStyle w:val="1347"/>
        <w:ind w:firstLine="420"/>
        <w:spacing w:before="0" w:line="240" w:lineRule="auto"/>
        <w:tabs>
          <w:tab w:val="left" w:pos="567" w:leader="none"/>
        </w:tabs>
        <w:rPr>
          <w:rFonts w:hint="eastAsia" w:cs="宋体"/>
          <w:color w:val="000000"/>
          <w:highlight w:val="none"/>
        </w:rPr>
      </w:pPr>
      <w:r>
        <w:rPr>
          <w:rFonts w:hint="eastAsia" w:cs="宋体"/>
          <w:color w:val="000000"/>
          <w:highlight w:val="none"/>
        </w:rPr>
        <w:t xml:space="preserve">②分部分项工程和措施项目中的单价项目的综合单价（不随工程量的增减而调整，另有约定的除外）；</w:t>
      </w:r>
      <w:r>
        <w:rPr>
          <w:rFonts w:hint="eastAsia" w:cs="宋体"/>
          <w:color w:val="000000"/>
          <w:highlight w:val="none"/>
        </w:rPr>
      </w:r>
      <w:r/>
    </w:p>
    <w:p>
      <w:pPr>
        <w:pStyle w:val="1347"/>
        <w:ind w:firstLine="420"/>
        <w:spacing w:before="0" w:line="240" w:lineRule="auto"/>
        <w:tabs>
          <w:tab w:val="left" w:pos="567" w:leader="none"/>
        </w:tabs>
        <w:rPr>
          <w:rFonts w:hint="eastAsia" w:cs="宋体"/>
          <w:color w:val="000000"/>
          <w:highlight w:val="none"/>
        </w:rPr>
      </w:pPr>
      <w:r>
        <w:rPr>
          <w:rFonts w:hint="eastAsia" w:cs="宋体"/>
          <w:color w:val="000000"/>
          <w:highlight w:val="none"/>
        </w:rPr>
        <w:t xml:space="preserve">③乙方的投标施工方案；</w:t>
      </w:r>
      <w:r>
        <w:rPr>
          <w:rFonts w:hint="eastAsia" w:cs="宋体"/>
          <w:color w:val="000000"/>
          <w:highlight w:val="none"/>
        </w:rPr>
      </w:r>
      <w:r/>
    </w:p>
    <w:p>
      <w:pPr>
        <w:pStyle w:val="1347"/>
        <w:ind w:firstLine="420"/>
        <w:spacing w:before="0" w:line="240" w:lineRule="auto"/>
        <w:tabs>
          <w:tab w:val="left" w:pos="567" w:leader="none"/>
        </w:tabs>
        <w:rPr>
          <w:rFonts w:hint="eastAsia" w:cs="宋体"/>
          <w:color w:val="000000"/>
          <w:highlight w:val="none"/>
        </w:rPr>
      </w:pPr>
      <w:r>
        <w:rPr>
          <w:rFonts w:hint="eastAsia" w:cs="宋体"/>
          <w:color w:val="000000"/>
          <w:highlight w:val="none"/>
        </w:rPr>
        <w:t xml:space="preserve">④经踏勘后的现场条件；</w:t>
      </w:r>
      <w:r>
        <w:rPr>
          <w:rFonts w:hint="eastAsia" w:cs="宋体"/>
          <w:color w:val="000000"/>
          <w:highlight w:val="none"/>
        </w:rPr>
      </w:r>
      <w:r/>
    </w:p>
    <w:p>
      <w:pPr>
        <w:pStyle w:val="1347"/>
        <w:ind w:firstLine="420"/>
        <w:spacing w:before="0" w:line="240" w:lineRule="auto"/>
        <w:tabs>
          <w:tab w:val="left" w:pos="567" w:leader="none"/>
        </w:tabs>
        <w:rPr>
          <w:rFonts w:hint="eastAsia" w:cs="宋体"/>
          <w:color w:val="000000"/>
          <w:highlight w:val="none"/>
        </w:rPr>
      </w:pPr>
      <w:r>
        <w:rPr>
          <w:rFonts w:hint="eastAsia" w:cs="宋体"/>
          <w:color w:val="000000"/>
          <w:highlight w:val="none"/>
        </w:rPr>
        <w:t xml:space="preserve">⑤本工程要求全封闭施工。乙方已仔细勘察现场，合同价已包含全封闭施工需要的围挡等相关所有措施费用，结算时不另行支付。围挡形式、材料及稳固性应满足各方面要求；</w:t>
      </w:r>
      <w:r>
        <w:rPr>
          <w:rFonts w:hint="eastAsia" w:cs="宋体"/>
          <w:color w:val="000000"/>
          <w:highlight w:val="none"/>
        </w:rPr>
      </w:r>
      <w:r/>
    </w:p>
    <w:p>
      <w:pPr>
        <w:pStyle w:val="1347"/>
        <w:ind w:firstLine="420"/>
        <w:spacing w:before="0" w:line="240" w:lineRule="auto"/>
        <w:tabs>
          <w:tab w:val="left" w:pos="567" w:leader="none"/>
        </w:tabs>
        <w:rPr>
          <w:rFonts w:hint="eastAsia" w:cs="宋体"/>
          <w:color w:val="000000"/>
          <w:highlight w:val="none"/>
        </w:rPr>
      </w:pPr>
      <w:r>
        <w:rPr>
          <w:rFonts w:hint="eastAsia" w:cs="宋体"/>
          <w:color w:val="000000"/>
          <w:highlight w:val="none"/>
        </w:rPr>
        <w:t xml:space="preserve">⑥乙方已将石材的开采，加工，运输，切割，磨边，倒角，抽槽，铺贴及六面防渗、防腐处理、异形损耗等一切费用包含在饰面的综合单价中。</w:t>
      </w:r>
      <w:r>
        <w:rPr>
          <w:rFonts w:hint="eastAsia" w:cs="宋体"/>
          <w:color w:val="000000"/>
          <w:highlight w:val="none"/>
        </w:rPr>
      </w:r>
      <w:r/>
    </w:p>
    <w:p>
      <w:pPr>
        <w:pStyle w:val="1347"/>
        <w:ind w:firstLine="420"/>
        <w:spacing w:before="0" w:line="240" w:lineRule="auto"/>
        <w:tabs>
          <w:tab w:val="left" w:pos="567" w:leader="none"/>
        </w:tabs>
        <w:rPr>
          <w:rFonts w:hint="eastAsia" w:cs="宋体"/>
          <w:color w:val="000000"/>
          <w:highlight w:val="none"/>
        </w:rPr>
      </w:pPr>
      <w:r>
        <w:rPr>
          <w:rFonts w:hint="eastAsia" w:cs="宋体"/>
          <w:color w:val="000000"/>
          <w:highlight w:val="none"/>
        </w:rPr>
        <w:t xml:space="preserve">⑦施工现场如发生二次及多次搬运等费用，乙方已将该费用包含在合同价内。水电安装部分的拆除、清理、外运等费用，乙方已综合考虑在合同价中，结算时不再调整。</w:t>
      </w:r>
      <w:r>
        <w:rPr>
          <w:rFonts w:hint="eastAsia" w:cs="宋体"/>
          <w:color w:val="000000"/>
          <w:highlight w:val="none"/>
        </w:rPr>
      </w:r>
      <w:r/>
    </w:p>
    <w:p>
      <w:pPr>
        <w:pStyle w:val="1347"/>
        <w:ind w:firstLine="420"/>
        <w:spacing w:before="0" w:line="240" w:lineRule="auto"/>
        <w:tabs>
          <w:tab w:val="left" w:pos="567" w:leader="none"/>
        </w:tabs>
        <w:rPr>
          <w:rFonts w:hint="eastAsia" w:cs="宋体"/>
          <w:color w:val="000000"/>
          <w:highlight w:val="none"/>
        </w:rPr>
      </w:pPr>
      <w:r>
        <w:rPr>
          <w:rFonts w:hint="eastAsia" w:cs="宋体"/>
          <w:color w:val="000000"/>
          <w:highlight w:val="none"/>
        </w:rPr>
        <w:t xml:space="preserve">⑧其余详见本工程工程量清单（含清单编制说明）的要求。</w:t>
      </w:r>
      <w:r>
        <w:rPr>
          <w:rFonts w:hint="eastAsia" w:cs="宋体"/>
          <w:color w:val="000000"/>
          <w:highlight w:val="none"/>
        </w:rPr>
      </w:r>
      <w:r/>
    </w:p>
    <w:p>
      <w:pPr>
        <w:pStyle w:val="1347"/>
        <w:ind w:firstLine="420"/>
        <w:spacing w:before="0" w:line="240" w:lineRule="auto"/>
        <w:tabs>
          <w:tab w:val="left" w:pos="567" w:leader="none"/>
        </w:tabs>
        <w:rPr>
          <w:rFonts w:hint="eastAsia" w:cs="宋体"/>
          <w:color w:val="000000"/>
          <w:highlight w:val="none"/>
        </w:rPr>
      </w:pPr>
      <w:r>
        <w:rPr>
          <w:rFonts w:hint="eastAsia" w:cs="宋体"/>
          <w:color w:val="000000"/>
          <w:highlight w:val="none"/>
        </w:rPr>
        <w:t xml:space="preserve">（2）风险费用的计算方法：</w:t>
      </w:r>
      <w:r>
        <w:rPr>
          <w:rFonts w:hint="eastAsia" w:cs="宋体"/>
          <w:color w:val="000000"/>
          <w:highlight w:val="none"/>
        </w:rPr>
      </w:r>
      <w:r/>
    </w:p>
    <w:p>
      <w:pPr>
        <w:pStyle w:val="1347"/>
        <w:ind w:firstLine="420"/>
        <w:spacing w:before="0" w:line="240" w:lineRule="auto"/>
        <w:tabs>
          <w:tab w:val="left" w:pos="567" w:leader="none"/>
        </w:tabs>
        <w:rPr>
          <w:rFonts w:hint="eastAsia" w:cs="宋体"/>
          <w:color w:val="000000"/>
          <w:highlight w:val="none"/>
        </w:rPr>
      </w:pPr>
      <w:r>
        <w:rPr>
          <w:rFonts w:hint="eastAsia" w:cs="宋体"/>
          <w:color w:val="000000"/>
          <w:highlight w:val="none"/>
        </w:rPr>
        <w:t xml:space="preserve">综合考虑在投标综合单价内，在合同约定风险范围内不作调整。</w:t>
      </w:r>
      <w:r>
        <w:rPr>
          <w:rFonts w:hint="eastAsia" w:cs="宋体"/>
          <w:color w:val="000000"/>
          <w:highlight w:val="none"/>
        </w:rPr>
      </w:r>
      <w:r/>
    </w:p>
    <w:p>
      <w:pPr>
        <w:pStyle w:val="1347"/>
        <w:ind w:firstLine="420"/>
        <w:spacing w:before="0" w:line="240" w:lineRule="auto"/>
        <w:tabs>
          <w:tab w:val="left" w:pos="567" w:leader="none"/>
        </w:tabs>
        <w:rPr>
          <w:rFonts w:hint="eastAsia" w:cs="宋体"/>
          <w:color w:val="000000"/>
          <w:highlight w:val="none"/>
        </w:rPr>
      </w:pPr>
      <w:r>
        <w:rPr>
          <w:rFonts w:hint="eastAsia" w:cs="宋体"/>
          <w:color w:val="000000"/>
          <w:highlight w:val="none"/>
        </w:rPr>
        <w:t xml:space="preserve">风险范围以外合同价款调整方法：</w:t>
      </w:r>
      <w:r>
        <w:rPr>
          <w:rFonts w:hint="eastAsia" w:cs="宋体"/>
          <w:color w:val="000000"/>
          <w:highlight w:val="none"/>
        </w:rPr>
      </w:r>
      <w:r/>
    </w:p>
    <w:p>
      <w:pPr>
        <w:pStyle w:val="1347"/>
        <w:ind w:firstLine="420"/>
        <w:spacing w:before="0" w:line="240" w:lineRule="auto"/>
        <w:tabs>
          <w:tab w:val="left" w:pos="567" w:leader="none"/>
        </w:tabs>
        <w:rPr>
          <w:rFonts w:hint="eastAsia" w:cs="宋体"/>
          <w:color w:val="000000"/>
          <w:highlight w:val="none"/>
        </w:rPr>
      </w:pPr>
      <w:r>
        <w:rPr>
          <w:rFonts w:hint="eastAsia" w:cs="宋体"/>
          <w:color w:val="000000"/>
          <w:highlight w:val="none"/>
        </w:rPr>
        <w:t xml:space="preserve">（一）本工程工程量按实结算。工程量须以乙方完成的合同工程应予计量的工程量为准。所有材料（含苗木，下同）使用前，须经建设单位、监理单位及设计单位确认，材质须满足设计要求。</w:t>
      </w:r>
      <w:r>
        <w:rPr>
          <w:rFonts w:hint="eastAsia" w:cs="宋体"/>
          <w:color w:val="000000"/>
          <w:highlight w:val="none"/>
        </w:rPr>
      </w:r>
      <w:r/>
    </w:p>
    <w:p>
      <w:pPr>
        <w:pStyle w:val="1347"/>
        <w:ind w:firstLine="420"/>
        <w:spacing w:before="0" w:line="240" w:lineRule="auto"/>
        <w:tabs>
          <w:tab w:val="left" w:pos="567" w:leader="none"/>
        </w:tabs>
        <w:rPr>
          <w:rFonts w:hint="eastAsia" w:cs="宋体"/>
          <w:color w:val="000000"/>
          <w:highlight w:val="none"/>
        </w:rPr>
      </w:pPr>
      <w:r>
        <w:rPr>
          <w:rFonts w:hint="eastAsia" w:cs="宋体"/>
          <w:color w:val="000000"/>
          <w:highlight w:val="none"/>
        </w:rPr>
        <w:t xml:space="preserve">（二）分部分项工程费和措施项目中的单价措施项目费应根据承、发包双方确认的工程量、乙方的投标综合单价计算。</w:t>
      </w:r>
      <w:r>
        <w:rPr>
          <w:rFonts w:hint="eastAsia" w:cs="宋体"/>
          <w:color w:val="000000"/>
          <w:highlight w:val="none"/>
        </w:rPr>
      </w:r>
      <w:r/>
    </w:p>
    <w:p>
      <w:pPr>
        <w:pStyle w:val="1347"/>
        <w:ind w:firstLine="420"/>
        <w:spacing w:before="0" w:line="240" w:lineRule="auto"/>
        <w:tabs>
          <w:tab w:val="left" w:pos="567" w:leader="none"/>
        </w:tabs>
        <w:rPr>
          <w:rFonts w:hint="eastAsia" w:cs="宋体"/>
          <w:color w:val="000000"/>
          <w:highlight w:val="none"/>
        </w:rPr>
      </w:pPr>
      <w:r>
        <w:rPr>
          <w:rFonts w:hint="eastAsia" w:cs="宋体"/>
          <w:color w:val="000000"/>
          <w:highlight w:val="none"/>
        </w:rPr>
        <w:t xml:space="preserve">1、合同执行期间，如遇文件规定的人工费调整，人工单价按照施工期间对应的人工工资指导价进行调整，并扣除原投标报价中人工单价相对于基准日人工工资指导价（编制招标控制价时的人工工资指导价按现行文件执行）的让利部分。</w:t>
      </w:r>
      <w:r>
        <w:rPr>
          <w:rFonts w:hint="eastAsia" w:cs="宋体"/>
          <w:color w:val="000000"/>
          <w:highlight w:val="none"/>
        </w:rPr>
      </w:r>
      <w:r/>
    </w:p>
    <w:p>
      <w:pPr>
        <w:pStyle w:val="1347"/>
        <w:ind w:firstLine="420"/>
        <w:spacing w:before="0" w:line="240" w:lineRule="auto"/>
        <w:tabs>
          <w:tab w:val="left" w:pos="567" w:leader="none"/>
        </w:tabs>
        <w:rPr>
          <w:rFonts w:hint="eastAsia" w:cs="宋体"/>
          <w:color w:val="000000"/>
          <w:highlight w:val="none"/>
        </w:rPr>
      </w:pPr>
      <w:r>
        <w:rPr>
          <w:rFonts w:hint="eastAsia" w:cs="宋体"/>
          <w:color w:val="000000"/>
          <w:highlight w:val="none"/>
        </w:rPr>
        <w:t xml:space="preserve">2、由于本工程工期短，所有材料价格按投标报价不予调整。</w:t>
      </w:r>
      <w:r>
        <w:rPr>
          <w:rFonts w:hint="eastAsia" w:cs="宋体"/>
          <w:color w:val="000000"/>
          <w:highlight w:val="none"/>
        </w:rPr>
      </w:r>
      <w:r/>
    </w:p>
    <w:p>
      <w:pPr>
        <w:pStyle w:val="1347"/>
        <w:ind w:firstLine="420"/>
        <w:spacing w:before="0" w:line="240" w:lineRule="auto"/>
        <w:tabs>
          <w:tab w:val="left" w:pos="567" w:leader="none"/>
        </w:tabs>
        <w:rPr>
          <w:rFonts w:hint="eastAsia" w:cs="宋体"/>
          <w:color w:val="000000"/>
          <w:highlight w:val="none"/>
        </w:rPr>
      </w:pPr>
      <w:r>
        <w:rPr>
          <w:rFonts w:hint="eastAsia" w:cs="宋体"/>
          <w:color w:val="000000"/>
          <w:highlight w:val="none"/>
        </w:rPr>
        <w:t xml:space="preserve">3、管理费、利润费率按投标费率进行计算。</w:t>
      </w:r>
      <w:r>
        <w:rPr>
          <w:rFonts w:hint="eastAsia" w:cs="宋体"/>
          <w:color w:val="000000"/>
          <w:highlight w:val="none"/>
        </w:rPr>
      </w:r>
      <w:r/>
    </w:p>
    <w:p>
      <w:pPr>
        <w:pStyle w:val="1347"/>
        <w:ind w:firstLine="420"/>
        <w:spacing w:before="0" w:line="240" w:lineRule="auto"/>
        <w:tabs>
          <w:tab w:val="left" w:pos="567" w:leader="none"/>
        </w:tabs>
        <w:rPr>
          <w:rFonts w:hint="eastAsia" w:cs="宋体"/>
          <w:color w:val="000000"/>
          <w:highlight w:val="none"/>
        </w:rPr>
      </w:pPr>
      <w:r>
        <w:rPr>
          <w:rFonts w:hint="eastAsia" w:cs="宋体"/>
          <w:color w:val="000000"/>
          <w:highlight w:val="none"/>
        </w:rPr>
        <w:t xml:space="preserve">（三）措施项目中的总价措施项目费</w:t>
      </w:r>
      <w:r>
        <w:rPr>
          <w:rFonts w:hint="eastAsia" w:cs="宋体"/>
          <w:color w:val="000000"/>
          <w:highlight w:val="none"/>
        </w:rPr>
      </w:r>
      <w:r/>
    </w:p>
    <w:p>
      <w:pPr>
        <w:pStyle w:val="1347"/>
        <w:ind w:firstLine="420"/>
        <w:spacing w:before="0" w:line="240" w:lineRule="auto"/>
        <w:tabs>
          <w:tab w:val="left" w:pos="567" w:leader="none"/>
        </w:tabs>
        <w:rPr>
          <w:rFonts w:hint="eastAsia" w:cs="宋体"/>
          <w:color w:val="000000"/>
          <w:highlight w:val="none"/>
        </w:rPr>
      </w:pPr>
      <w:r>
        <w:rPr>
          <w:rFonts w:hint="eastAsia" w:cs="宋体"/>
          <w:color w:val="000000"/>
          <w:highlight w:val="none"/>
        </w:rPr>
        <w:t xml:space="preserve">安全文明施工措施费按常建[2019]1 号文规定计取。其他总价措施费项目，以费率报价的按投标所报费率计算，以费用报价的，按投标时口径折算成费率调整。</w:t>
      </w:r>
      <w:r>
        <w:rPr>
          <w:rFonts w:hint="eastAsia" w:cs="宋体"/>
          <w:color w:val="000000"/>
          <w:highlight w:val="none"/>
        </w:rPr>
      </w:r>
      <w:r/>
    </w:p>
    <w:p>
      <w:pPr>
        <w:pStyle w:val="1347"/>
        <w:ind w:firstLine="420"/>
        <w:spacing w:before="0" w:line="240" w:lineRule="auto"/>
        <w:tabs>
          <w:tab w:val="left" w:pos="567" w:leader="none"/>
        </w:tabs>
        <w:rPr>
          <w:rFonts w:hint="eastAsia" w:cs="宋体"/>
          <w:color w:val="000000"/>
          <w:highlight w:val="none"/>
        </w:rPr>
      </w:pPr>
      <w:r>
        <w:rPr>
          <w:rFonts w:hint="eastAsia" w:cs="宋体"/>
          <w:color w:val="000000"/>
          <w:highlight w:val="none"/>
        </w:rPr>
        <w:t xml:space="preserve">（四）其它项目费用应按下列规定计算：</w:t>
      </w:r>
      <w:r>
        <w:rPr>
          <w:rFonts w:hint="eastAsia" w:cs="宋体"/>
          <w:color w:val="000000"/>
          <w:highlight w:val="none"/>
        </w:rPr>
      </w:r>
      <w:r/>
    </w:p>
    <w:p>
      <w:pPr>
        <w:pStyle w:val="1347"/>
        <w:ind w:firstLine="420"/>
        <w:spacing w:before="0" w:line="240" w:lineRule="auto"/>
        <w:tabs>
          <w:tab w:val="left" w:pos="567" w:leader="none"/>
        </w:tabs>
        <w:rPr>
          <w:rFonts w:hint="eastAsia" w:cs="宋体"/>
          <w:color w:val="000000"/>
          <w:highlight w:val="none"/>
        </w:rPr>
      </w:pPr>
      <w:r>
        <w:rPr>
          <w:rFonts w:hint="eastAsia" w:cs="宋体"/>
          <w:color w:val="000000"/>
          <w:highlight w:val="none"/>
        </w:rPr>
        <w:t xml:space="preserve">(1）计日工应按甲方实际签证确认的事项计算；</w:t>
      </w:r>
      <w:r>
        <w:rPr>
          <w:rFonts w:hint="eastAsia" w:cs="宋体"/>
          <w:color w:val="000000"/>
          <w:highlight w:val="none"/>
        </w:rPr>
      </w:r>
      <w:r/>
    </w:p>
    <w:p>
      <w:pPr>
        <w:pStyle w:val="1347"/>
        <w:ind w:firstLine="420"/>
        <w:spacing w:before="0" w:line="240" w:lineRule="auto"/>
        <w:tabs>
          <w:tab w:val="left" w:pos="567" w:leader="none"/>
        </w:tabs>
        <w:rPr>
          <w:rFonts w:hint="eastAsia" w:cs="宋体"/>
          <w:color w:val="000000"/>
          <w:highlight w:val="none"/>
        </w:rPr>
      </w:pPr>
      <w:r>
        <w:rPr>
          <w:rFonts w:hint="eastAsia" w:cs="宋体"/>
          <w:color w:val="000000"/>
          <w:highlight w:val="none"/>
        </w:rPr>
        <w:t xml:space="preserve">(2）暂估价中的材料单价应按承发包双方最终确认价在综合单价中调整；暂估价中的项目暂估价按承发包双方最终确认价调整；暂估价材料及变更增加材料，如未经甲方审核而乙方擅自采购并使用的，结算时甲方不予结算；</w:t>
      </w:r>
      <w:r>
        <w:rPr>
          <w:rFonts w:hint="eastAsia" w:cs="宋体"/>
          <w:color w:val="000000"/>
          <w:highlight w:val="none"/>
        </w:rPr>
      </w:r>
      <w:r/>
    </w:p>
    <w:p>
      <w:pPr>
        <w:pStyle w:val="1347"/>
        <w:ind w:firstLine="420"/>
        <w:spacing w:before="0" w:line="240" w:lineRule="auto"/>
        <w:tabs>
          <w:tab w:val="left" w:pos="567" w:leader="none"/>
        </w:tabs>
        <w:rPr>
          <w:rFonts w:hint="eastAsia" w:cs="宋体"/>
          <w:color w:val="000000"/>
          <w:highlight w:val="none"/>
        </w:rPr>
      </w:pPr>
      <w:r>
        <w:rPr>
          <w:rFonts w:hint="eastAsia" w:cs="宋体"/>
          <w:color w:val="000000"/>
          <w:highlight w:val="none"/>
        </w:rPr>
        <w:t xml:space="preserve">(3）总承包服务费不计；</w:t>
      </w:r>
      <w:r>
        <w:rPr>
          <w:rFonts w:hint="eastAsia" w:cs="宋体"/>
          <w:color w:val="000000"/>
          <w:highlight w:val="none"/>
        </w:rPr>
      </w:r>
      <w:r/>
    </w:p>
    <w:p>
      <w:pPr>
        <w:pStyle w:val="1347"/>
        <w:ind w:firstLine="420"/>
        <w:spacing w:before="0" w:line="240" w:lineRule="auto"/>
        <w:tabs>
          <w:tab w:val="left" w:pos="567" w:leader="none"/>
        </w:tabs>
        <w:rPr>
          <w:rFonts w:hint="eastAsia" w:cs="宋体"/>
          <w:color w:val="000000"/>
          <w:highlight w:val="none"/>
        </w:rPr>
      </w:pPr>
      <w:r>
        <w:rPr>
          <w:rFonts w:hint="eastAsia" w:cs="宋体"/>
          <w:color w:val="000000"/>
          <w:highlight w:val="none"/>
        </w:rPr>
        <w:t xml:space="preserve">(4）索赔费用应依据承发包双方确认的索赔事项和金额计算；</w:t>
      </w:r>
      <w:r>
        <w:rPr>
          <w:rFonts w:hint="eastAsia" w:cs="宋体"/>
          <w:color w:val="000000"/>
          <w:highlight w:val="none"/>
        </w:rPr>
      </w:r>
      <w:r/>
    </w:p>
    <w:p>
      <w:pPr>
        <w:pStyle w:val="1347"/>
        <w:ind w:firstLine="420"/>
        <w:spacing w:before="0" w:line="240" w:lineRule="auto"/>
        <w:tabs>
          <w:tab w:val="left" w:pos="567" w:leader="none"/>
        </w:tabs>
        <w:rPr>
          <w:rFonts w:hint="eastAsia" w:cs="宋体"/>
          <w:color w:val="000000"/>
          <w:highlight w:val="none"/>
        </w:rPr>
      </w:pPr>
      <w:r>
        <w:rPr>
          <w:rFonts w:hint="eastAsia" w:cs="宋体"/>
          <w:color w:val="000000"/>
          <w:highlight w:val="none"/>
        </w:rPr>
        <w:t xml:space="preserve">(5）现场签证费用应依据承发包双方签证资料确认的金额计算。</w:t>
      </w:r>
      <w:r>
        <w:rPr>
          <w:rFonts w:hint="eastAsia" w:cs="宋体"/>
          <w:color w:val="000000"/>
          <w:highlight w:val="none"/>
        </w:rPr>
      </w:r>
      <w:r/>
    </w:p>
    <w:p>
      <w:pPr>
        <w:pStyle w:val="1347"/>
        <w:ind w:firstLine="420"/>
        <w:spacing w:before="0" w:line="240" w:lineRule="auto"/>
        <w:tabs>
          <w:tab w:val="left" w:pos="567" w:leader="none"/>
        </w:tabs>
        <w:rPr>
          <w:rFonts w:hint="eastAsia" w:cs="宋体"/>
          <w:color w:val="000000"/>
          <w:highlight w:val="none"/>
        </w:rPr>
      </w:pPr>
      <w:r>
        <w:rPr>
          <w:rFonts w:hint="eastAsia" w:cs="宋体"/>
          <w:color w:val="000000"/>
          <w:highlight w:val="none"/>
        </w:rPr>
        <w:t xml:space="preserve">（五）规费和税金应按国家或省级、行业建设主管部门的规定计算。</w:t>
      </w:r>
      <w:r>
        <w:rPr>
          <w:rFonts w:hint="eastAsia" w:cs="宋体"/>
          <w:color w:val="000000"/>
          <w:highlight w:val="none"/>
        </w:rPr>
      </w:r>
      <w:r/>
    </w:p>
    <w:p>
      <w:pPr>
        <w:pStyle w:val="1347"/>
        <w:ind w:firstLine="420"/>
        <w:spacing w:before="0" w:line="240" w:lineRule="auto"/>
        <w:tabs>
          <w:tab w:val="left" w:pos="567" w:leader="none"/>
        </w:tabs>
        <w:rPr>
          <w:rFonts w:hint="eastAsia" w:cs="宋体"/>
          <w:color w:val="000000"/>
          <w:highlight w:val="none"/>
        </w:rPr>
      </w:pPr>
      <w:r>
        <w:rPr>
          <w:rFonts w:hint="eastAsia" w:cs="宋体"/>
          <w:color w:val="000000"/>
          <w:highlight w:val="none"/>
        </w:rPr>
        <w:t xml:space="preserve">（六）工程量清单中漏项、新增或变更项目（含材料）引起的分部分项工程综合单价结算原则为：</w:t>
      </w:r>
      <w:r>
        <w:rPr>
          <w:rFonts w:hint="eastAsia" w:cs="宋体"/>
          <w:color w:val="000000"/>
          <w:highlight w:val="none"/>
        </w:rPr>
      </w:r>
      <w:r/>
    </w:p>
    <w:p>
      <w:pPr>
        <w:pStyle w:val="1347"/>
        <w:ind w:firstLine="420"/>
        <w:spacing w:before="0" w:line="240" w:lineRule="auto"/>
        <w:tabs>
          <w:tab w:val="left" w:pos="567" w:leader="none"/>
        </w:tabs>
        <w:rPr>
          <w:rFonts w:hint="eastAsia" w:cs="宋体"/>
          <w:color w:val="000000"/>
          <w:highlight w:val="none"/>
        </w:rPr>
      </w:pPr>
      <w:r>
        <w:rPr>
          <w:rFonts w:hint="eastAsia" w:cs="宋体"/>
          <w:color w:val="000000"/>
          <w:highlight w:val="none"/>
        </w:rPr>
        <w:t xml:space="preserve">①合同中已有适用的综合单价，按合同中已有的综合单价确定；②合同中有类似的综合单价，参照类似的综合单价确定；③合同中没有适用或类似的综合单价，由乙方依据《建设工程工程量清单计价规范》（GB50500-2013）、《江苏省建筑与装饰工程计价定额》（2014 版）、2014 《江苏省建设工程费用</w:t>
      </w:r>
      <w:r>
        <w:rPr>
          <w:rFonts w:hint="eastAsia" w:cs="宋体"/>
          <w:color w:val="000000"/>
          <w:highlight w:val="none"/>
        </w:rPr>
        <w:t xml:space="preserve">定额》等计价规范及文件规定按本项目招标控制价同口径编制综合单价，其中材料价格按招标控制价编制月份信息指导价除税价根据招标控制价同口径下浮（信息价中没有的材料，价格的确定按照暂定价材料价格的确定方式确定）；根据上述要求编制综合单价并按本工程[项目各单位工程投标报价-（材料暂估价及其相关取费+专业工程暂估价及其相关取费+暂列金额及其相关取费）]/[项目各单位工程招标控制价-（材料暂估价及其相关取费+专业工程暂估价及其相关取费+暂列金额及其相关取费）]同比例优惠让利后，经监理、跟踪审计以及甲方审定后作为结算依据。</w:t>
      </w:r>
      <w:r>
        <w:rPr>
          <w:rFonts w:hint="eastAsia" w:cs="宋体"/>
          <w:color w:val="000000"/>
          <w:highlight w:val="none"/>
        </w:rPr>
      </w:r>
      <w:r/>
    </w:p>
    <w:p>
      <w:pPr>
        <w:pStyle w:val="1347"/>
        <w:ind w:firstLine="420"/>
        <w:spacing w:before="0" w:line="240" w:lineRule="auto"/>
        <w:tabs>
          <w:tab w:val="left" w:pos="567" w:leader="none"/>
        </w:tabs>
        <w:rPr>
          <w:rFonts w:hint="eastAsia" w:cs="宋体"/>
          <w:color w:val="000000"/>
          <w:highlight w:val="none"/>
        </w:rPr>
      </w:pPr>
      <w:r>
        <w:rPr>
          <w:rFonts w:hint="eastAsia" w:cs="宋体"/>
          <w:color w:val="000000"/>
          <w:highlight w:val="none"/>
        </w:rPr>
        <w:t xml:space="preserve">（七）因工程变更造成施工方案变更，引起措施项目发生变化时，单价措施项目变更原则同分部分项工程；总价措施项目中以费率报价的，费率不变；总价项目中以费用报价的，按投标时口径折算成费率调整；原措施费中没有的措施项目，由乙方提出适当的措施费变更要求，经监理、跟踪审计以及甲方签证后进行结算，除工程变更引起施工方案改变外，乙方不得以招标工程措施项目清单缺项为由要求新增措施项目。</w:t>
      </w:r>
      <w:r>
        <w:rPr>
          <w:rFonts w:hint="eastAsia" w:cs="宋体"/>
          <w:color w:val="000000"/>
          <w:highlight w:val="none"/>
        </w:rPr>
      </w:r>
      <w:r/>
    </w:p>
    <w:p>
      <w:pPr>
        <w:pStyle w:val="1347"/>
        <w:ind w:firstLine="420"/>
        <w:spacing w:before="0" w:line="240" w:lineRule="auto"/>
        <w:tabs>
          <w:tab w:val="left" w:pos="567" w:leader="none"/>
        </w:tabs>
        <w:rPr>
          <w:rFonts w:hint="eastAsia" w:cs="宋体"/>
          <w:color w:val="000000"/>
          <w:highlight w:val="none"/>
        </w:rPr>
      </w:pPr>
      <w:r>
        <w:rPr>
          <w:rFonts w:hint="eastAsia" w:cs="宋体"/>
          <w:color w:val="000000"/>
          <w:highlight w:val="none"/>
        </w:rPr>
        <w:t xml:space="preserve">（八）所有涉及工程结算的签证单上必须有乙方（项目组）、监理工程师、跟踪审计、甲方四方的签字和盖章，方可作为竣工结算的依据，签证单上必须明确签证的原因、位置、尺寸、数量、材料、人工、机械台班、价格和签证时间，须附有综合单价分析。</w:t>
      </w:r>
      <w:r>
        <w:rPr>
          <w:rFonts w:hint="eastAsia" w:cs="宋体"/>
          <w:color w:val="000000"/>
          <w:highlight w:val="none"/>
        </w:rPr>
      </w:r>
      <w:r/>
    </w:p>
    <w:p>
      <w:pPr>
        <w:pStyle w:val="1347"/>
        <w:ind w:firstLine="420"/>
        <w:spacing w:before="0" w:line="240" w:lineRule="auto"/>
        <w:tabs>
          <w:tab w:val="left" w:pos="567" w:leader="none"/>
        </w:tabs>
        <w:rPr>
          <w:rFonts w:hint="eastAsia" w:cs="宋体"/>
          <w:color w:val="000000"/>
          <w:highlight w:val="none"/>
        </w:rPr>
      </w:pPr>
      <w:r>
        <w:rPr>
          <w:rFonts w:hint="eastAsia" w:cs="宋体"/>
          <w:color w:val="000000"/>
          <w:highlight w:val="none"/>
        </w:rPr>
        <w:t xml:space="preserve">（九）施工中乙方不得擅自对原工程设计进行变更，必须经甲方同意并办理了相关的签字、盖章手续后方可生效。因乙方擅自变更设计发生的费用和由此导致甲方的损失，由乙方承担，延误的工期不予顺延。</w:t>
      </w:r>
      <w:r>
        <w:rPr>
          <w:rFonts w:hint="eastAsia" w:cs="宋体"/>
          <w:color w:val="000000"/>
          <w:highlight w:val="none"/>
        </w:rPr>
      </w:r>
      <w:r/>
    </w:p>
    <w:p>
      <w:pPr>
        <w:pStyle w:val="1347"/>
        <w:ind w:firstLine="420"/>
        <w:spacing w:before="0" w:line="240" w:lineRule="auto"/>
        <w:tabs>
          <w:tab w:val="left" w:pos="567" w:leader="none"/>
        </w:tabs>
        <w:rPr>
          <w:rFonts w:hint="eastAsia" w:cs="宋体"/>
          <w:color w:val="000000"/>
          <w:highlight w:val="none"/>
        </w:rPr>
      </w:pPr>
      <w:r>
        <w:rPr>
          <w:rFonts w:hint="eastAsia" w:cs="宋体"/>
          <w:color w:val="000000"/>
          <w:highlight w:val="none"/>
        </w:rPr>
        <w:t xml:space="preserve">（十）法律、法规、规章规定的政策性调整，按文件规定调整。</w:t>
      </w:r>
      <w:r>
        <w:rPr>
          <w:rFonts w:hint="eastAsia" w:cs="宋体"/>
          <w:color w:val="000000"/>
          <w:highlight w:val="none"/>
        </w:rPr>
      </w:r>
      <w:r/>
    </w:p>
    <w:p>
      <w:pPr>
        <w:pStyle w:val="1347"/>
        <w:ind w:firstLine="420"/>
        <w:spacing w:before="0" w:line="240" w:lineRule="auto"/>
        <w:tabs>
          <w:tab w:val="left" w:pos="567" w:leader="none"/>
        </w:tabs>
        <w:rPr>
          <w:rFonts w:hint="eastAsia" w:cs="宋体"/>
          <w:color w:val="000000"/>
          <w:highlight w:val="none"/>
        </w:rPr>
      </w:pPr>
      <w:r>
        <w:rPr>
          <w:rFonts w:hint="eastAsia" w:cs="宋体"/>
          <w:color w:val="000000"/>
          <w:highlight w:val="none"/>
        </w:rPr>
        <w:t xml:space="preserve">6.2 计量</w:t>
      </w:r>
      <w:r>
        <w:rPr>
          <w:rFonts w:hint="eastAsia" w:cs="宋体"/>
          <w:color w:val="000000"/>
          <w:highlight w:val="none"/>
        </w:rPr>
      </w:r>
      <w:r/>
    </w:p>
    <w:p>
      <w:pPr>
        <w:pStyle w:val="1347"/>
        <w:ind w:firstLine="420"/>
        <w:spacing w:before="0" w:line="240" w:lineRule="auto"/>
        <w:tabs>
          <w:tab w:val="left" w:pos="567" w:leader="none"/>
        </w:tabs>
        <w:rPr>
          <w:rFonts w:hint="eastAsia" w:cs="宋体"/>
          <w:color w:val="000000"/>
          <w:highlight w:val="none"/>
        </w:rPr>
      </w:pPr>
      <w:r>
        <w:rPr>
          <w:rFonts w:hint="eastAsia" w:cs="宋体"/>
          <w:color w:val="000000"/>
          <w:highlight w:val="none"/>
        </w:rPr>
        <w:t xml:space="preserve">（1） 计量原则</w:t>
      </w:r>
      <w:r>
        <w:rPr>
          <w:rFonts w:hint="eastAsia" w:cs="宋体"/>
          <w:color w:val="000000"/>
          <w:highlight w:val="none"/>
        </w:rPr>
      </w:r>
      <w:r/>
    </w:p>
    <w:p>
      <w:pPr>
        <w:pStyle w:val="1347"/>
        <w:ind w:firstLine="420"/>
        <w:spacing w:before="0" w:line="240" w:lineRule="auto"/>
        <w:tabs>
          <w:tab w:val="left" w:pos="567" w:leader="none"/>
        </w:tabs>
        <w:rPr>
          <w:rFonts w:hint="eastAsia" w:cs="宋体"/>
          <w:color w:val="000000"/>
          <w:highlight w:val="none"/>
        </w:rPr>
      </w:pPr>
      <w:r>
        <w:rPr>
          <w:rFonts w:hint="eastAsia" w:cs="宋体"/>
          <w:color w:val="000000"/>
          <w:highlight w:val="none"/>
        </w:rPr>
        <w:t xml:space="preserve">工程量计算规则：执行国家标准《建设工程工程量清单计价规范》（GB50500—2013）及工程量清单编制说明。除合同另有约定外，乙方实际完成的工程量按约定的工程量计算规则和有合同约束力的图纸进行计量。   </w:t>
      </w:r>
      <w:r>
        <w:rPr>
          <w:rFonts w:hint="eastAsia" w:cs="宋体"/>
          <w:color w:val="000000"/>
          <w:highlight w:val="none"/>
        </w:rPr>
      </w:r>
      <w:r/>
    </w:p>
    <w:p>
      <w:pPr>
        <w:pStyle w:val="1347"/>
        <w:ind w:firstLine="420"/>
        <w:spacing w:before="0" w:line="240" w:lineRule="auto"/>
        <w:tabs>
          <w:tab w:val="left" w:pos="567" w:leader="none"/>
        </w:tabs>
        <w:rPr>
          <w:rFonts w:hint="eastAsia" w:cs="宋体"/>
          <w:color w:val="000000"/>
          <w:highlight w:val="none"/>
        </w:rPr>
      </w:pPr>
      <w:r>
        <w:rPr>
          <w:rFonts w:hint="eastAsia" w:cs="宋体"/>
          <w:color w:val="000000"/>
          <w:highlight w:val="none"/>
        </w:rPr>
        <w:t xml:space="preserve">（2）单价合同的计量</w:t>
      </w:r>
      <w:r>
        <w:rPr>
          <w:rFonts w:hint="eastAsia" w:cs="宋体"/>
          <w:color w:val="000000"/>
          <w:highlight w:val="none"/>
        </w:rPr>
      </w:r>
      <w:r/>
    </w:p>
    <w:p>
      <w:pPr>
        <w:pStyle w:val="1347"/>
        <w:ind w:firstLine="420"/>
        <w:spacing w:before="0" w:line="240" w:lineRule="auto"/>
        <w:tabs>
          <w:tab w:val="left" w:pos="567" w:leader="none"/>
        </w:tabs>
        <w:rPr>
          <w:rFonts w:hint="eastAsia" w:cs="宋体"/>
          <w:color w:val="000000"/>
          <w:highlight w:val="none"/>
        </w:rPr>
      </w:pPr>
      <w:r>
        <w:rPr>
          <w:rFonts w:hint="eastAsia" w:cs="宋体"/>
          <w:color w:val="000000"/>
          <w:highlight w:val="none"/>
        </w:rPr>
        <w:t xml:space="preserve">关于单价合同计量的约定：按通用条款执行。</w:t>
      </w:r>
      <w:r>
        <w:rPr>
          <w:rFonts w:hint="eastAsia" w:cs="宋体"/>
          <w:color w:val="000000"/>
          <w:highlight w:val="none"/>
        </w:rPr>
      </w:r>
      <w:r/>
    </w:p>
    <w:p>
      <w:pPr>
        <w:pStyle w:val="1347"/>
        <w:ind w:firstLine="420"/>
        <w:spacing w:before="0" w:line="240" w:lineRule="auto"/>
        <w:tabs>
          <w:tab w:val="left" w:pos="567" w:leader="none"/>
        </w:tabs>
        <w:rPr>
          <w:rFonts w:hint="eastAsia" w:cs="宋体"/>
          <w:color w:val="000000"/>
          <w:highlight w:val="none"/>
        </w:rPr>
      </w:pPr>
      <w:r>
        <w:rPr>
          <w:rFonts w:hint="eastAsia" w:cs="宋体"/>
          <w:color w:val="000000"/>
          <w:highlight w:val="none"/>
        </w:rPr>
        <w:t xml:space="preserve">6.3  本合同生效后，按约定支付工程款：</w:t>
      </w:r>
      <w:r>
        <w:rPr>
          <w:rFonts w:hint="eastAsia" w:cs="宋体"/>
          <w:color w:val="000000"/>
          <w:highlight w:val="none"/>
        </w:rPr>
      </w:r>
      <w:r/>
    </w:p>
    <w:p>
      <w:pPr>
        <w:pStyle w:val="1347"/>
        <w:ind w:firstLine="420"/>
        <w:spacing w:before="0" w:line="240" w:lineRule="auto"/>
        <w:tabs>
          <w:tab w:val="left" w:pos="567" w:leader="none"/>
        </w:tabs>
        <w:rPr>
          <w:rFonts w:hint="eastAsia" w:cs="宋体"/>
          <w:color w:val="000000"/>
          <w:highlight w:val="none"/>
        </w:rPr>
      </w:pPr>
      <w:r>
        <w:rPr>
          <w:rFonts w:hint="eastAsia" w:cs="宋体"/>
          <w:color w:val="000000"/>
          <w:highlight w:val="none"/>
        </w:rPr>
        <w:t xml:space="preserve">（1）合同签订具备进场条件15日内甲方预付签约合同价（扣除暂列金）的10%作为预付款。</w:t>
      </w:r>
      <w:r>
        <w:rPr>
          <w:rFonts w:hint="eastAsia" w:cs="宋体"/>
          <w:color w:val="000000"/>
          <w:highlight w:val="none"/>
        </w:rPr>
      </w:r>
      <w:r/>
    </w:p>
    <w:p>
      <w:pPr>
        <w:pStyle w:val="1347"/>
        <w:ind w:firstLine="420"/>
        <w:spacing w:before="0" w:line="240" w:lineRule="auto"/>
        <w:tabs>
          <w:tab w:val="left" w:pos="567" w:leader="none"/>
        </w:tabs>
        <w:rPr>
          <w:rFonts w:hint="eastAsia" w:cs="宋体"/>
          <w:color w:val="000000"/>
          <w:highlight w:val="none"/>
        </w:rPr>
      </w:pPr>
      <w:r>
        <w:rPr>
          <w:rFonts w:hint="eastAsia" w:cs="宋体"/>
          <w:color w:val="000000"/>
          <w:highlight w:val="none"/>
        </w:rPr>
        <w:t xml:space="preserve">（2）工程竣工验收合格且乙方提交完整竣工资料后10日内，进度款累计支付至签约合同价（扣除暂列金额）的80%。</w:t>
      </w:r>
      <w:r>
        <w:rPr>
          <w:rFonts w:hint="eastAsia" w:cs="宋体"/>
          <w:color w:val="000000"/>
          <w:highlight w:val="none"/>
        </w:rPr>
      </w:r>
      <w:r/>
    </w:p>
    <w:p>
      <w:pPr>
        <w:pStyle w:val="1347"/>
        <w:ind w:firstLine="420"/>
        <w:spacing w:before="0" w:line="240" w:lineRule="auto"/>
        <w:tabs>
          <w:tab w:val="left" w:pos="567" w:leader="none"/>
        </w:tabs>
        <w:rPr>
          <w:rFonts w:hint="eastAsia" w:cs="宋体"/>
          <w:color w:val="000000"/>
          <w:highlight w:val="none"/>
        </w:rPr>
      </w:pPr>
      <w:r>
        <w:rPr>
          <w:rFonts w:hint="eastAsia" w:cs="宋体"/>
          <w:color w:val="000000"/>
          <w:highlight w:val="none"/>
        </w:rPr>
        <w:t xml:space="preserve">（3）工程竣工结算经甲方、跟踪审计审定，乙方向甲方提交金额为审定总价3%、有效期覆盖项目缺陷责任期的不可撤销见索即付工程质量保证金银行保函后10天内，甲方付至审定总价的100%；缺陷责任期满，工程无质量缺陷且乙方完成全部保修义务后，甲方退还银行保函。</w:t>
      </w:r>
      <w:r>
        <w:rPr>
          <w:rFonts w:hint="eastAsia" w:cs="宋体"/>
          <w:color w:val="000000"/>
          <w:highlight w:val="none"/>
        </w:rPr>
      </w:r>
      <w:r/>
    </w:p>
    <w:p>
      <w:pPr>
        <w:pStyle w:val="1347"/>
        <w:ind w:firstLine="420"/>
        <w:spacing w:before="0" w:line="240" w:lineRule="auto"/>
        <w:tabs>
          <w:tab w:val="left" w:pos="567" w:leader="none"/>
        </w:tabs>
        <w:rPr>
          <w:rFonts w:hint="eastAsia" w:cs="宋体"/>
          <w:color w:val="000000"/>
          <w:highlight w:val="none"/>
        </w:rPr>
      </w:pPr>
      <w:r>
        <w:rPr>
          <w:rFonts w:hint="eastAsia" w:cs="宋体"/>
          <w:color w:val="000000"/>
          <w:highlight w:val="none"/>
        </w:rPr>
        <w:t xml:space="preserve">（4）如对本工程结算进行抽查复审，必须经审计后方可办理工程结算。</w:t>
      </w:r>
      <w:r>
        <w:rPr>
          <w:rFonts w:hint="eastAsia" w:cs="宋体"/>
          <w:color w:val="000000"/>
          <w:highlight w:val="none"/>
        </w:rPr>
      </w:r>
      <w:r/>
    </w:p>
    <w:p>
      <w:pPr>
        <w:pStyle w:val="1347"/>
        <w:ind w:firstLine="420"/>
        <w:spacing w:before="0" w:line="240" w:lineRule="auto"/>
        <w:tabs>
          <w:tab w:val="left" w:pos="567" w:leader="none"/>
        </w:tabs>
        <w:rPr>
          <w:rFonts w:hint="eastAsia" w:cs="宋体"/>
          <w:color w:val="000000"/>
          <w:highlight w:val="none"/>
        </w:rPr>
      </w:pPr>
      <w:r>
        <w:rPr>
          <w:rFonts w:hint="eastAsia" w:cs="宋体"/>
          <w:color w:val="000000"/>
          <w:highlight w:val="none"/>
        </w:rPr>
        <w:t xml:space="preserve">（5）在工程施工中因甲方原因需调整节点进度，支付方式可作调整。</w:t>
      </w:r>
      <w:r>
        <w:rPr>
          <w:rFonts w:hint="eastAsia" w:cs="宋体"/>
          <w:color w:val="000000"/>
          <w:highlight w:val="none"/>
        </w:rPr>
      </w:r>
      <w:r/>
    </w:p>
    <w:p>
      <w:pPr>
        <w:pStyle w:val="1347"/>
        <w:ind w:firstLine="420"/>
        <w:spacing w:before="0" w:line="240" w:lineRule="auto"/>
        <w:tabs>
          <w:tab w:val="left" w:pos="567" w:leader="none"/>
        </w:tabs>
        <w:rPr>
          <w:rFonts w:hint="eastAsia" w:cs="宋体"/>
          <w:color w:val="000000"/>
          <w:highlight w:val="none"/>
        </w:rPr>
      </w:pPr>
      <w:r>
        <w:rPr>
          <w:rFonts w:hint="eastAsia" w:cs="宋体"/>
          <w:color w:val="000000"/>
          <w:highlight w:val="none"/>
        </w:rPr>
        <w:t xml:space="preserve">（6）甲方根据合同专用条款约定支付工程款的时间误差应控制在</w:t>
      </w:r>
      <w:r>
        <w:rPr>
          <w:rFonts w:cs="宋体"/>
          <w:color w:val="000000"/>
          <w:highlight w:val="none"/>
        </w:rPr>
        <w:t xml:space="preserve">1</w:t>
      </w:r>
      <w:r>
        <w:rPr>
          <w:rFonts w:hint="eastAsia" w:cs="宋体"/>
          <w:color w:val="000000"/>
          <w:highlight w:val="none"/>
        </w:rPr>
        <w:t xml:space="preserve">0天以内，在此范围内，乙方不得停止施工且不得以此借口向甲方提出索赔。每次付款时乙方需提供与付款金额相等的普通发票。</w:t>
      </w:r>
      <w:r>
        <w:rPr>
          <w:rFonts w:hint="eastAsia" w:cs="宋体"/>
          <w:color w:val="000000"/>
          <w:highlight w:val="none"/>
        </w:rPr>
      </w:r>
      <w:r/>
    </w:p>
    <w:p>
      <w:pPr>
        <w:pStyle w:val="1347"/>
        <w:ind w:firstLine="420"/>
        <w:spacing w:before="0" w:line="240" w:lineRule="auto"/>
        <w:tabs>
          <w:tab w:val="left" w:pos="567" w:leader="none"/>
        </w:tabs>
        <w:rPr>
          <w:rFonts w:hint="eastAsia" w:cs="宋体"/>
          <w:color w:val="000000"/>
          <w:highlight w:val="none"/>
        </w:rPr>
      </w:pPr>
      <w:r>
        <w:rPr>
          <w:rFonts w:hint="eastAsia" w:cs="宋体"/>
          <w:color w:val="000000"/>
          <w:highlight w:val="none"/>
        </w:rPr>
        <w:t xml:space="preserve">6.</w:t>
      </w:r>
      <w:r>
        <w:rPr>
          <w:rFonts w:hint="eastAsia" w:cs="宋体"/>
          <w:color w:val="000000"/>
          <w:highlight w:val="none"/>
          <w:lang w:val="en-US" w:eastAsia="zh-CN"/>
        </w:rPr>
        <w:t xml:space="preserve">4</w:t>
      </w:r>
      <w:r>
        <w:rPr>
          <w:rFonts w:hint="eastAsia" w:cs="宋体"/>
          <w:color w:val="000000"/>
          <w:highlight w:val="none"/>
        </w:rPr>
        <w:t xml:space="preserve">  工程竣工验收后，乙方提出工程结算并将完整资料送交甲方。由甲方指定中介机构实施工程结算审计，并作为最终结算的依据。</w:t>
      </w:r>
      <w:r>
        <w:rPr>
          <w:rFonts w:hint="eastAsia" w:cs="宋体"/>
          <w:color w:val="000000"/>
          <w:highlight w:val="none"/>
        </w:rPr>
      </w:r>
      <w:r/>
    </w:p>
    <w:p>
      <w:pPr>
        <w:pStyle w:val="1347"/>
        <w:ind w:firstLine="420"/>
        <w:spacing w:before="0" w:line="240" w:lineRule="auto"/>
        <w:tabs>
          <w:tab w:val="left" w:pos="567" w:leader="none"/>
        </w:tabs>
        <w:rPr>
          <w:rFonts w:hint="eastAsia" w:cs="宋体"/>
          <w:color w:val="000000"/>
          <w:highlight w:val="none"/>
        </w:rPr>
      </w:pPr>
      <w:r>
        <w:rPr>
          <w:rFonts w:hint="eastAsia" w:cs="宋体"/>
          <w:color w:val="000000"/>
          <w:highlight w:val="none"/>
        </w:rPr>
        <w:t xml:space="preserve">6.</w:t>
      </w:r>
      <w:r>
        <w:rPr>
          <w:rFonts w:hint="eastAsia" w:cs="宋体"/>
          <w:color w:val="000000"/>
          <w:highlight w:val="none"/>
          <w:lang w:val="en-US" w:eastAsia="zh-CN"/>
        </w:rPr>
        <w:t xml:space="preserve">5</w:t>
      </w:r>
      <w:r>
        <w:rPr>
          <w:rFonts w:hint="eastAsia" w:cs="宋体"/>
          <w:color w:val="000000"/>
          <w:highlight w:val="none"/>
        </w:rPr>
        <w:t xml:space="preserve">工程施工过程中所有需要在合同价外另行增加费用的内容均须事先征得甲方的书面同意，事先办理书面确认手续或执行甲方的书面指令。否则一概不予结算。</w:t>
      </w:r>
      <w:r>
        <w:rPr>
          <w:rFonts w:hint="eastAsia" w:cs="宋体"/>
          <w:color w:val="000000"/>
          <w:highlight w:val="none"/>
        </w:rPr>
      </w:r>
      <w:r/>
    </w:p>
    <w:p>
      <w:pPr>
        <w:pStyle w:val="1347"/>
        <w:ind w:firstLine="420"/>
        <w:spacing w:before="0" w:line="240" w:lineRule="auto"/>
        <w:tabs>
          <w:tab w:val="left" w:pos="567" w:leader="none"/>
        </w:tabs>
        <w:rPr>
          <w:rFonts w:hint="eastAsia" w:cs="宋体"/>
          <w:color w:val="000000"/>
          <w:highlight w:val="none"/>
        </w:rPr>
      </w:pPr>
      <w:r>
        <w:rPr>
          <w:rFonts w:hint="eastAsia" w:cs="宋体"/>
          <w:color w:val="000000"/>
          <w:highlight w:val="none"/>
        </w:rPr>
        <w:t xml:space="preserve">6.</w:t>
      </w:r>
      <w:r>
        <w:rPr>
          <w:rFonts w:hint="eastAsia" w:cs="宋体"/>
          <w:color w:val="000000"/>
          <w:highlight w:val="none"/>
          <w:lang w:val="en-US" w:eastAsia="zh-CN"/>
        </w:rPr>
        <w:t xml:space="preserve">6</w:t>
      </w:r>
      <w:r>
        <w:rPr>
          <w:rFonts w:hint="eastAsia" w:cs="宋体"/>
          <w:color w:val="000000"/>
          <w:highlight w:val="none"/>
        </w:rPr>
        <w:t xml:space="preserve">由于工程量的变更且实际发生了措施项目费用和其他项目费用损失，乙方可以与甲方协商确认后给予补偿。</w:t>
      </w:r>
      <w:r>
        <w:rPr>
          <w:rFonts w:hint="eastAsia" w:cs="宋体"/>
          <w:color w:val="000000"/>
          <w:highlight w:val="none"/>
        </w:rPr>
      </w:r>
      <w:r/>
    </w:p>
    <w:p>
      <w:pPr>
        <w:pStyle w:val="1347"/>
        <w:ind w:firstLine="420"/>
        <w:spacing w:before="0" w:line="240" w:lineRule="auto"/>
        <w:tabs>
          <w:tab w:val="left" w:pos="567" w:leader="none"/>
        </w:tabs>
        <w:rPr>
          <w:rFonts w:hint="eastAsia" w:cs="宋体"/>
          <w:color w:val="000000"/>
          <w:highlight w:val="none"/>
        </w:rPr>
      </w:pPr>
      <w:r>
        <w:rPr>
          <w:rFonts w:hint="eastAsia" w:cs="宋体"/>
          <w:color w:val="000000"/>
          <w:highlight w:val="none"/>
        </w:rPr>
        <w:t xml:space="preserve">6.</w:t>
      </w:r>
      <w:r>
        <w:rPr>
          <w:rFonts w:hint="eastAsia" w:cs="宋体"/>
          <w:color w:val="000000"/>
          <w:highlight w:val="none"/>
          <w:lang w:val="en-US" w:eastAsia="zh-CN"/>
        </w:rPr>
        <w:t xml:space="preserve">7</w:t>
      </w:r>
      <w:r>
        <w:rPr>
          <w:rFonts w:hint="eastAsia" w:cs="宋体"/>
          <w:color w:val="000000"/>
          <w:highlight w:val="none"/>
        </w:rPr>
        <w:t xml:space="preserve">工程竣工10天内提供竣工报告和竣工资料，并在竣工</w:t>
      </w:r>
      <w:r>
        <w:rPr>
          <w:rFonts w:cs="宋体"/>
          <w:color w:val="000000"/>
          <w:highlight w:val="none"/>
        </w:rPr>
        <w:t xml:space="preserve">20</w:t>
      </w:r>
      <w:r>
        <w:rPr>
          <w:rFonts w:hint="eastAsia" w:cs="宋体"/>
          <w:color w:val="000000"/>
          <w:highlight w:val="none"/>
        </w:rPr>
        <w:t xml:space="preserve">天内将竣工结算以及相关资料送至监理单位预审。</w:t>
      </w:r>
      <w:r>
        <w:rPr>
          <w:rFonts w:hint="eastAsia" w:cs="宋体"/>
          <w:color w:val="000000"/>
          <w:highlight w:val="none"/>
        </w:rPr>
      </w:r>
      <w:r/>
    </w:p>
    <w:p>
      <w:pPr>
        <w:pStyle w:val="1347"/>
        <w:spacing w:before="0" w:line="240" w:lineRule="auto"/>
        <w:tabs>
          <w:tab w:val="left" w:pos="567" w:leader="none"/>
        </w:tabs>
        <w:rPr>
          <w:rFonts w:hint="eastAsia" w:cs="宋体"/>
          <w:b/>
          <w:bCs/>
          <w:color w:val="000000"/>
          <w:highlight w:val="none"/>
        </w:rPr>
        <w:outlineLvl w:val="1"/>
      </w:pPr>
      <w:r>
        <w:rPr>
          <w:rFonts w:hint="eastAsia" w:cs="宋体"/>
          <w:b/>
          <w:bCs/>
          <w:color w:val="000000"/>
          <w:highlight w:val="none"/>
        </w:rPr>
        <w:t xml:space="preserve">第7条  关于材料供应的约定</w:t>
      </w:r>
      <w:r>
        <w:rPr>
          <w:rFonts w:hint="eastAsia" w:cs="宋体"/>
          <w:b/>
          <w:bCs/>
          <w:color w:val="000000"/>
          <w:highlight w:val="none"/>
        </w:rPr>
      </w:r>
      <w:r/>
    </w:p>
    <w:p>
      <w:pPr>
        <w:pStyle w:val="1347"/>
        <w:ind w:firstLine="420"/>
        <w:spacing w:before="0" w:line="240" w:lineRule="auto"/>
        <w:tabs>
          <w:tab w:val="left" w:pos="567" w:leader="none"/>
        </w:tabs>
        <w:rPr>
          <w:rFonts w:hint="eastAsia" w:cs="宋体"/>
          <w:color w:val="000000"/>
          <w:highlight w:val="none"/>
        </w:rPr>
      </w:pPr>
      <w:r>
        <w:rPr>
          <w:rFonts w:hint="eastAsia" w:cs="宋体"/>
          <w:color w:val="000000"/>
          <w:highlight w:val="none"/>
        </w:rPr>
        <w:t xml:space="preserve">（1）乙方应在材料、设备进场前5天向监理人申报相关资料，监理人在收到申报资料后3天内完成审批。</w:t>
      </w:r>
      <w:r>
        <w:rPr>
          <w:rFonts w:hint="eastAsia" w:cs="宋体"/>
          <w:color w:val="000000"/>
          <w:highlight w:val="none"/>
        </w:rPr>
      </w:r>
      <w:r/>
    </w:p>
    <w:p>
      <w:pPr>
        <w:pStyle w:val="1347"/>
        <w:ind w:firstLine="420"/>
        <w:spacing w:before="0" w:line="240" w:lineRule="auto"/>
        <w:tabs>
          <w:tab w:val="left" w:pos="567" w:leader="none"/>
        </w:tabs>
        <w:rPr>
          <w:rFonts w:hint="eastAsia" w:cs="宋体"/>
          <w:color w:val="000000"/>
          <w:highlight w:val="none"/>
        </w:rPr>
      </w:pPr>
      <w:r>
        <w:rPr>
          <w:rFonts w:hint="eastAsia" w:cs="宋体"/>
          <w:color w:val="000000"/>
          <w:highlight w:val="none"/>
        </w:rPr>
        <w:t xml:space="preserve">（2）除甲方供应或甲方定价乙方供应材料外，乙方应按照本合同约定及设计和有关标准要求采购由乙方负责采购的材料，采购前应向监理工程师提供产品合格证明和样本，并在材料到货前24小时通知监理工程师初检。乙方对材料质量负责，甲方保留甲方供应或甲方定价乙方供应材料的权力。</w:t>
      </w:r>
      <w:r>
        <w:rPr>
          <w:rFonts w:hint="eastAsia" w:cs="宋体"/>
          <w:color w:val="000000"/>
          <w:highlight w:val="none"/>
        </w:rPr>
      </w:r>
      <w:r/>
    </w:p>
    <w:p>
      <w:pPr>
        <w:pStyle w:val="1347"/>
        <w:ind w:firstLine="420"/>
        <w:spacing w:before="0" w:line="240" w:lineRule="auto"/>
        <w:tabs>
          <w:tab w:val="left" w:pos="567" w:leader="none"/>
        </w:tabs>
        <w:rPr>
          <w:rFonts w:hint="eastAsia" w:cs="宋体"/>
          <w:color w:val="000000"/>
          <w:highlight w:val="none"/>
        </w:rPr>
      </w:pPr>
      <w:r>
        <w:rPr>
          <w:rFonts w:hint="eastAsia" w:cs="宋体"/>
          <w:color w:val="000000"/>
          <w:highlight w:val="none"/>
        </w:rPr>
        <w:t xml:space="preserve">（3）主要材料供应商由乙方自行选择，但工程进场材料必须满足设计要求，且须得到甲方、监理人的审批。未经甲方、监理人的决定或审批，乙方不得私自将材料运进现场，更不得将材料用于本工程。材料的供应以保障工程施工顺利进行为原则，由乙方自理。具体事宜由乙方与材料供应商在签订的供应合同中明确，供应合同中明确具体品种、数量、标准、规格、型号、尺寸、供应办法、供货地点、下力方式。</w:t>
      </w:r>
      <w:r>
        <w:rPr>
          <w:rFonts w:hint="eastAsia" w:cs="宋体"/>
          <w:color w:val="000000"/>
          <w:highlight w:val="none"/>
        </w:rPr>
      </w:r>
      <w:r/>
    </w:p>
    <w:p>
      <w:pPr>
        <w:pStyle w:val="1347"/>
        <w:ind w:firstLine="420"/>
        <w:spacing w:before="0" w:line="240" w:lineRule="auto"/>
        <w:tabs>
          <w:tab w:val="left" w:pos="567" w:leader="none"/>
        </w:tabs>
        <w:rPr>
          <w:rFonts w:hint="eastAsia" w:cs="宋体"/>
          <w:color w:val="000000"/>
          <w:highlight w:val="none"/>
        </w:rPr>
      </w:pPr>
      <w:r>
        <w:rPr>
          <w:rFonts w:hint="eastAsia" w:cs="宋体"/>
          <w:color w:val="000000"/>
          <w:highlight w:val="none"/>
        </w:rPr>
        <w:t xml:space="preserve">（4）甲方、监理人对材料供应商的决定或认可并不解除乙方应负的质量、工期的责任，也不解除乙方对材料应负的责任。乙方采购的材料与设计或规范要求不符时，乙方应按监理工程师要求的时间运出施工场地，重新采购符合要求的产品，承担由此发生的费用，由此延误的工期不予顺延。</w:t>
      </w:r>
      <w:r>
        <w:rPr>
          <w:rFonts w:hint="eastAsia" w:cs="宋体"/>
          <w:color w:val="000000"/>
          <w:highlight w:val="none"/>
        </w:rPr>
      </w:r>
      <w:r/>
    </w:p>
    <w:p>
      <w:pPr>
        <w:pStyle w:val="1347"/>
        <w:ind w:firstLine="420"/>
        <w:spacing w:before="0" w:line="240" w:lineRule="auto"/>
        <w:tabs>
          <w:tab w:val="left" w:pos="567" w:leader="none"/>
        </w:tabs>
        <w:rPr>
          <w:rFonts w:hint="eastAsia" w:cs="宋体"/>
          <w:color w:val="000000"/>
          <w:highlight w:val="none"/>
        </w:rPr>
      </w:pPr>
      <w:r>
        <w:rPr>
          <w:rFonts w:hint="eastAsia" w:cs="宋体"/>
          <w:color w:val="000000"/>
          <w:highlight w:val="none"/>
        </w:rPr>
        <w:t xml:space="preserve">（5）乙方采购的材料在使用前，乙方应按监理工程师的要求进行检验或试验，如监理工程师对检验过材料表示怀疑时，有权随机抽样检验。不合格的不得使用，检验或试验费用由乙方承担。</w:t>
      </w:r>
      <w:r>
        <w:rPr>
          <w:rFonts w:hint="eastAsia" w:cs="宋体"/>
          <w:color w:val="000000"/>
          <w:highlight w:val="none"/>
        </w:rPr>
      </w:r>
      <w:r/>
    </w:p>
    <w:p>
      <w:pPr>
        <w:pStyle w:val="1347"/>
        <w:ind w:firstLine="420"/>
        <w:spacing w:before="0" w:line="240" w:lineRule="auto"/>
        <w:tabs>
          <w:tab w:val="left" w:pos="567" w:leader="none"/>
        </w:tabs>
        <w:rPr>
          <w:rFonts w:hint="eastAsia" w:cs="宋体"/>
          <w:color w:val="000000"/>
          <w:highlight w:val="none"/>
        </w:rPr>
      </w:pPr>
      <w:r>
        <w:rPr>
          <w:rFonts w:hint="eastAsia" w:cs="宋体"/>
          <w:color w:val="000000"/>
          <w:highlight w:val="none"/>
        </w:rPr>
        <w:t xml:space="preserve">（6）因发现乙方采购并使用不符合设计或标准要求的材料，致使工程不符合合同规定的质量要求，乙方应按监理工程师的要求进行修复、拆除或重新采购，乙方承担由此发生的一切费用，延误的工期不予顺延。</w:t>
      </w:r>
      <w:r>
        <w:rPr>
          <w:rFonts w:hint="eastAsia" w:cs="宋体"/>
          <w:color w:val="000000"/>
          <w:highlight w:val="none"/>
        </w:rPr>
      </w:r>
      <w:r/>
    </w:p>
    <w:p>
      <w:pPr>
        <w:pStyle w:val="1347"/>
        <w:ind w:firstLine="420"/>
        <w:spacing w:before="0" w:line="240" w:lineRule="auto"/>
        <w:tabs>
          <w:tab w:val="left" w:pos="567" w:leader="none"/>
        </w:tabs>
        <w:rPr>
          <w:rFonts w:hint="eastAsia" w:cs="宋体"/>
          <w:color w:val="000000"/>
          <w:highlight w:val="none"/>
        </w:rPr>
      </w:pPr>
      <w:r>
        <w:rPr>
          <w:rFonts w:hint="eastAsia" w:cs="宋体"/>
          <w:color w:val="000000"/>
          <w:highlight w:val="none"/>
        </w:rPr>
        <w:t xml:space="preserve">（7）材料供应商与乙方的材料供应量按材料供应商与乙方双方共同签认的施工图数量进行计量。甲方有权监督乙方与材料供应商的合同履行情况，若乙方不按合同规定支付材料款，甲方有权从应支付给乙方的任一款项中扣除该部分并支付给材料商。</w:t>
      </w:r>
      <w:r>
        <w:rPr>
          <w:rFonts w:hint="eastAsia" w:cs="宋体"/>
          <w:color w:val="000000"/>
          <w:highlight w:val="none"/>
        </w:rPr>
      </w:r>
      <w:r/>
    </w:p>
    <w:p>
      <w:pPr>
        <w:pStyle w:val="1347"/>
        <w:ind w:firstLine="420"/>
        <w:spacing w:before="0" w:line="240" w:lineRule="auto"/>
        <w:tabs>
          <w:tab w:val="left" w:pos="567" w:leader="none"/>
        </w:tabs>
        <w:rPr>
          <w:rFonts w:hint="eastAsia" w:cs="宋体"/>
          <w:color w:val="000000"/>
          <w:highlight w:val="none"/>
        </w:rPr>
      </w:pPr>
      <w:r>
        <w:rPr>
          <w:rFonts w:hint="eastAsia" w:cs="宋体"/>
          <w:color w:val="000000"/>
          <w:highlight w:val="none"/>
        </w:rPr>
        <w:t xml:space="preserve">（8）乙方需要使用代用材料时，应向监理工程师提出使用代用材料对本工程质量、成本、进度等方面的影响报告，经监理工程师审核并报甲方代表批准后才能使用，由此增减的合同价款双方以书面形式议定。甲方的批准并不能解除乙方对代用材料的质量和使用代用材料引起的不良结果的责任。</w:t>
      </w:r>
      <w:r>
        <w:rPr>
          <w:rFonts w:hint="eastAsia" w:cs="宋体"/>
          <w:color w:val="000000"/>
          <w:highlight w:val="none"/>
        </w:rPr>
      </w:r>
      <w:r/>
    </w:p>
    <w:p>
      <w:pPr>
        <w:pStyle w:val="1347"/>
        <w:ind w:firstLine="420"/>
        <w:spacing w:before="0" w:line="240" w:lineRule="auto"/>
        <w:tabs>
          <w:tab w:val="left" w:pos="567" w:leader="none"/>
        </w:tabs>
        <w:rPr>
          <w:rFonts w:hint="eastAsia" w:cs="宋体"/>
          <w:color w:val="000000"/>
          <w:highlight w:val="none"/>
        </w:rPr>
      </w:pPr>
      <w:r>
        <w:rPr>
          <w:rFonts w:hint="eastAsia" w:cs="宋体"/>
          <w:color w:val="000000"/>
          <w:highlight w:val="none"/>
        </w:rPr>
        <w:t xml:space="preserve">（9）乙方应该对各种材料、器材、设备按规范进行检查，拒绝不符合要求的材料、器材、设备用于工程。乙方必须严格按照合同要求及招投标过程中确定的材料品种、规格、型号进行使用，严禁擅自更改，若发现有材料品种、规格、型号不符合上述要求，或采用假冒伪劣产品，每一项以3 万元作为违约金，并要求无条件更换，同时承担相关责任。无论何种原因，出现不合格材料、器材、设备用于工程的情况，均由乙方承担。</w:t>
      </w:r>
      <w:r>
        <w:rPr>
          <w:rFonts w:hint="eastAsia" w:cs="宋体"/>
          <w:color w:val="000000"/>
          <w:highlight w:val="none"/>
        </w:rPr>
      </w:r>
      <w:r/>
    </w:p>
    <w:p>
      <w:pPr>
        <w:pStyle w:val="1347"/>
        <w:ind w:firstLine="420"/>
        <w:spacing w:before="0" w:line="240" w:lineRule="auto"/>
        <w:tabs>
          <w:tab w:val="left" w:pos="567" w:leader="none"/>
        </w:tabs>
        <w:rPr>
          <w:rFonts w:hint="eastAsia" w:cs="宋体"/>
          <w:color w:val="000000"/>
          <w:highlight w:val="none"/>
        </w:rPr>
      </w:pPr>
      <w:r>
        <w:rPr>
          <w:rFonts w:hint="eastAsia" w:cs="宋体"/>
          <w:color w:val="000000"/>
          <w:highlight w:val="none"/>
        </w:rPr>
        <w:t xml:space="preserve">（10）本工程使用的所有材料的质量及检验资料须达到设计要求及国家现行验收规范；</w:t>
      </w:r>
      <w:r>
        <w:rPr>
          <w:rFonts w:hint="eastAsia" w:cs="宋体"/>
          <w:color w:val="000000"/>
          <w:highlight w:val="none"/>
        </w:rPr>
      </w:r>
      <w:r/>
    </w:p>
    <w:p>
      <w:pPr>
        <w:pStyle w:val="1347"/>
        <w:ind w:firstLine="420"/>
        <w:spacing w:before="0" w:line="240" w:lineRule="auto"/>
        <w:tabs>
          <w:tab w:val="left" w:pos="567" w:leader="none"/>
        </w:tabs>
        <w:rPr>
          <w:rFonts w:hint="eastAsia" w:cs="宋体"/>
          <w:color w:val="000000"/>
          <w:highlight w:val="none"/>
        </w:rPr>
      </w:pPr>
      <w:r>
        <w:rPr>
          <w:rFonts w:hint="eastAsia" w:cs="宋体"/>
          <w:color w:val="000000"/>
          <w:highlight w:val="none"/>
        </w:rPr>
        <w:t xml:space="preserve">（11）工程量清单中的暂估价材料（或专业工程暂估价）甲方保留甲供的权力；</w:t>
      </w:r>
      <w:r>
        <w:rPr>
          <w:rFonts w:hint="eastAsia" w:cs="宋体"/>
          <w:color w:val="000000"/>
          <w:highlight w:val="none"/>
        </w:rPr>
      </w:r>
      <w:r/>
    </w:p>
    <w:p>
      <w:pPr>
        <w:pStyle w:val="1347"/>
        <w:ind w:firstLine="420"/>
        <w:spacing w:before="0" w:line="240" w:lineRule="auto"/>
        <w:tabs>
          <w:tab w:val="left" w:pos="567" w:leader="none"/>
        </w:tabs>
        <w:rPr>
          <w:rFonts w:hint="eastAsia" w:cs="宋体"/>
          <w:color w:val="000000"/>
          <w:highlight w:val="none"/>
        </w:rPr>
      </w:pPr>
      <w:r>
        <w:rPr>
          <w:rFonts w:hint="eastAsia" w:cs="宋体"/>
          <w:color w:val="000000"/>
          <w:highlight w:val="none"/>
        </w:rPr>
        <w:t xml:space="preserve">（12）除暂估价材料外，本工程使用的其他材料均由乙方采购，但须经监理和甲方的书面认可后方可采购。</w:t>
      </w:r>
      <w:r>
        <w:rPr>
          <w:rFonts w:hint="eastAsia" w:cs="宋体"/>
          <w:color w:val="000000"/>
          <w:highlight w:val="none"/>
        </w:rPr>
      </w:r>
      <w:r/>
    </w:p>
    <w:p>
      <w:pPr>
        <w:pStyle w:val="1347"/>
        <w:ind w:firstLine="420"/>
        <w:spacing w:before="0" w:line="240" w:lineRule="auto"/>
        <w:tabs>
          <w:tab w:val="left" w:pos="567" w:leader="none"/>
        </w:tabs>
        <w:rPr>
          <w:rFonts w:hint="eastAsia" w:cs="宋体"/>
          <w:color w:val="000000"/>
          <w:highlight w:val="none"/>
        </w:rPr>
      </w:pPr>
      <w:r>
        <w:rPr>
          <w:rFonts w:hint="eastAsia" w:cs="宋体"/>
          <w:color w:val="000000"/>
          <w:highlight w:val="none"/>
        </w:rPr>
        <w:t xml:space="preserve">（13）材料进场前应接受监理组织的验收，有不合格材料或不符合要求的材料由监理标识后，乙方必须立即运出场外。场内严禁堆放不合格材料和不符合要求的材料，过期不处理的不合格材料和不符合要求的材料，甲方有权自行处理。</w:t>
      </w:r>
      <w:r>
        <w:rPr>
          <w:rFonts w:hint="eastAsia" w:cs="宋体"/>
          <w:color w:val="000000"/>
          <w:highlight w:val="none"/>
        </w:rPr>
      </w:r>
      <w:r/>
    </w:p>
    <w:p>
      <w:pPr>
        <w:pStyle w:val="1347"/>
        <w:ind w:firstLine="420"/>
        <w:spacing w:before="0" w:line="240" w:lineRule="auto"/>
        <w:tabs>
          <w:tab w:val="left" w:pos="567" w:leader="none"/>
        </w:tabs>
        <w:rPr>
          <w:rFonts w:hint="eastAsia" w:cs="宋体"/>
          <w:color w:val="000000"/>
          <w:highlight w:val="none"/>
        </w:rPr>
      </w:pPr>
      <w:r>
        <w:rPr>
          <w:rFonts w:hint="eastAsia" w:cs="宋体"/>
          <w:color w:val="000000"/>
          <w:highlight w:val="none"/>
        </w:rPr>
        <w:t xml:space="preserve">(14) 乙方对其所供材料质量负责，甲方保留甲供及甲定乙供的权力。</w:t>
      </w:r>
      <w:r>
        <w:rPr>
          <w:rFonts w:hint="eastAsia" w:cs="宋体"/>
          <w:color w:val="000000"/>
          <w:highlight w:val="none"/>
        </w:rPr>
      </w:r>
      <w:r/>
    </w:p>
    <w:p>
      <w:pPr>
        <w:pStyle w:val="1347"/>
        <w:spacing w:before="0" w:line="240" w:lineRule="auto"/>
        <w:tabs>
          <w:tab w:val="left" w:pos="567" w:leader="none"/>
        </w:tabs>
        <w:rPr>
          <w:rFonts w:hint="eastAsia" w:cs="宋体"/>
          <w:b/>
          <w:bCs/>
          <w:color w:val="000000"/>
          <w:highlight w:val="none"/>
        </w:rPr>
        <w:outlineLvl w:val="1"/>
      </w:pPr>
      <w:r>
        <w:rPr>
          <w:rFonts w:hint="eastAsia" w:cs="宋体"/>
          <w:b/>
          <w:bCs/>
          <w:color w:val="000000"/>
          <w:highlight w:val="none"/>
        </w:rPr>
        <w:t xml:space="preserve">第8条  有关安全生产和防火的约定</w:t>
      </w:r>
      <w:r>
        <w:rPr>
          <w:rFonts w:hint="eastAsia" w:cs="宋体"/>
          <w:b/>
          <w:bCs/>
          <w:color w:val="000000"/>
          <w:highlight w:val="none"/>
        </w:rPr>
      </w:r>
      <w:r/>
    </w:p>
    <w:p>
      <w:pPr>
        <w:pStyle w:val="1347"/>
        <w:ind w:firstLine="420"/>
        <w:spacing w:before="0" w:line="240" w:lineRule="auto"/>
        <w:tabs>
          <w:tab w:val="left" w:pos="567" w:leader="none"/>
        </w:tabs>
        <w:rPr>
          <w:rFonts w:hint="eastAsia" w:cs="宋体"/>
          <w:color w:val="000000"/>
          <w:highlight w:val="none"/>
        </w:rPr>
      </w:pPr>
      <w:r>
        <w:rPr>
          <w:rFonts w:hint="eastAsia" w:cs="宋体"/>
          <w:color w:val="000000"/>
          <w:highlight w:val="none"/>
        </w:rPr>
        <w:t xml:space="preserve">8.1  甲方提供的施工图纸或作法说明，应符合《中华人民共和国消防条例》和有关防火设计规范。</w:t>
      </w:r>
      <w:r>
        <w:rPr>
          <w:rFonts w:hint="eastAsia" w:cs="宋体"/>
          <w:color w:val="000000"/>
          <w:highlight w:val="none"/>
        </w:rPr>
      </w:r>
      <w:r/>
    </w:p>
    <w:p>
      <w:pPr>
        <w:pStyle w:val="1347"/>
        <w:ind w:firstLine="420"/>
        <w:spacing w:before="0" w:line="240" w:lineRule="auto"/>
        <w:tabs>
          <w:tab w:val="left" w:pos="567" w:leader="none"/>
        </w:tabs>
        <w:rPr>
          <w:rFonts w:hint="eastAsia" w:cs="宋体"/>
          <w:color w:val="000000"/>
          <w:highlight w:val="none"/>
        </w:rPr>
      </w:pPr>
      <w:r>
        <w:rPr>
          <w:rFonts w:hint="eastAsia" w:cs="宋体"/>
          <w:color w:val="000000"/>
          <w:highlight w:val="none"/>
        </w:rPr>
        <w:t xml:space="preserve">8.2  乙方在施工期间应严格遵守《建筑安装工程安全技术规程》、《建筑安装工人安全操作规程》、《中华人民共和国消防条例》和其他相关的法规、规范。</w:t>
      </w:r>
      <w:r>
        <w:rPr>
          <w:rFonts w:hint="eastAsia" w:cs="宋体"/>
          <w:color w:val="000000"/>
          <w:highlight w:val="none"/>
        </w:rPr>
      </w:r>
      <w:r/>
    </w:p>
    <w:p>
      <w:pPr>
        <w:pStyle w:val="1347"/>
        <w:ind w:firstLine="420"/>
        <w:spacing w:before="0" w:line="240" w:lineRule="auto"/>
        <w:tabs>
          <w:tab w:val="left" w:pos="567" w:leader="none"/>
        </w:tabs>
        <w:rPr>
          <w:rFonts w:hint="eastAsia" w:cs="宋体"/>
          <w:color w:val="000000"/>
          <w:highlight w:val="none"/>
        </w:rPr>
      </w:pPr>
      <w:r>
        <w:rPr>
          <w:rFonts w:hint="eastAsia" w:cs="宋体"/>
          <w:color w:val="000000"/>
          <w:highlight w:val="none"/>
        </w:rPr>
        <w:t xml:space="preserve">8.3  由于甲方确认的图纸或做法说明，违反有关安全操作规程、消防条例和防火设计规范，乙方应在施工前及时书面提出。</w:t>
      </w:r>
      <w:r>
        <w:rPr>
          <w:rFonts w:hint="eastAsia" w:cs="宋体"/>
          <w:color w:val="000000"/>
          <w:highlight w:val="none"/>
        </w:rPr>
      </w:r>
      <w:r/>
    </w:p>
    <w:p>
      <w:pPr>
        <w:pStyle w:val="1347"/>
        <w:ind w:firstLine="420"/>
        <w:spacing w:before="0" w:line="240" w:lineRule="auto"/>
        <w:tabs>
          <w:tab w:val="left" w:pos="567" w:leader="none"/>
        </w:tabs>
        <w:rPr>
          <w:rFonts w:hint="eastAsia" w:cs="宋体"/>
          <w:color w:val="000000"/>
          <w:highlight w:val="none"/>
        </w:rPr>
      </w:pPr>
      <w:r>
        <w:rPr>
          <w:rFonts w:hint="eastAsia" w:cs="宋体"/>
          <w:color w:val="000000"/>
          <w:highlight w:val="none"/>
        </w:rPr>
        <w:t xml:space="preserve">8.4  由于乙方在施工生产过程中违反有关安全操作规程、消防条例，导致发生安全或火灾事故，乙方应承担由此引发的一切经济损失。</w:t>
      </w:r>
      <w:r>
        <w:rPr>
          <w:rFonts w:hint="eastAsia" w:cs="宋体"/>
          <w:color w:val="000000"/>
          <w:highlight w:val="none"/>
        </w:rPr>
      </w:r>
      <w:r/>
    </w:p>
    <w:p>
      <w:pPr>
        <w:pStyle w:val="1347"/>
        <w:ind w:firstLine="420"/>
        <w:spacing w:before="0" w:line="240" w:lineRule="auto"/>
        <w:tabs>
          <w:tab w:val="left" w:pos="567" w:leader="none"/>
        </w:tabs>
        <w:rPr>
          <w:rFonts w:hint="eastAsia" w:cs="宋体"/>
          <w:color w:val="000000"/>
          <w:highlight w:val="none"/>
        </w:rPr>
      </w:pPr>
      <w:r>
        <w:rPr>
          <w:rFonts w:hint="eastAsia" w:cs="宋体"/>
          <w:color w:val="000000"/>
          <w:highlight w:val="none"/>
        </w:rPr>
        <w:t xml:space="preserve">8.5 项目安全生产的达标目标及相应事项的约定：要求安全文明施工。</w:t>
      </w:r>
      <w:r>
        <w:rPr>
          <w:rFonts w:hint="eastAsia" w:cs="宋体"/>
          <w:color w:val="000000"/>
          <w:highlight w:val="none"/>
        </w:rPr>
      </w:r>
      <w:r/>
    </w:p>
    <w:p>
      <w:pPr>
        <w:pStyle w:val="1347"/>
        <w:ind w:firstLine="420"/>
        <w:spacing w:before="0" w:line="240" w:lineRule="auto"/>
        <w:tabs>
          <w:tab w:val="left" w:pos="567" w:leader="none"/>
        </w:tabs>
        <w:rPr>
          <w:rFonts w:hint="eastAsia" w:cs="宋体"/>
          <w:color w:val="000000"/>
          <w:highlight w:val="none"/>
        </w:rPr>
      </w:pPr>
      <w:r>
        <w:rPr>
          <w:rFonts w:hint="eastAsia" w:cs="宋体"/>
          <w:color w:val="000000"/>
          <w:highlight w:val="none"/>
        </w:rPr>
        <w:t xml:space="preserve">（1）乙方在施工期间须针对周边情况做好防尘降噪工作，应遵守《中华人民共和国安全生产法》及地方政府和有关部门对施工场地交通、噪声、污水、现场环境卫生、扬尘和场外污染等管理规定并办理有关手续。  </w:t>
      </w:r>
      <w:r>
        <w:rPr>
          <w:rFonts w:hint="eastAsia" w:cs="宋体"/>
          <w:color w:val="000000"/>
          <w:highlight w:val="none"/>
        </w:rPr>
      </w:r>
      <w:r/>
    </w:p>
    <w:p>
      <w:pPr>
        <w:pStyle w:val="1347"/>
        <w:ind w:firstLine="420"/>
        <w:spacing w:before="0" w:line="240" w:lineRule="auto"/>
        <w:tabs>
          <w:tab w:val="left" w:pos="567" w:leader="none"/>
        </w:tabs>
        <w:rPr>
          <w:rFonts w:hint="eastAsia" w:cs="宋体"/>
          <w:color w:val="000000"/>
          <w:highlight w:val="none"/>
        </w:rPr>
      </w:pPr>
      <w:r>
        <w:rPr>
          <w:rFonts w:hint="eastAsia" w:cs="宋体"/>
          <w:color w:val="000000"/>
          <w:highlight w:val="none"/>
        </w:rPr>
        <w:t xml:space="preserve">（2）乙方须做好文明施工、安全生产，在施工过程中应完善文明施工措施，在施工过程中因乙方原因造成的安全事故由乙方承担。承担施工及场地内安全保卫工作及非夜间施工照明的责任和要求：乙方根据需要负责施工现场围护、看守和护卫等，乙方在进场前要制订对人员、机械设备的操作、安全用电及消防等各方面的安全制度，增强全体施工人员的安全意识，落实安全责任，禁止无关单位车辆、人员出入工地。如乙方未履行上述义务造成工程、财产和人身伤害，由乙方承担责任及所发生的费用。  </w:t>
      </w:r>
      <w:r>
        <w:rPr>
          <w:rFonts w:hint="eastAsia" w:cs="宋体"/>
          <w:color w:val="000000"/>
          <w:highlight w:val="none"/>
        </w:rPr>
      </w:r>
      <w:r/>
    </w:p>
    <w:p>
      <w:pPr>
        <w:pStyle w:val="1347"/>
        <w:ind w:firstLine="420"/>
        <w:spacing w:before="0" w:line="240" w:lineRule="auto"/>
        <w:tabs>
          <w:tab w:val="left" w:pos="567" w:leader="none"/>
        </w:tabs>
        <w:rPr>
          <w:rFonts w:hint="eastAsia" w:cs="宋体"/>
          <w:color w:val="000000"/>
          <w:highlight w:val="none"/>
        </w:rPr>
      </w:pPr>
      <w:r>
        <w:rPr>
          <w:rFonts w:hint="eastAsia" w:cs="宋体"/>
          <w:color w:val="000000"/>
          <w:highlight w:val="none"/>
        </w:rPr>
        <w:t xml:space="preserve">8.6 关于治安保卫的特别约定：乙方应采取必要的安全防护措施，全面负责施工围墙范围内的治安保卫工作并承担因乙方因该项工作不力而造成的相应损失。</w:t>
      </w:r>
      <w:r>
        <w:rPr>
          <w:rFonts w:hint="eastAsia" w:cs="宋体"/>
          <w:color w:val="000000"/>
          <w:highlight w:val="none"/>
        </w:rPr>
      </w:r>
      <w:r/>
    </w:p>
    <w:p>
      <w:pPr>
        <w:pStyle w:val="1347"/>
        <w:ind w:firstLine="420"/>
        <w:spacing w:before="0" w:line="240" w:lineRule="auto"/>
        <w:tabs>
          <w:tab w:val="left" w:pos="567" w:leader="none"/>
        </w:tabs>
        <w:rPr>
          <w:rFonts w:hint="eastAsia" w:cs="宋体"/>
          <w:color w:val="000000"/>
          <w:highlight w:val="none"/>
        </w:rPr>
      </w:pPr>
      <w:r>
        <w:rPr>
          <w:rFonts w:hint="eastAsia" w:cs="宋体"/>
          <w:color w:val="000000"/>
          <w:highlight w:val="none"/>
        </w:rPr>
        <w:t xml:space="preserve">关于编制施工场地治安管理计划的约定：乙方应在开工前7天编制施工场地治安管理计划。 </w:t>
      </w:r>
      <w:r>
        <w:rPr>
          <w:rFonts w:hint="eastAsia" w:cs="宋体"/>
          <w:color w:val="000000"/>
          <w:highlight w:val="none"/>
        </w:rPr>
      </w:r>
      <w:r/>
    </w:p>
    <w:p>
      <w:pPr>
        <w:pStyle w:val="1347"/>
        <w:spacing w:before="0" w:line="240" w:lineRule="auto"/>
        <w:tabs>
          <w:tab w:val="left" w:pos="567" w:leader="none"/>
        </w:tabs>
        <w:rPr>
          <w:rFonts w:hint="eastAsia" w:cs="宋体"/>
          <w:b/>
          <w:bCs/>
          <w:color w:val="000000"/>
          <w:highlight w:val="none"/>
        </w:rPr>
        <w:outlineLvl w:val="1"/>
      </w:pPr>
      <w:r>
        <w:rPr>
          <w:rFonts w:hint="eastAsia" w:cs="宋体"/>
          <w:b/>
          <w:bCs/>
          <w:color w:val="000000"/>
          <w:highlight w:val="none"/>
        </w:rPr>
        <w:t xml:space="preserve">第9条  违约责任</w:t>
      </w:r>
      <w:r>
        <w:rPr>
          <w:rFonts w:hint="eastAsia" w:cs="宋体"/>
          <w:b/>
          <w:bCs/>
          <w:color w:val="000000"/>
          <w:highlight w:val="none"/>
        </w:rPr>
      </w:r>
      <w:r/>
    </w:p>
    <w:p>
      <w:pPr>
        <w:pStyle w:val="1347"/>
        <w:ind w:firstLine="420"/>
        <w:spacing w:before="0" w:line="240" w:lineRule="auto"/>
        <w:tabs>
          <w:tab w:val="left" w:pos="567" w:leader="none"/>
        </w:tabs>
        <w:rPr>
          <w:rFonts w:hint="eastAsia" w:cs="宋体"/>
          <w:color w:val="000000"/>
          <w:highlight w:val="none"/>
        </w:rPr>
      </w:pPr>
      <w:r>
        <w:rPr>
          <w:rFonts w:hint="eastAsia" w:cs="宋体"/>
          <w:color w:val="000000"/>
          <w:highlight w:val="none"/>
        </w:rPr>
        <w:t xml:space="preserve">9.1 施工过程中未经甲方批准，擅自使用品牌、规格、技术参数等与谈判文件规定不相符的材料，该材料所涉及的分项目将不予结算；甲方将对乙方采购使用的材料进行抽检，如检验结果不符合谈判文件要求，将处以不合格材料总价2倍的罚金。</w:t>
      </w:r>
      <w:r>
        <w:rPr>
          <w:rFonts w:hint="eastAsia" w:cs="宋体"/>
          <w:color w:val="000000"/>
          <w:highlight w:val="none"/>
        </w:rPr>
      </w:r>
      <w:r/>
    </w:p>
    <w:p>
      <w:pPr>
        <w:pStyle w:val="1347"/>
        <w:ind w:firstLine="420"/>
        <w:spacing w:before="0" w:line="240" w:lineRule="auto"/>
        <w:tabs>
          <w:tab w:val="left" w:pos="567" w:leader="none"/>
        </w:tabs>
        <w:rPr>
          <w:rFonts w:hint="eastAsia" w:cs="宋体"/>
          <w:color w:val="000000"/>
          <w:highlight w:val="none"/>
        </w:rPr>
      </w:pPr>
      <w:r>
        <w:rPr>
          <w:rFonts w:hint="eastAsia" w:cs="宋体"/>
          <w:color w:val="000000"/>
          <w:highlight w:val="none"/>
        </w:rPr>
        <w:t xml:space="preserve">9.2 由于甲方原因导致延期开工或中途停工，工期顺延。甲方不按合同的约定拨付款，每拖期一天，按付款额的1%支付滞纳金。</w:t>
      </w:r>
      <w:r>
        <w:rPr>
          <w:rFonts w:hint="eastAsia" w:cs="宋体"/>
          <w:color w:val="000000"/>
          <w:highlight w:val="none"/>
        </w:rPr>
      </w:r>
      <w:r/>
    </w:p>
    <w:p>
      <w:pPr>
        <w:pStyle w:val="1347"/>
        <w:ind w:firstLine="420"/>
        <w:spacing w:before="0" w:line="240" w:lineRule="auto"/>
        <w:tabs>
          <w:tab w:val="left" w:pos="567" w:leader="none"/>
        </w:tabs>
        <w:rPr>
          <w:rFonts w:hint="eastAsia" w:cs="宋体"/>
          <w:color w:val="000000"/>
          <w:highlight w:val="none"/>
        </w:rPr>
      </w:pPr>
      <w:r>
        <w:rPr>
          <w:rFonts w:hint="eastAsia" w:cs="宋体"/>
          <w:color w:val="000000"/>
          <w:highlight w:val="none"/>
        </w:rPr>
        <w:t xml:space="preserve">9.3 由于乙方原因，逾期竣工，每延误一天按1000元进行处罚，以合同金额的2%为限。</w:t>
      </w:r>
      <w:r>
        <w:rPr>
          <w:rFonts w:hint="eastAsia" w:cs="宋体"/>
          <w:color w:val="000000"/>
          <w:highlight w:val="none"/>
        </w:rPr>
      </w:r>
      <w:r/>
    </w:p>
    <w:p>
      <w:pPr>
        <w:pStyle w:val="1347"/>
        <w:ind w:firstLine="420"/>
        <w:spacing w:before="0" w:line="240" w:lineRule="auto"/>
        <w:tabs>
          <w:tab w:val="left" w:pos="567" w:leader="none"/>
        </w:tabs>
        <w:rPr>
          <w:rFonts w:hint="eastAsia" w:cs="宋体"/>
          <w:color w:val="000000"/>
          <w:highlight w:val="none"/>
        </w:rPr>
      </w:pPr>
      <w:r>
        <w:rPr>
          <w:rFonts w:hint="eastAsia" w:cs="宋体"/>
          <w:color w:val="000000"/>
          <w:highlight w:val="none"/>
        </w:rPr>
        <w:t xml:space="preserve">9.4 乙方应妥善保护甲方施工现场的设备、家具、陈设，如造成损失，应按价赔偿。</w:t>
      </w:r>
      <w:r>
        <w:rPr>
          <w:rFonts w:hint="eastAsia" w:cs="宋体"/>
          <w:color w:val="000000"/>
          <w:highlight w:val="none"/>
        </w:rPr>
      </w:r>
      <w:r/>
    </w:p>
    <w:p>
      <w:pPr>
        <w:pStyle w:val="1347"/>
        <w:ind w:firstLine="420"/>
        <w:spacing w:before="0" w:line="240" w:lineRule="auto"/>
        <w:tabs>
          <w:tab w:val="left" w:pos="567" w:leader="none"/>
        </w:tabs>
        <w:rPr>
          <w:rFonts w:hint="eastAsia" w:cs="宋体"/>
          <w:color w:val="000000"/>
          <w:highlight w:val="none"/>
        </w:rPr>
      </w:pPr>
      <w:r>
        <w:rPr>
          <w:rFonts w:hint="eastAsia" w:cs="宋体"/>
          <w:color w:val="000000"/>
          <w:highlight w:val="none"/>
        </w:rPr>
        <w:t xml:space="preserve">9.5 甲方未办理任何手续，擅自同意拆改原有建筑物结构或设备管线，由此发生的损失或事故（包括罚款），由甲方负责并承担损失。</w:t>
      </w:r>
      <w:r>
        <w:rPr>
          <w:rFonts w:hint="eastAsia" w:cs="宋体"/>
          <w:color w:val="000000"/>
          <w:highlight w:val="none"/>
        </w:rPr>
      </w:r>
      <w:r/>
    </w:p>
    <w:p>
      <w:pPr>
        <w:pStyle w:val="1347"/>
        <w:ind w:firstLine="420"/>
        <w:spacing w:before="0" w:line="240" w:lineRule="auto"/>
        <w:tabs>
          <w:tab w:val="left" w:pos="567" w:leader="none"/>
        </w:tabs>
        <w:rPr>
          <w:rFonts w:hint="eastAsia" w:cs="宋体"/>
          <w:color w:val="000000"/>
          <w:highlight w:val="none"/>
        </w:rPr>
      </w:pPr>
      <w:r>
        <w:rPr>
          <w:rFonts w:hint="eastAsia" w:cs="宋体"/>
          <w:color w:val="000000"/>
          <w:highlight w:val="none"/>
        </w:rPr>
        <w:t xml:space="preserve">9.6 未经甲方同意，乙方擅自拆改原建筑物结构或设备管线，由此发生的损失或事故（包括罚款），由乙方负责并承担损失。</w:t>
      </w:r>
      <w:r>
        <w:rPr>
          <w:rFonts w:hint="eastAsia" w:cs="宋体"/>
          <w:color w:val="000000"/>
          <w:highlight w:val="none"/>
        </w:rPr>
      </w:r>
      <w:r/>
    </w:p>
    <w:p>
      <w:pPr>
        <w:pStyle w:val="1347"/>
        <w:ind w:firstLine="420"/>
        <w:spacing w:before="0" w:line="240" w:lineRule="auto"/>
        <w:tabs>
          <w:tab w:val="left" w:pos="567" w:leader="none"/>
        </w:tabs>
        <w:rPr>
          <w:rFonts w:hint="eastAsia" w:cs="宋体"/>
          <w:color w:val="000000"/>
          <w:highlight w:val="none"/>
        </w:rPr>
      </w:pPr>
      <w:r>
        <w:rPr>
          <w:rFonts w:hint="eastAsia" w:cs="宋体"/>
          <w:color w:val="000000"/>
          <w:highlight w:val="none"/>
        </w:rPr>
        <w:t xml:space="preserve">9.7 未办理验收手续，甲方提前使用或擅自动用，造成损失由甲方负责。</w:t>
      </w:r>
      <w:r>
        <w:rPr>
          <w:rFonts w:hint="eastAsia" w:cs="宋体"/>
          <w:color w:val="000000"/>
          <w:highlight w:val="none"/>
        </w:rPr>
      </w:r>
      <w:r/>
    </w:p>
    <w:p>
      <w:pPr>
        <w:pStyle w:val="1347"/>
        <w:ind w:firstLine="420"/>
        <w:spacing w:before="0" w:line="240" w:lineRule="auto"/>
        <w:tabs>
          <w:tab w:val="left" w:pos="567" w:leader="none"/>
        </w:tabs>
        <w:rPr>
          <w:rFonts w:hint="eastAsia" w:cs="宋体"/>
          <w:color w:val="000000"/>
          <w:highlight w:val="none"/>
        </w:rPr>
      </w:pPr>
      <w:r>
        <w:rPr>
          <w:rFonts w:hint="eastAsia" w:cs="宋体"/>
          <w:color w:val="000000"/>
          <w:highlight w:val="none"/>
        </w:rPr>
        <w:t xml:space="preserve">9.8 因一方原因，合同无法继续履行时，应书面通知对方，办理合同终止协议，并由责任方承担由此造成的一切经济损失。</w:t>
      </w:r>
      <w:r>
        <w:rPr>
          <w:rFonts w:hint="eastAsia" w:cs="宋体"/>
          <w:color w:val="000000"/>
          <w:highlight w:val="none"/>
        </w:rPr>
      </w:r>
      <w:r/>
    </w:p>
    <w:p>
      <w:pPr>
        <w:pStyle w:val="1347"/>
        <w:ind w:firstLine="420"/>
        <w:spacing w:before="0" w:line="240" w:lineRule="auto"/>
        <w:tabs>
          <w:tab w:val="left" w:pos="567" w:leader="none"/>
        </w:tabs>
        <w:rPr>
          <w:rFonts w:hint="eastAsia" w:cs="宋体"/>
          <w:b/>
          <w:bCs/>
          <w:color w:val="000000"/>
          <w:highlight w:val="none"/>
        </w:rPr>
      </w:pPr>
      <w:r>
        <w:rPr>
          <w:rFonts w:hint="eastAsia" w:cs="宋体"/>
          <w:b/>
          <w:bCs/>
          <w:color w:val="000000"/>
          <w:highlight w:val="none"/>
        </w:rPr>
        <w:t xml:space="preserve">9.9 其他违约责任及处罚的补充内容</w:t>
      </w:r>
      <w:r>
        <w:rPr>
          <w:rFonts w:hint="eastAsia" w:cs="宋体"/>
          <w:b/>
          <w:bCs/>
          <w:color w:val="000000"/>
          <w:highlight w:val="none"/>
        </w:rPr>
      </w:r>
      <w:r/>
    </w:p>
    <w:p>
      <w:pPr>
        <w:pStyle w:val="1347"/>
        <w:ind w:firstLine="420"/>
        <w:spacing w:before="0" w:line="240" w:lineRule="auto"/>
        <w:tabs>
          <w:tab w:val="left" w:pos="567" w:leader="none"/>
        </w:tabs>
        <w:rPr>
          <w:rFonts w:hint="eastAsia" w:cs="宋体"/>
          <w:color w:val="000000"/>
          <w:highlight w:val="none"/>
        </w:rPr>
        <w:outlineLvl w:val="2"/>
      </w:pPr>
      <w:r>
        <w:rPr>
          <w:rFonts w:hint="eastAsia" w:cs="宋体"/>
          <w:color w:val="000000"/>
          <w:highlight w:val="none"/>
        </w:rPr>
        <w:t xml:space="preserve">（1）适用于合同的其他规范性文件：招标文件、答疑纪要、工程量清单及编制说明、投标文件及双方其他书面约定作为本合同附件，等同合同的法律效力。  </w:t>
      </w:r>
      <w:r>
        <w:rPr>
          <w:rFonts w:hint="eastAsia" w:cs="宋体"/>
          <w:color w:val="000000"/>
          <w:highlight w:val="none"/>
        </w:rPr>
      </w:r>
      <w:r/>
    </w:p>
    <w:p>
      <w:pPr>
        <w:pStyle w:val="1347"/>
        <w:ind w:firstLine="420"/>
        <w:spacing w:before="0" w:line="240" w:lineRule="auto"/>
        <w:tabs>
          <w:tab w:val="left" w:pos="567" w:leader="none"/>
        </w:tabs>
        <w:rPr>
          <w:rFonts w:hint="eastAsia" w:cs="宋体"/>
          <w:color w:val="000000"/>
          <w:highlight w:val="none"/>
        </w:rPr>
        <w:outlineLvl w:val="2"/>
      </w:pPr>
      <w:r>
        <w:rPr>
          <w:rFonts w:hint="eastAsia" w:cs="宋体"/>
          <w:color w:val="000000"/>
          <w:highlight w:val="none"/>
        </w:rPr>
        <w:t xml:space="preserve">（2） 乙方应履行合同约定的其他义务以及下述义务：</w:t>
      </w:r>
      <w:r>
        <w:rPr>
          <w:rFonts w:hint="eastAsia" w:cs="宋体"/>
          <w:color w:val="000000"/>
          <w:highlight w:val="none"/>
        </w:rPr>
      </w:r>
      <w:r/>
    </w:p>
    <w:p>
      <w:pPr>
        <w:pStyle w:val="1347"/>
        <w:ind w:firstLine="420"/>
        <w:spacing w:before="0" w:line="240" w:lineRule="auto"/>
        <w:tabs>
          <w:tab w:val="left" w:pos="567" w:leader="none"/>
        </w:tabs>
        <w:rPr>
          <w:rFonts w:eastAsia="宋体" w:cs="宋体"/>
          <w:color w:val="000000"/>
          <w:highlight w:val="none"/>
          <w:lang w:val="en-US" w:eastAsia="zh-CN"/>
        </w:rPr>
        <w:outlineLvl w:val="2"/>
      </w:pPr>
      <w:r>
        <w:rPr>
          <w:rFonts w:hint="eastAsia" w:cs="宋体"/>
          <w:color w:val="000000"/>
          <w:highlight w:val="none"/>
        </w:rPr>
        <w:t xml:space="preserve">①中标的项目经理不得更换，如确有特殊原因需更换，需承担违约金5万元并经甲方同意(意外事故及突发重病除外)，且更换后的项目经理资历条件不</w:t>
      </w:r>
      <w:r>
        <w:rPr>
          <w:rFonts w:hint="eastAsia" w:cs="宋体"/>
          <w:color w:val="000000"/>
          <w:highlight w:val="none"/>
        </w:rPr>
        <w:t xml:space="preserve">得低于原中标项目经理。甲方要求投标文件中的施工员、安全员和质量员到位，中途若需更换人员，需承担违约金1万元/人并经甲方同意(意外事故及突发重病除外)。乙方项目经理每周到岗天数不少于5日，每日工作时间不低于6小时，并24 小时保持通讯畅通。由监理单位对其考勤，如低于上述天数和工作时间，作违约处理，乙方向甲方支付违约金5000元/天。乙方投标文件所报主要施工管理人员每日确保到岗，由监理单位对主要施工管理人员（安全员、施工员、质量员）每日考勤，如达不到上述要求，作违约处理，乙方向甲方支付违约金2000元/人•天。</w:t>
      </w:r>
      <w:r>
        <w:rPr>
          <w:rFonts w:hint="eastAsia" w:cs="宋体"/>
          <w:color w:val="000000"/>
          <w:highlight w:val="none"/>
          <w:lang w:val="en-US" w:eastAsia="zh-CN"/>
        </w:rPr>
        <w:t xml:space="preserve">甲方有权对项目经理和主要施工管理人员开展在岗情况不定期抽查，发现人员缺勤的根据以上标准作违约处理，</w:t>
      </w:r>
      <w:r>
        <w:rPr>
          <w:rFonts w:hint="eastAsia" w:cs="宋体"/>
          <w:color w:val="000000"/>
          <w:highlight w:val="none"/>
        </w:rPr>
        <w:t xml:space="preserve">乙方向甲方支付</w:t>
      </w:r>
      <w:r>
        <w:rPr>
          <w:rFonts w:hint="eastAsia" w:cs="宋体"/>
          <w:color w:val="000000"/>
          <w:highlight w:val="none"/>
          <w:lang w:val="en-US" w:eastAsia="zh-CN"/>
        </w:rPr>
        <w:t xml:space="preserve">相应</w:t>
      </w:r>
      <w:r>
        <w:rPr>
          <w:rFonts w:hint="eastAsia" w:cs="宋体"/>
          <w:color w:val="000000"/>
          <w:highlight w:val="none"/>
        </w:rPr>
        <w:t xml:space="preserve">违约金</w:t>
      </w:r>
      <w:r>
        <w:rPr>
          <w:rFonts w:hint="eastAsia" w:cs="宋体"/>
          <w:color w:val="000000"/>
          <w:highlight w:val="none"/>
          <w:lang w:val="en-US" w:eastAsia="zh-CN"/>
        </w:rPr>
        <w:t xml:space="preserve">。</w:t>
      </w:r>
      <w:r>
        <w:rPr>
          <w:rFonts w:eastAsia="宋体" w:cs="宋体"/>
          <w:color w:val="000000"/>
          <w:highlight w:val="none"/>
          <w:lang w:val="en-US" w:eastAsia="zh-CN"/>
        </w:rPr>
      </w:r>
      <w:r/>
    </w:p>
    <w:p>
      <w:pPr>
        <w:pStyle w:val="1347"/>
        <w:ind w:firstLine="420"/>
        <w:spacing w:before="0" w:line="240" w:lineRule="auto"/>
        <w:tabs>
          <w:tab w:val="left" w:pos="567" w:leader="none"/>
        </w:tabs>
        <w:rPr>
          <w:rFonts w:hint="eastAsia" w:cs="宋体"/>
          <w:color w:val="000000"/>
          <w:highlight w:val="none"/>
        </w:rPr>
        <w:outlineLvl w:val="2"/>
      </w:pPr>
      <w:r>
        <w:rPr>
          <w:rFonts w:hint="eastAsia" w:cs="宋体"/>
          <w:color w:val="000000"/>
          <w:highlight w:val="none"/>
        </w:rPr>
        <w:t xml:space="preserve">②本工程不得转包，一经发现，甲方将立即取消乙方的承包资格，根据具体情况处以5-10 万元的违约金，并追究其由此造成的一切后果。以暂定价计入承包合同的项目，若根据相关要求必须办理发包手续，乙方需积极办理相关招标工作及总分包合同备案手续。</w:t>
      </w:r>
      <w:r>
        <w:rPr>
          <w:rFonts w:hint="eastAsia" w:cs="宋体"/>
          <w:color w:val="000000"/>
          <w:highlight w:val="none"/>
        </w:rPr>
      </w:r>
      <w:r/>
    </w:p>
    <w:p>
      <w:pPr>
        <w:pStyle w:val="1347"/>
        <w:ind w:firstLine="420"/>
        <w:spacing w:before="0" w:line="240" w:lineRule="auto"/>
        <w:tabs>
          <w:tab w:val="left" w:pos="567" w:leader="none"/>
        </w:tabs>
        <w:rPr>
          <w:rFonts w:hint="eastAsia" w:cs="宋体"/>
          <w:color w:val="000000"/>
          <w:highlight w:val="none"/>
        </w:rPr>
        <w:outlineLvl w:val="2"/>
      </w:pPr>
      <w:r>
        <w:rPr>
          <w:rFonts w:hint="eastAsia" w:cs="宋体"/>
          <w:color w:val="000000"/>
          <w:highlight w:val="none"/>
        </w:rPr>
        <w:t xml:space="preserve">③乙方在本合同生效后7天内向监理、甲方提供施工组织设计和施工总进度计划，监理、甲方在3天内予以回复。施工组织设计和施工总进度计划经各方确认后，乙方应于2天内向各方提供正式的施工组织设计和施工总进度计划。乙方应于每月25日向监理人及甲方报送当月25日前实际完成的工程量报告及下月月进度计划。</w:t>
      </w:r>
      <w:r>
        <w:rPr>
          <w:rFonts w:hint="eastAsia" w:cs="宋体"/>
          <w:color w:val="000000"/>
          <w:highlight w:val="none"/>
        </w:rPr>
      </w:r>
      <w:r/>
    </w:p>
    <w:p>
      <w:pPr>
        <w:pStyle w:val="1347"/>
        <w:ind w:firstLine="420"/>
        <w:spacing w:before="0" w:line="240" w:lineRule="auto"/>
        <w:tabs>
          <w:tab w:val="left" w:pos="567" w:leader="none"/>
        </w:tabs>
        <w:rPr>
          <w:rFonts w:hint="eastAsia" w:cs="宋体"/>
          <w:color w:val="000000"/>
          <w:highlight w:val="none"/>
        </w:rPr>
        <w:outlineLvl w:val="2"/>
      </w:pPr>
      <w:r>
        <w:rPr>
          <w:rFonts w:hint="eastAsia" w:cs="宋体"/>
          <w:color w:val="000000"/>
          <w:highlight w:val="none"/>
        </w:rPr>
        <w:t xml:space="preserve">④需乙方办理的有关施工场地交通、环卫和施工噪音管理等手续：噪声管理：乙方自行办理夜间施工许可证，费用由乙方在投标报价中考虑；施工噪声引起的纠纷由乙方自行解决；垃圾管理：乙方自行办理垃圾弃置许可证，费用由乙方在投标报价中考虑；道路占用：乙方办理占用手续，费用由甲方负责，管理由乙方负责；</w:t>
      </w:r>
      <w:r>
        <w:rPr>
          <w:rFonts w:hint="eastAsia" w:cs="宋体"/>
          <w:color w:val="000000"/>
          <w:highlight w:val="none"/>
        </w:rPr>
      </w:r>
      <w:r/>
    </w:p>
    <w:p>
      <w:pPr>
        <w:pStyle w:val="1347"/>
        <w:ind w:firstLine="420"/>
        <w:spacing w:before="0" w:line="240" w:lineRule="auto"/>
        <w:tabs>
          <w:tab w:val="left" w:pos="567" w:leader="none"/>
        </w:tabs>
        <w:rPr>
          <w:rFonts w:hint="eastAsia" w:cs="宋体"/>
          <w:color w:val="000000"/>
          <w:highlight w:val="none"/>
        </w:rPr>
        <w:outlineLvl w:val="2"/>
      </w:pPr>
      <w:r>
        <w:rPr>
          <w:rFonts w:hint="eastAsia" w:cs="宋体"/>
          <w:color w:val="000000"/>
          <w:highlight w:val="none"/>
        </w:rPr>
        <w:t xml:space="preserve">⑤施工场地清洁卫生的要求：按照省、市文件的规定相关要求的执行。施工人员进场必须规范着装(包括安全装备、设施)、禁止在非规定地点吸烟、大小便、倒垃圾，违者将按施工过程中的相关管理办法或制度承担违约金。</w:t>
      </w:r>
      <w:r>
        <w:rPr>
          <w:rFonts w:hint="eastAsia" w:cs="宋体"/>
          <w:color w:val="000000"/>
          <w:highlight w:val="none"/>
        </w:rPr>
      </w:r>
      <w:r/>
    </w:p>
    <w:p>
      <w:pPr>
        <w:pStyle w:val="1347"/>
        <w:ind w:firstLine="420"/>
        <w:spacing w:before="0" w:line="240" w:lineRule="auto"/>
        <w:tabs>
          <w:tab w:val="left" w:pos="567" w:leader="none"/>
        </w:tabs>
        <w:rPr>
          <w:rFonts w:hint="eastAsia" w:cs="宋体"/>
          <w:color w:val="000000"/>
          <w:highlight w:val="none"/>
        </w:rPr>
        <w:outlineLvl w:val="2"/>
      </w:pPr>
      <w:r>
        <w:rPr>
          <w:rFonts w:hint="eastAsia" w:cs="宋体"/>
          <w:color w:val="000000"/>
          <w:highlight w:val="none"/>
        </w:rPr>
        <w:t xml:space="preserve">⑥有关方面重大活动期间或甲方需要的特别时间段内，可能对施工作出某些限制和配合要求，乙方应予无条件服从，并按照有关要求作出必要的配合，这可能造成乙方的损失，但甲方将不承担乙方的任何损失。</w:t>
      </w:r>
      <w:r>
        <w:rPr>
          <w:rFonts w:hint="eastAsia" w:cs="宋体"/>
          <w:color w:val="000000"/>
          <w:highlight w:val="none"/>
        </w:rPr>
      </w:r>
      <w:r/>
    </w:p>
    <w:p>
      <w:pPr>
        <w:pStyle w:val="1347"/>
        <w:ind w:firstLine="420"/>
        <w:spacing w:before="0" w:line="240" w:lineRule="auto"/>
        <w:tabs>
          <w:tab w:val="left" w:pos="567" w:leader="none"/>
        </w:tabs>
        <w:rPr>
          <w:rFonts w:hint="eastAsia" w:cs="宋体"/>
          <w:color w:val="000000"/>
          <w:highlight w:val="none"/>
        </w:rPr>
        <w:outlineLvl w:val="2"/>
      </w:pPr>
      <w:r>
        <w:rPr>
          <w:rFonts w:hint="eastAsia" w:cs="宋体"/>
          <w:color w:val="000000"/>
          <w:highlight w:val="none"/>
        </w:rPr>
        <w:t xml:space="preserve">⑦乙方要加强工程施工车辆的管理，服从公园管理安排。施工车辆不得无故影响道路交通。乙方负责与交警、城管、文保等有关部门联系解决在交通线路、道板上布设限速、禁停等标志、标牌，并根据有关部门要求，安排人员在主要路口疏解汽车、行人交通，其相应手续及费用由乙方承担。</w:t>
      </w:r>
      <w:r>
        <w:rPr>
          <w:rFonts w:hint="eastAsia" w:cs="宋体"/>
          <w:color w:val="000000"/>
          <w:highlight w:val="none"/>
        </w:rPr>
      </w:r>
      <w:r/>
    </w:p>
    <w:p>
      <w:pPr>
        <w:pStyle w:val="1347"/>
        <w:ind w:firstLine="420"/>
        <w:spacing w:before="0" w:line="240" w:lineRule="auto"/>
        <w:tabs>
          <w:tab w:val="left" w:pos="567" w:leader="none"/>
        </w:tabs>
        <w:rPr>
          <w:rFonts w:hint="eastAsia" w:cs="宋体"/>
          <w:color w:val="000000"/>
          <w:highlight w:val="none"/>
        </w:rPr>
        <w:outlineLvl w:val="2"/>
      </w:pPr>
      <w:r>
        <w:rPr>
          <w:rFonts w:hint="eastAsia" w:cs="宋体"/>
          <w:color w:val="000000"/>
          <w:highlight w:val="none"/>
        </w:rPr>
        <w:t xml:space="preserve">⑧乙方应与其他专业承包队伍的施工、甲方指定供应商的供货做好管理、协调、配合工作。乙方必须提供施工进度计划表，并明确各专业施工单位、甲方指定供应商在各区各层各部位的进场施工、供货时间，在经监理、甲方批准后，乙方应严格按照批准的施工进度安排各专业施工单位、甲方指定供应商进场施工、供货。由于乙方未能及时提供施工条件或配合各专业施工单位、甲方指定供应商进行施工、供货，而造成的工期延误和损失，由乙方承担全部责任。</w:t>
      </w:r>
      <w:r>
        <w:rPr>
          <w:rFonts w:hint="eastAsia" w:cs="宋体"/>
          <w:color w:val="000000"/>
          <w:highlight w:val="none"/>
        </w:rPr>
      </w:r>
      <w:r/>
    </w:p>
    <w:p>
      <w:pPr>
        <w:pStyle w:val="1347"/>
        <w:ind w:firstLine="420"/>
        <w:spacing w:before="0" w:line="240" w:lineRule="auto"/>
        <w:tabs>
          <w:tab w:val="left" w:pos="567" w:leader="none"/>
        </w:tabs>
        <w:rPr>
          <w:rFonts w:hint="eastAsia" w:cs="宋体"/>
          <w:color w:val="000000"/>
          <w:highlight w:val="none"/>
        </w:rPr>
        <w:outlineLvl w:val="2"/>
      </w:pPr>
      <w:r>
        <w:rPr>
          <w:rFonts w:hint="eastAsia" w:cs="宋体"/>
          <w:color w:val="000000"/>
          <w:highlight w:val="none"/>
        </w:rPr>
        <w:t xml:space="preserve">⑨乙方应配合甲方做好规划放线、验线工作，并做好点位引测及保护工作。</w:t>
      </w:r>
      <w:r>
        <w:rPr>
          <w:rFonts w:hint="eastAsia" w:cs="宋体"/>
          <w:color w:val="000000"/>
          <w:highlight w:val="none"/>
        </w:rPr>
      </w:r>
      <w:r/>
    </w:p>
    <w:p>
      <w:pPr>
        <w:pStyle w:val="1347"/>
        <w:ind w:firstLine="420"/>
        <w:spacing w:before="0" w:line="240" w:lineRule="auto"/>
        <w:tabs>
          <w:tab w:val="left" w:pos="567" w:leader="none"/>
        </w:tabs>
        <w:rPr>
          <w:rFonts w:hint="eastAsia" w:cs="宋体"/>
          <w:color w:val="000000"/>
          <w:highlight w:val="none"/>
        </w:rPr>
        <w:outlineLvl w:val="2"/>
      </w:pPr>
      <w:r>
        <w:rPr>
          <w:rFonts w:hint="eastAsia" w:cs="宋体"/>
          <w:color w:val="000000"/>
          <w:highlight w:val="none"/>
        </w:rPr>
        <w:t xml:space="preserve">⑩协调处理好施工场地周围邻近建筑物、构筑物（含文物保护建筑）、公园绿化、古树名木的保护工作，如乙方在施工中发现问题应及时以书面形式报告甲方、设计院，同时采取妥善的保护措施，由甲方、设计院出具解决方案，乙方组织实施，费用由甲方承担，如乙方在施工中发现问题不及时应承担由此发生的费用。如乙方在施工现场发掘出文物等，则按通用条款1.9 条执行。</w:t>
      </w:r>
      <w:r>
        <w:rPr>
          <w:rFonts w:hint="eastAsia" w:cs="宋体"/>
          <w:color w:val="000000"/>
          <w:highlight w:val="none"/>
        </w:rPr>
      </w:r>
      <w:r/>
    </w:p>
    <w:p>
      <w:pPr>
        <w:pStyle w:val="1347"/>
        <w:ind w:firstLine="420"/>
        <w:spacing w:before="0" w:line="240" w:lineRule="auto"/>
        <w:tabs>
          <w:tab w:val="left" w:pos="567" w:leader="none"/>
        </w:tabs>
        <w:rPr>
          <w:rFonts w:cs="宋体"/>
          <w:color w:val="000000"/>
          <w:highlight w:val="none"/>
        </w:rPr>
        <w:outlineLvl w:val="2"/>
      </w:pPr>
      <w:r>
        <w:rPr>
          <w:rFonts w:hint="eastAsia" w:cs="宋体"/>
          <w:color w:val="000000"/>
          <w:highlight w:val="none"/>
        </w:rPr>
        <w:t xml:space="preserve">⑾在甲方提供了符合规定的开工手续后，乙方应具备维护施工现场正常施工秩序的能力，防止施工过程中的“扰民”和“民扰”；在工程建设过程中，乙方对外发生的任何纠纷与交涉以及造成的损失，均由乙方自行解决并承担相应费用，甲方不承担任何责任；如需甲方进行协调，则协调发生的费用由乙方承担。因对外纠纷或其他人员阻挠而延误的工期不予顺延。</w:t>
      </w:r>
      <w:r>
        <w:rPr>
          <w:rFonts w:cs="宋体"/>
          <w:color w:val="000000"/>
          <w:highlight w:val="none"/>
        </w:rPr>
      </w:r>
      <w:r/>
    </w:p>
    <w:p>
      <w:pPr>
        <w:pStyle w:val="1347"/>
        <w:spacing w:before="0" w:line="240" w:lineRule="auto"/>
        <w:tabs>
          <w:tab w:val="left" w:pos="567" w:leader="none"/>
        </w:tabs>
        <w:rPr>
          <w:rFonts w:hint="eastAsia" w:cs="宋体"/>
          <w:b/>
          <w:bCs/>
          <w:color w:val="000000"/>
          <w:highlight w:val="none"/>
        </w:rPr>
        <w:outlineLvl w:val="1"/>
      </w:pPr>
      <w:r>
        <w:rPr>
          <w:rFonts w:hint="eastAsia" w:cs="宋体"/>
          <w:b/>
          <w:bCs/>
          <w:color w:val="000000"/>
          <w:highlight w:val="none"/>
        </w:rPr>
        <w:t xml:space="preserve">第10条  争议的解决方式</w:t>
      </w:r>
      <w:r>
        <w:rPr>
          <w:rFonts w:hint="eastAsia" w:cs="宋体"/>
          <w:b/>
          <w:bCs/>
          <w:color w:val="000000"/>
          <w:highlight w:val="none"/>
        </w:rPr>
      </w:r>
      <w:r/>
    </w:p>
    <w:p>
      <w:pPr>
        <w:pStyle w:val="1347"/>
        <w:ind w:firstLine="480"/>
        <w:spacing w:before="0" w:line="240" w:lineRule="auto"/>
        <w:tabs>
          <w:tab w:val="left" w:pos="567" w:leader="none"/>
        </w:tabs>
        <w:rPr>
          <w:rFonts w:hint="eastAsia" w:cs="宋体"/>
          <w:color w:val="000000"/>
          <w:highlight w:val="none"/>
        </w:rPr>
        <w:outlineLvl w:val="1"/>
      </w:pPr>
      <w:r>
        <w:rPr>
          <w:rFonts w:hint="eastAsia" w:cs="宋体"/>
          <w:color w:val="000000"/>
          <w:highlight w:val="none"/>
        </w:rPr>
        <w:t xml:space="preserve">双方在签订、履行合同中所发生的一切争议，应通过友好协商解决。如协商不成，由甲方住所地人民法院管辖。</w:t>
      </w:r>
      <w:r>
        <w:rPr>
          <w:rFonts w:hint="eastAsia" w:cs="宋体"/>
          <w:color w:val="000000"/>
          <w:highlight w:val="none"/>
        </w:rPr>
      </w:r>
      <w:r/>
    </w:p>
    <w:p>
      <w:pPr>
        <w:pStyle w:val="1347"/>
        <w:spacing w:before="0" w:line="240" w:lineRule="auto"/>
        <w:tabs>
          <w:tab w:val="left" w:pos="567" w:leader="none"/>
        </w:tabs>
        <w:rPr>
          <w:rFonts w:hint="eastAsia" w:cs="宋体"/>
          <w:b/>
          <w:bCs/>
          <w:color w:val="000000"/>
          <w:highlight w:val="none"/>
        </w:rPr>
        <w:outlineLvl w:val="1"/>
      </w:pPr>
      <w:r>
        <w:rPr>
          <w:rFonts w:hint="eastAsia" w:cs="宋体"/>
          <w:b/>
          <w:bCs/>
          <w:color w:val="000000"/>
          <w:highlight w:val="none"/>
        </w:rPr>
        <w:t xml:space="preserve">第11条  其它约定:</w:t>
      </w:r>
      <w:r>
        <w:rPr>
          <w:rFonts w:hint="eastAsia" w:cs="宋体"/>
          <w:b/>
          <w:bCs/>
          <w:color w:val="000000"/>
          <w:highlight w:val="none"/>
        </w:rPr>
      </w:r>
      <w:r/>
    </w:p>
    <w:p>
      <w:pPr>
        <w:pStyle w:val="1347"/>
        <w:ind w:firstLine="420"/>
        <w:spacing w:before="0" w:line="240" w:lineRule="auto"/>
        <w:tabs>
          <w:tab w:val="left" w:pos="567" w:leader="none"/>
        </w:tabs>
        <w:rPr>
          <w:rFonts w:hint="eastAsia" w:cs="宋体"/>
          <w:color w:val="000000"/>
          <w:highlight w:val="none"/>
        </w:rPr>
      </w:pPr>
      <w:r>
        <w:rPr>
          <w:rFonts w:hint="eastAsia" w:cs="宋体"/>
          <w:color w:val="000000"/>
          <w:highlight w:val="none"/>
        </w:rPr>
        <w:t xml:space="preserve">①工程结算审计工作由甲方负责实施推进；如发生重大变更事项及超采购预算时，必须经甲方批准后方可实施。工程结算审定价超预算部分如无正常合法手续的，概不支付、结算。</w:t>
      </w:r>
      <w:r>
        <w:rPr>
          <w:rFonts w:hint="eastAsia" w:cs="宋体"/>
          <w:color w:val="000000"/>
          <w:highlight w:val="none"/>
        </w:rPr>
      </w:r>
      <w:r/>
    </w:p>
    <w:p>
      <w:pPr>
        <w:pStyle w:val="1347"/>
        <w:ind w:firstLine="420"/>
        <w:spacing w:before="0" w:line="240" w:lineRule="auto"/>
        <w:tabs>
          <w:tab w:val="left" w:pos="567" w:leader="none"/>
        </w:tabs>
        <w:rPr>
          <w:rFonts w:hint="eastAsia" w:cs="宋体"/>
          <w:color w:val="000000"/>
          <w:highlight w:val="none"/>
        </w:rPr>
        <w:outlineLvl w:val="2"/>
      </w:pPr>
      <w:r>
        <w:rPr>
          <w:rFonts w:hint="eastAsia" w:cs="宋体"/>
          <w:color w:val="000000"/>
          <w:highlight w:val="none"/>
        </w:rPr>
        <w:t xml:space="preserve">②工程施工管理、竣工验收工作由甲方负责组织实施。</w:t>
      </w:r>
      <w:r>
        <w:rPr>
          <w:rFonts w:hint="eastAsia" w:cs="宋体"/>
          <w:color w:val="000000"/>
          <w:highlight w:val="none"/>
        </w:rPr>
      </w:r>
      <w:r/>
    </w:p>
    <w:p>
      <w:pPr>
        <w:pStyle w:val="1347"/>
        <w:ind w:firstLine="420"/>
        <w:spacing w:before="0" w:line="240" w:lineRule="auto"/>
        <w:tabs>
          <w:tab w:val="left" w:pos="567" w:leader="none"/>
        </w:tabs>
        <w:rPr>
          <w:rFonts w:hint="eastAsia" w:cs="宋体"/>
          <w:color w:val="000000"/>
          <w:highlight w:val="none"/>
        </w:rPr>
      </w:pPr>
      <w:r>
        <w:rPr>
          <w:rFonts w:hint="eastAsia" w:cs="宋体"/>
          <w:color w:val="000000"/>
          <w:highlight w:val="none"/>
        </w:rPr>
        <w:t xml:space="preserve">③乙方必须注意确保安全生产、文明施工；如发生违法乱纪及人身伤亡等事故，一切责任均由乙方负责。</w:t>
      </w:r>
      <w:r>
        <w:rPr>
          <w:rFonts w:hint="eastAsia" w:cs="宋体"/>
          <w:color w:val="000000"/>
          <w:highlight w:val="none"/>
        </w:rPr>
      </w:r>
      <w:r/>
    </w:p>
    <w:p>
      <w:pPr>
        <w:pStyle w:val="1347"/>
        <w:ind w:firstLine="420"/>
        <w:spacing w:before="0" w:line="240" w:lineRule="auto"/>
        <w:tabs>
          <w:tab w:val="left" w:pos="567" w:leader="none"/>
        </w:tabs>
        <w:rPr>
          <w:rFonts w:hint="eastAsia" w:cs="宋体"/>
          <w:color w:val="000000"/>
          <w:highlight w:val="none"/>
        </w:rPr>
      </w:pPr>
      <w:r>
        <w:rPr>
          <w:rFonts w:hint="eastAsia" w:cs="宋体"/>
          <w:color w:val="000000"/>
          <w:highlight w:val="none"/>
        </w:rPr>
        <w:t xml:space="preserve">④补充图纸和指示：甲方有权向乙方发出任何图纸变更或指令，乙方应无条件遵照执行。</w:t>
      </w:r>
      <w:r>
        <w:rPr>
          <w:rFonts w:hint="eastAsia" w:cs="宋体"/>
          <w:color w:val="000000"/>
          <w:highlight w:val="none"/>
        </w:rPr>
      </w:r>
      <w:r/>
    </w:p>
    <w:p>
      <w:pPr>
        <w:pStyle w:val="1347"/>
        <w:ind w:firstLine="420"/>
        <w:spacing w:before="0" w:line="240" w:lineRule="auto"/>
        <w:tabs>
          <w:tab w:val="left" w:pos="567" w:leader="none"/>
        </w:tabs>
        <w:rPr>
          <w:rFonts w:hint="eastAsia" w:cs="宋体"/>
          <w:color w:val="000000"/>
          <w:highlight w:val="none"/>
        </w:rPr>
        <w:outlineLvl w:val="2"/>
      </w:pPr>
      <w:r>
        <w:rPr>
          <w:rFonts w:hint="eastAsia" w:cs="宋体"/>
          <w:color w:val="000000"/>
          <w:highlight w:val="none"/>
        </w:rPr>
        <w:t xml:space="preserve">⑤其他未尽事宜另行协商。</w:t>
      </w:r>
      <w:r>
        <w:rPr>
          <w:rFonts w:hint="eastAsia" w:cs="宋体"/>
          <w:color w:val="000000"/>
          <w:highlight w:val="none"/>
        </w:rPr>
      </w:r>
      <w:r/>
    </w:p>
    <w:p>
      <w:pPr>
        <w:pStyle w:val="1347"/>
        <w:spacing w:before="0" w:line="240" w:lineRule="auto"/>
        <w:tabs>
          <w:tab w:val="left" w:pos="567" w:leader="none"/>
        </w:tabs>
        <w:rPr>
          <w:rFonts w:hint="eastAsia" w:cs="宋体"/>
          <w:b/>
          <w:bCs/>
          <w:color w:val="000000"/>
          <w:highlight w:val="none"/>
        </w:rPr>
        <w:outlineLvl w:val="1"/>
      </w:pPr>
      <w:r>
        <w:rPr>
          <w:rFonts w:hint="eastAsia" w:cs="宋体"/>
          <w:b/>
          <w:bCs/>
          <w:color w:val="000000"/>
          <w:highlight w:val="none"/>
        </w:rPr>
        <w:t xml:space="preserve">第12条 诚实信用 </w:t>
      </w:r>
      <w:r>
        <w:rPr>
          <w:rFonts w:hint="eastAsia" w:cs="宋体"/>
          <w:b/>
          <w:bCs/>
          <w:color w:val="000000"/>
          <w:highlight w:val="none"/>
        </w:rPr>
      </w:r>
      <w:r/>
    </w:p>
    <w:p>
      <w:pPr>
        <w:pStyle w:val="1347"/>
        <w:ind w:firstLine="420"/>
        <w:jc w:val="left"/>
        <w:spacing w:before="0" w:line="240" w:lineRule="auto"/>
        <w:tabs>
          <w:tab w:val="left" w:pos="567" w:leader="none"/>
        </w:tabs>
        <w:rPr>
          <w:rFonts w:hint="eastAsia" w:cs="宋体"/>
          <w:bCs/>
          <w:color w:val="000000"/>
          <w:highlight w:val="none"/>
        </w:rPr>
      </w:pPr>
      <w:r>
        <w:rPr>
          <w:rFonts w:hint="eastAsia" w:cs="宋体"/>
          <w:bCs/>
          <w:color w:val="000000"/>
          <w:highlight w:val="none"/>
        </w:rPr>
        <w:t xml:space="preserve">乙方应诚实信用，严格按照谈判文件要求和投标承诺履行合同，不向甲方进行商业贿赂或者提供不正当利益。</w:t>
      </w:r>
      <w:r>
        <w:rPr>
          <w:rFonts w:hint="eastAsia" w:cs="宋体"/>
          <w:bCs/>
          <w:color w:val="000000"/>
          <w:highlight w:val="none"/>
        </w:rPr>
      </w:r>
      <w:r/>
    </w:p>
    <w:p>
      <w:pPr>
        <w:pStyle w:val="1347"/>
        <w:spacing w:before="0" w:line="240" w:lineRule="auto"/>
        <w:tabs>
          <w:tab w:val="left" w:pos="567" w:leader="none"/>
        </w:tabs>
        <w:rPr>
          <w:rFonts w:hint="eastAsia" w:cs="宋体"/>
          <w:b/>
          <w:bCs/>
          <w:color w:val="000000"/>
          <w:highlight w:val="none"/>
        </w:rPr>
      </w:pPr>
      <w:r>
        <w:rPr>
          <w:rFonts w:hint="eastAsia" w:cs="宋体"/>
          <w:b/>
          <w:bCs/>
          <w:color w:val="000000"/>
          <w:highlight w:val="none"/>
        </w:rPr>
        <w:t xml:space="preserve">第13条 合同生效及其他</w:t>
      </w:r>
      <w:r>
        <w:rPr>
          <w:rFonts w:hint="eastAsia" w:cs="宋体"/>
          <w:b/>
          <w:bCs/>
          <w:color w:val="000000"/>
          <w:highlight w:val="none"/>
        </w:rPr>
      </w:r>
      <w:r/>
    </w:p>
    <w:p>
      <w:pPr>
        <w:pStyle w:val="1347"/>
        <w:ind w:firstLine="420"/>
        <w:spacing w:before="0" w:line="240" w:lineRule="auto"/>
        <w:tabs>
          <w:tab w:val="left" w:pos="567" w:leader="none"/>
        </w:tabs>
        <w:rPr>
          <w:rFonts w:hint="eastAsia" w:cs="宋体"/>
          <w:bCs/>
          <w:color w:val="000000"/>
          <w:highlight w:val="none"/>
        </w:rPr>
      </w:pPr>
      <w:r>
        <w:rPr>
          <w:rFonts w:hint="eastAsia" w:cs="宋体"/>
          <w:bCs/>
          <w:color w:val="000000"/>
          <w:highlight w:val="none"/>
        </w:rPr>
        <w:t xml:space="preserve">本合同自经甲乙双方授权代表签订并加盖公章后，自签订之日起生效。见证方仅对甲乙双方签订采购合同的事实进行见证，不代表任何承诺或保证，该合同的履行等相关情况均与见证方无任何关系。</w:t>
      </w:r>
      <w:r>
        <w:rPr>
          <w:rFonts w:hint="eastAsia" w:cs="宋体"/>
          <w:bCs/>
          <w:color w:val="000000"/>
          <w:highlight w:val="none"/>
        </w:rPr>
      </w:r>
      <w:r/>
    </w:p>
    <w:p>
      <w:pPr>
        <w:pStyle w:val="1347"/>
        <w:spacing w:before="0" w:line="240" w:lineRule="auto"/>
        <w:tabs>
          <w:tab w:val="left" w:pos="567" w:leader="none"/>
        </w:tabs>
        <w:rPr>
          <w:rFonts w:hint="eastAsia" w:cs="宋体"/>
          <w:b/>
          <w:bCs/>
          <w:color w:val="000000"/>
          <w:highlight w:val="none"/>
        </w:rPr>
        <w:outlineLvl w:val="1"/>
      </w:pPr>
      <w:r>
        <w:rPr>
          <w:rFonts w:hint="eastAsia" w:cs="宋体"/>
          <w:b/>
          <w:bCs/>
          <w:color w:val="000000"/>
          <w:highlight w:val="none"/>
        </w:rPr>
        <w:t xml:space="preserve">第14条  附则</w:t>
      </w:r>
      <w:r>
        <w:rPr>
          <w:rFonts w:hint="eastAsia" w:cs="宋体"/>
          <w:b/>
          <w:bCs/>
          <w:color w:val="000000"/>
          <w:highlight w:val="none"/>
        </w:rPr>
      </w:r>
      <w:r/>
    </w:p>
    <w:p>
      <w:pPr>
        <w:pStyle w:val="1347"/>
        <w:ind w:firstLine="420"/>
        <w:spacing w:before="0" w:line="240" w:lineRule="auto"/>
        <w:tabs>
          <w:tab w:val="left" w:pos="567" w:leader="none"/>
        </w:tabs>
        <w:rPr>
          <w:rFonts w:hint="eastAsia" w:cs="宋体"/>
          <w:color w:val="000000"/>
          <w:highlight w:val="none"/>
        </w:rPr>
      </w:pPr>
      <w:r>
        <w:rPr>
          <w:rFonts w:hint="eastAsia" w:cs="宋体"/>
          <w:color w:val="000000"/>
          <w:highlight w:val="none"/>
        </w:rPr>
        <w:t xml:space="preserve">12.1  本合同保修期为贰年。保修方法参照国家及地方相关规定执行。</w:t>
      </w:r>
      <w:r>
        <w:rPr>
          <w:rFonts w:hint="eastAsia" w:cs="宋体"/>
          <w:color w:val="000000"/>
          <w:highlight w:val="none"/>
        </w:rPr>
      </w:r>
      <w:r/>
    </w:p>
    <w:p>
      <w:pPr>
        <w:pStyle w:val="1347"/>
        <w:ind w:firstLine="420"/>
        <w:spacing w:before="0" w:line="240" w:lineRule="auto"/>
        <w:tabs>
          <w:tab w:val="left" w:pos="567" w:leader="none"/>
        </w:tabs>
        <w:rPr>
          <w:rFonts w:hint="eastAsia" w:cs="宋体"/>
          <w:color w:val="000000"/>
          <w:highlight w:val="none"/>
        </w:rPr>
      </w:pPr>
      <w:r>
        <w:rPr>
          <w:rFonts w:hint="eastAsia" w:cs="宋体"/>
          <w:color w:val="000000"/>
          <w:highlight w:val="none"/>
        </w:rPr>
        <w:t xml:space="preserve">12.2  本合同一式伍份，甲方贰份，乙方贰份，采购代理机构壹份。</w:t>
      </w:r>
      <w:r>
        <w:rPr>
          <w:rFonts w:hint="eastAsia" w:cs="宋体"/>
          <w:color w:val="000000"/>
          <w:highlight w:val="none"/>
        </w:rPr>
      </w:r>
      <w:r/>
    </w:p>
    <w:p>
      <w:pPr>
        <w:pStyle w:val="1347"/>
        <w:ind w:firstLine="420"/>
        <w:spacing w:before="0" w:line="240" w:lineRule="auto"/>
        <w:tabs>
          <w:tab w:val="left" w:pos="567" w:leader="none"/>
        </w:tabs>
        <w:rPr>
          <w:rFonts w:hint="eastAsia" w:cs="宋体"/>
          <w:color w:val="000000"/>
          <w:highlight w:val="none"/>
        </w:rPr>
      </w:pPr>
      <w:r>
        <w:rPr>
          <w:rFonts w:hint="eastAsia" w:cs="宋体"/>
          <w:color w:val="000000"/>
          <w:highlight w:val="none"/>
        </w:rPr>
        <w:t xml:space="preserve">12.3  本合同履行完成后自动终止。</w:t>
      </w:r>
      <w:r>
        <w:rPr>
          <w:rFonts w:hint="eastAsia" w:cs="宋体"/>
          <w:color w:val="000000"/>
          <w:highlight w:val="none"/>
        </w:rPr>
      </w:r>
      <w:r/>
    </w:p>
    <w:p>
      <w:pPr>
        <w:pStyle w:val="1347"/>
        <w:ind w:firstLine="420"/>
        <w:spacing w:before="0" w:line="240" w:lineRule="auto"/>
        <w:tabs>
          <w:tab w:val="left" w:pos="567" w:leader="none"/>
        </w:tabs>
        <w:rPr>
          <w:rFonts w:hint="eastAsia" w:cs="宋体"/>
          <w:color w:val="000000"/>
          <w:highlight w:val="none"/>
        </w:rPr>
      </w:pPr>
      <w:r>
        <w:rPr>
          <w:rFonts w:hint="eastAsia" w:cs="宋体"/>
          <w:color w:val="000000"/>
          <w:highlight w:val="none"/>
        </w:rPr>
        <w:t xml:space="preserve">12.4  附件</w:t>
      </w:r>
      <w:r>
        <w:rPr>
          <w:rFonts w:hint="eastAsia" w:cs="宋体"/>
          <w:color w:val="000000"/>
          <w:highlight w:val="none"/>
        </w:rPr>
      </w:r>
      <w:r/>
    </w:p>
    <w:p>
      <w:pPr>
        <w:pStyle w:val="1347"/>
        <w:ind w:firstLine="420"/>
        <w:spacing w:before="0" w:line="240" w:lineRule="auto"/>
        <w:tabs>
          <w:tab w:val="left" w:pos="567" w:leader="none"/>
        </w:tabs>
        <w:rPr>
          <w:rFonts w:hint="eastAsia" w:cs="宋体"/>
          <w:color w:val="000000"/>
          <w:highlight w:val="none"/>
        </w:rPr>
      </w:pPr>
      <w:r>
        <w:rPr>
          <w:rFonts w:hint="eastAsia" w:cs="宋体"/>
          <w:color w:val="000000"/>
          <w:highlight w:val="none"/>
        </w:rPr>
        <w:t xml:space="preserve">(1)施工图纸或作法说明 （  ）</w:t>
      </w:r>
      <w:r>
        <w:rPr>
          <w:rFonts w:hint="eastAsia" w:cs="宋体"/>
          <w:color w:val="000000"/>
          <w:highlight w:val="none"/>
        </w:rPr>
      </w:r>
      <w:r/>
    </w:p>
    <w:p>
      <w:pPr>
        <w:pStyle w:val="1347"/>
        <w:ind w:firstLine="420"/>
        <w:spacing w:before="0" w:line="240" w:lineRule="auto"/>
        <w:tabs>
          <w:tab w:val="left" w:pos="567" w:leader="none"/>
        </w:tabs>
        <w:rPr>
          <w:rFonts w:hint="eastAsia" w:cs="宋体"/>
          <w:color w:val="000000"/>
          <w:highlight w:val="none"/>
        </w:rPr>
      </w:pPr>
      <w:r>
        <w:rPr>
          <w:rFonts w:hint="eastAsia" w:cs="宋体"/>
          <w:color w:val="000000"/>
          <w:highlight w:val="none"/>
        </w:rPr>
        <w:t xml:space="preserve">(2)工程项目一览表     （  ）</w:t>
      </w:r>
      <w:r>
        <w:rPr>
          <w:rFonts w:hint="eastAsia" w:cs="宋体"/>
          <w:color w:val="000000"/>
          <w:highlight w:val="none"/>
        </w:rPr>
      </w:r>
      <w:r/>
    </w:p>
    <w:p>
      <w:pPr>
        <w:pStyle w:val="1347"/>
        <w:ind w:firstLine="420"/>
        <w:spacing w:before="0" w:line="240" w:lineRule="auto"/>
        <w:tabs>
          <w:tab w:val="left" w:pos="567" w:leader="none"/>
        </w:tabs>
        <w:rPr>
          <w:rFonts w:hint="eastAsia" w:cs="宋体"/>
          <w:color w:val="000000"/>
          <w:highlight w:val="none"/>
        </w:rPr>
      </w:pPr>
      <w:r>
        <w:rPr>
          <w:rFonts w:hint="eastAsia" w:cs="宋体"/>
          <w:color w:val="000000"/>
          <w:highlight w:val="none"/>
        </w:rPr>
        <w:t xml:space="preserve">(3)工程投标书         （  ）</w:t>
      </w:r>
      <w:r>
        <w:rPr>
          <w:rFonts w:hint="eastAsia" w:cs="宋体"/>
          <w:color w:val="000000"/>
          <w:highlight w:val="none"/>
        </w:rPr>
      </w:r>
      <w:r/>
    </w:p>
    <w:p>
      <w:pPr>
        <w:pStyle w:val="1347"/>
        <w:ind w:firstLine="420"/>
        <w:spacing w:before="0" w:line="240" w:lineRule="auto"/>
        <w:tabs>
          <w:tab w:val="left" w:pos="567" w:leader="none"/>
        </w:tabs>
        <w:rPr>
          <w:rFonts w:hint="eastAsia" w:cs="宋体"/>
          <w:color w:val="000000"/>
          <w:highlight w:val="none"/>
        </w:rPr>
      </w:pPr>
      <w:r>
        <w:rPr>
          <w:rFonts w:hint="eastAsia" w:cs="宋体"/>
          <w:color w:val="000000"/>
          <w:highlight w:val="none"/>
        </w:rPr>
        <w:t xml:space="preserve">(4)采购文件           （  ）</w:t>
      </w:r>
      <w:r>
        <w:rPr>
          <w:rFonts w:hint="eastAsia" w:cs="宋体"/>
          <w:color w:val="000000"/>
          <w:highlight w:val="none"/>
        </w:rPr>
      </w:r>
      <w:r/>
    </w:p>
    <w:p>
      <w:pPr>
        <w:pStyle w:val="1347"/>
        <w:ind w:firstLine="420"/>
        <w:spacing w:before="0" w:line="240" w:lineRule="auto"/>
        <w:tabs>
          <w:tab w:val="left" w:pos="567" w:leader="none"/>
        </w:tabs>
        <w:rPr>
          <w:rFonts w:hint="eastAsia" w:cs="宋体"/>
          <w:color w:val="000000"/>
          <w:highlight w:val="none"/>
        </w:rPr>
      </w:pPr>
      <w:r>
        <w:rPr>
          <w:rFonts w:hint="eastAsia" w:cs="宋体"/>
          <w:color w:val="000000"/>
          <w:highlight w:val="none"/>
        </w:rPr>
        <w:t xml:space="preserve">(5)会议纪要           （  ）</w:t>
      </w:r>
      <w:r>
        <w:rPr>
          <w:rFonts w:hint="eastAsia" w:cs="宋体"/>
          <w:color w:val="000000"/>
          <w:highlight w:val="none"/>
        </w:rPr>
      </w:r>
      <w:r/>
    </w:p>
    <w:p>
      <w:pPr>
        <w:pStyle w:val="1347"/>
        <w:ind w:firstLine="420"/>
        <w:spacing w:before="0" w:line="240" w:lineRule="auto"/>
        <w:tabs>
          <w:tab w:val="left" w:pos="567" w:leader="none"/>
        </w:tabs>
        <w:rPr>
          <w:rFonts w:hint="eastAsia" w:cs="宋体"/>
          <w:color w:val="000000"/>
          <w:highlight w:val="none"/>
        </w:rPr>
      </w:pPr>
      <w:r>
        <w:rPr>
          <w:rFonts w:hint="eastAsia" w:cs="宋体"/>
          <w:color w:val="000000"/>
          <w:highlight w:val="none"/>
        </w:rPr>
        <w:t xml:space="preserve">(6)设计变更           （  ）</w:t>
      </w:r>
      <w:r>
        <w:rPr>
          <w:rFonts w:hint="eastAsia" w:cs="宋体"/>
          <w:color w:val="000000"/>
          <w:highlight w:val="none"/>
        </w:rPr>
      </w:r>
      <w:r/>
    </w:p>
    <w:p>
      <w:pPr>
        <w:pStyle w:val="1347"/>
        <w:ind w:firstLine="420"/>
        <w:spacing w:before="0" w:line="240" w:lineRule="auto"/>
        <w:tabs>
          <w:tab w:val="left" w:pos="567" w:leader="none"/>
        </w:tabs>
        <w:rPr>
          <w:rFonts w:hint="eastAsia" w:cs="宋体"/>
          <w:color w:val="000000"/>
          <w:highlight w:val="none"/>
        </w:rPr>
      </w:pPr>
      <w:r>
        <w:rPr>
          <w:rFonts w:hint="eastAsia" w:cs="宋体"/>
          <w:color w:val="000000"/>
          <w:highlight w:val="none"/>
        </w:rPr>
        <w:t xml:space="preserve">(7)其他               （  ）</w:t>
      </w:r>
      <w:r>
        <w:rPr>
          <w:rFonts w:hint="eastAsia" w:cs="宋体"/>
          <w:color w:val="000000"/>
          <w:highlight w:val="none"/>
        </w:rPr>
      </w:r>
      <w:r/>
    </w:p>
    <w:p>
      <w:pPr>
        <w:pStyle w:val="1347"/>
        <w:spacing w:before="0" w:line="480" w:lineRule="auto"/>
        <w:tabs>
          <w:tab w:val="left" w:pos="567" w:leader="none"/>
        </w:tabs>
        <w:rPr>
          <w:rFonts w:hint="eastAsia" w:cs="宋体"/>
          <w:color w:val="000000"/>
          <w:highlight w:val="none"/>
        </w:rPr>
      </w:pPr>
      <w:r>
        <w:rPr>
          <w:rFonts w:hint="eastAsia" w:cs="宋体"/>
          <w:color w:val="000000"/>
          <w:highlight w:val="none"/>
        </w:rPr>
      </w:r>
      <w:r/>
    </w:p>
    <w:p>
      <w:pPr>
        <w:pStyle w:val="1288"/>
        <w:spacing w:line="480" w:lineRule="auto"/>
        <w:rPr>
          <w:rFonts w:hint="eastAsia" w:ascii="宋体" w:hAnsi="宋体" w:cs="宋体"/>
          <w:color w:val="000000"/>
          <w:sz w:val="24"/>
          <w:szCs w:val="21"/>
          <w:highlight w:val="none"/>
          <w:u w:val="single"/>
        </w:rPr>
      </w:pPr>
      <w:r/>
      <w:bookmarkEnd w:id="800"/>
      <w:r>
        <w:rPr>
          <w:rFonts w:hint="eastAsia" w:ascii="宋体" w:hAnsi="宋体" w:cs="宋体"/>
          <w:color w:val="000000"/>
          <w:sz w:val="24"/>
          <w:szCs w:val="21"/>
          <w:highlight w:val="none"/>
        </w:rPr>
        <w:t xml:space="preserve">经 办 人：</w:t>
      </w:r>
      <w:r>
        <w:rPr>
          <w:rFonts w:hint="eastAsia" w:ascii="宋体" w:hAnsi="宋体" w:cs="宋体"/>
          <w:color w:val="000000"/>
          <w:sz w:val="24"/>
          <w:szCs w:val="21"/>
          <w:highlight w:val="none"/>
          <w:u w:val="single"/>
        </w:rPr>
        <w:t xml:space="preserve">                      </w:t>
      </w:r>
      <w:r>
        <w:rPr>
          <w:rFonts w:hint="eastAsia" w:ascii="宋体" w:hAnsi="宋体" w:cs="宋体"/>
          <w:color w:val="000000"/>
          <w:sz w:val="24"/>
          <w:szCs w:val="21"/>
          <w:highlight w:val="none"/>
          <w:u w:val="single"/>
        </w:rPr>
      </w:r>
      <w:r/>
    </w:p>
    <w:p>
      <w:pPr>
        <w:pStyle w:val="1288"/>
        <w:spacing w:line="480" w:lineRule="auto"/>
        <w:rPr>
          <w:rFonts w:hint="eastAsia" w:ascii="宋体" w:hAnsi="宋体" w:cs="宋体"/>
          <w:color w:val="000000"/>
          <w:sz w:val="24"/>
          <w:szCs w:val="21"/>
          <w:highlight w:val="none"/>
        </w:rPr>
      </w:pPr>
      <w:r>
        <w:rPr>
          <w:rFonts w:hint="eastAsia" w:ascii="宋体" w:hAnsi="宋体" w:cs="宋体"/>
          <w:color w:val="000000"/>
          <w:sz w:val="24"/>
          <w:szCs w:val="21"/>
          <w:highlight w:val="none"/>
        </w:rPr>
        <w:t xml:space="preserve">部门负责人：</w:t>
      </w:r>
      <w:r>
        <w:rPr>
          <w:rFonts w:hint="eastAsia" w:ascii="宋体" w:hAnsi="宋体" w:cs="宋体"/>
          <w:color w:val="000000"/>
          <w:sz w:val="24"/>
          <w:szCs w:val="21"/>
          <w:highlight w:val="none"/>
          <w:u w:val="single"/>
        </w:rPr>
        <w:t xml:space="preserve">                    </w:t>
      </w:r>
      <w:r>
        <w:rPr>
          <w:rFonts w:hint="eastAsia" w:ascii="宋体" w:hAnsi="宋体" w:cs="宋体"/>
          <w:color w:val="000000"/>
          <w:sz w:val="24"/>
          <w:szCs w:val="21"/>
          <w:highlight w:val="none"/>
        </w:rPr>
        <w:t xml:space="preserve"> </w:t>
      </w:r>
      <w:r>
        <w:rPr>
          <w:rFonts w:hint="eastAsia" w:ascii="宋体" w:hAnsi="宋体" w:cs="宋体"/>
          <w:color w:val="000000"/>
          <w:sz w:val="24"/>
          <w:szCs w:val="21"/>
          <w:highlight w:val="none"/>
        </w:rPr>
      </w:r>
      <w:r/>
    </w:p>
    <w:p>
      <w:pPr>
        <w:pStyle w:val="1288"/>
        <w:spacing w:line="480" w:lineRule="auto"/>
        <w:rPr>
          <w:rFonts w:hint="eastAsia" w:ascii="宋体" w:hAnsi="宋体" w:cs="宋体"/>
          <w:color w:val="000000"/>
          <w:sz w:val="24"/>
          <w:szCs w:val="21"/>
          <w:highlight w:val="none"/>
        </w:rPr>
      </w:pPr>
      <w:r>
        <w:rPr>
          <w:rFonts w:hint="eastAsia" w:ascii="宋体" w:hAnsi="宋体" w:cs="宋体"/>
          <w:color w:val="000000"/>
          <w:sz w:val="24"/>
          <w:szCs w:val="21"/>
          <w:highlight w:val="none"/>
        </w:rPr>
        <w:t xml:space="preserve">分管负责人：</w:t>
      </w:r>
      <w:r>
        <w:rPr>
          <w:rFonts w:hint="eastAsia" w:ascii="宋体" w:hAnsi="宋体" w:cs="宋体"/>
          <w:color w:val="000000"/>
          <w:sz w:val="24"/>
          <w:szCs w:val="21"/>
          <w:highlight w:val="none"/>
          <w:u w:val="single"/>
        </w:rPr>
        <w:t xml:space="preserve">                      </w:t>
      </w:r>
      <w:r>
        <w:rPr>
          <w:rFonts w:hint="eastAsia" w:ascii="宋体" w:hAnsi="宋体" w:cs="宋体"/>
          <w:color w:val="000000"/>
          <w:sz w:val="24"/>
          <w:szCs w:val="21"/>
          <w:highlight w:val="none"/>
        </w:rPr>
        <w:t xml:space="preserve">       </w:t>
      </w:r>
      <w:r>
        <w:rPr>
          <w:rFonts w:hint="eastAsia" w:ascii="宋体" w:hAnsi="宋体" w:cs="宋体"/>
          <w:color w:val="000000"/>
          <w:sz w:val="24"/>
          <w:szCs w:val="21"/>
          <w:highlight w:val="none"/>
        </w:rPr>
      </w:r>
      <w:r/>
    </w:p>
    <w:p>
      <w:pPr>
        <w:pStyle w:val="1288"/>
        <w:spacing w:line="480" w:lineRule="auto"/>
        <w:rPr>
          <w:rFonts w:hint="eastAsia" w:ascii="宋体" w:hAnsi="宋体" w:cs="宋体"/>
          <w:color w:val="000000"/>
          <w:sz w:val="24"/>
          <w:szCs w:val="21"/>
          <w:highlight w:val="none"/>
        </w:rPr>
      </w:pPr>
      <w:r>
        <w:rPr>
          <w:rFonts w:hint="eastAsia" w:ascii="宋体" w:hAnsi="宋体" w:cs="宋体"/>
          <w:color w:val="000000"/>
          <w:sz w:val="24"/>
          <w:szCs w:val="21"/>
          <w:highlight w:val="none"/>
        </w:rPr>
        <w:t xml:space="preserve">法定代表人：</w:t>
      </w:r>
      <w:r>
        <w:rPr>
          <w:rFonts w:hint="eastAsia" w:ascii="宋体" w:hAnsi="宋体" w:cs="宋体"/>
          <w:color w:val="000000"/>
          <w:sz w:val="24"/>
          <w:szCs w:val="21"/>
          <w:highlight w:val="none"/>
          <w:u w:val="single"/>
        </w:rPr>
        <w:t xml:space="preserve">      　　       　 </w:t>
      </w:r>
      <w:r>
        <w:rPr>
          <w:rFonts w:hint="eastAsia" w:ascii="宋体" w:hAnsi="宋体" w:cs="宋体"/>
          <w:color w:val="000000"/>
          <w:sz w:val="24"/>
          <w:szCs w:val="21"/>
          <w:highlight w:val="none"/>
        </w:rPr>
        <w:t xml:space="preserve">        法定（授权）代表人：　</w:t>
      </w:r>
      <w:r>
        <w:rPr>
          <w:rFonts w:hint="eastAsia" w:ascii="宋体" w:hAnsi="宋体" w:cs="宋体"/>
          <w:color w:val="000000"/>
          <w:sz w:val="24"/>
          <w:szCs w:val="21"/>
          <w:highlight w:val="none"/>
        </w:rPr>
      </w:r>
      <w:r/>
    </w:p>
    <w:p>
      <w:pPr>
        <w:pStyle w:val="1288"/>
        <w:spacing w:line="480" w:lineRule="auto"/>
        <w:rPr>
          <w:rFonts w:hint="eastAsia" w:ascii="宋体" w:hAnsi="宋体" w:cs="宋体"/>
          <w:color w:val="000000"/>
          <w:sz w:val="24"/>
          <w:szCs w:val="21"/>
          <w:highlight w:val="none"/>
        </w:rPr>
      </w:pPr>
      <w:r>
        <w:rPr>
          <w:rFonts w:hint="eastAsia" w:ascii="宋体" w:hAnsi="宋体" w:cs="宋体"/>
          <w:color w:val="000000"/>
          <w:sz w:val="24"/>
          <w:szCs w:val="21"/>
          <w:highlight w:val="none"/>
        </w:rPr>
        <w:t xml:space="preserve">甲  方：常州市公园管理中心              乙 方：</w:t>
      </w:r>
      <w:r>
        <w:rPr>
          <w:rFonts w:hint="eastAsia" w:ascii="宋体" w:hAnsi="宋体" w:cs="宋体"/>
          <w:color w:val="000000"/>
          <w:sz w:val="24"/>
          <w:szCs w:val="21"/>
          <w:highlight w:val="none"/>
        </w:rPr>
      </w:r>
      <w:r/>
    </w:p>
    <w:p>
      <w:pPr>
        <w:pStyle w:val="1288"/>
        <w:spacing w:line="480" w:lineRule="auto"/>
        <w:rPr>
          <w:rFonts w:hint="eastAsia" w:ascii="宋体" w:hAnsi="宋体" w:cs="宋体"/>
          <w:color w:val="000000"/>
          <w:sz w:val="24"/>
          <w:szCs w:val="21"/>
          <w:highlight w:val="none"/>
        </w:rPr>
      </w:pPr>
      <w:r>
        <w:rPr>
          <w:rFonts w:hint="eastAsia" w:ascii="宋体" w:hAnsi="宋体" w:cs="宋体"/>
          <w:color w:val="000000"/>
          <w:sz w:val="24"/>
          <w:szCs w:val="21"/>
          <w:highlight w:val="none"/>
        </w:rPr>
        <w:t xml:space="preserve">单位名称(章)：                          单位名称(章)： </w:t>
      </w:r>
      <w:r>
        <w:rPr>
          <w:rFonts w:hint="eastAsia" w:ascii="宋体" w:hAnsi="宋体" w:cs="宋体"/>
          <w:color w:val="000000"/>
          <w:sz w:val="24"/>
          <w:szCs w:val="21"/>
          <w:highlight w:val="none"/>
        </w:rPr>
      </w:r>
      <w:r/>
    </w:p>
    <w:p>
      <w:pPr>
        <w:pStyle w:val="1288"/>
        <w:spacing w:line="480" w:lineRule="auto"/>
        <w:rPr>
          <w:rFonts w:hint="eastAsia" w:ascii="宋体" w:hAnsi="宋体" w:cs="宋体"/>
          <w:color w:val="000000"/>
          <w:szCs w:val="21"/>
          <w:highlight w:val="none"/>
        </w:rPr>
      </w:pPr>
      <w:r>
        <w:rPr>
          <w:rFonts w:hint="eastAsia" w:ascii="宋体" w:hAnsi="宋体" w:cs="宋体"/>
          <w:color w:val="000000"/>
          <w:sz w:val="24"/>
          <w:szCs w:val="21"/>
          <w:highlight w:val="none"/>
        </w:rPr>
        <w:t xml:space="preserve">日期：　     年   月   日               日期：　     年   月   日 </w:t>
      </w: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p>
      <w:pPr>
        <w:pStyle w:val="1288"/>
        <w:spacing w:line="360" w:lineRule="auto"/>
        <w:rPr>
          <w:rFonts w:hint="eastAsia" w:ascii="宋体" w:hAnsi="宋体" w:cs="仿宋"/>
          <w:b/>
          <w:color w:val="000000"/>
          <w:sz w:val="24"/>
          <w:szCs w:val="21"/>
          <w:highlight w:val="none"/>
        </w:rPr>
      </w:pPr>
      <w:r>
        <w:rPr>
          <w:rFonts w:hint="eastAsia" w:ascii="宋体" w:hAnsi="宋体" w:cs="仿宋"/>
          <w:b/>
          <w:color w:val="000000"/>
          <w:sz w:val="24"/>
          <w:szCs w:val="21"/>
          <w:highlight w:val="none"/>
        </w:rPr>
        <w:t xml:space="preserve">合同备案</w:t>
      </w:r>
      <w:r>
        <w:rPr>
          <w:rFonts w:hint="eastAsia" w:ascii="宋体" w:hAnsi="宋体" w:cs="仿宋"/>
          <w:b/>
          <w:color w:val="000000"/>
          <w:sz w:val="24"/>
          <w:szCs w:val="21"/>
          <w:highlight w:val="none"/>
        </w:rPr>
      </w:r>
      <w:r/>
    </w:p>
    <w:p>
      <w:pPr>
        <w:pStyle w:val="1288"/>
        <w:spacing w:line="480" w:lineRule="auto"/>
        <w:rPr>
          <w:rFonts w:hint="eastAsia" w:ascii="宋体" w:hAnsi="宋体" w:cs="仿宋"/>
          <w:color w:val="000000"/>
          <w:sz w:val="24"/>
          <w:highlight w:val="none"/>
        </w:rPr>
      </w:pPr>
      <w:r>
        <w:rPr>
          <w:rFonts w:hint="eastAsia" w:ascii="宋体" w:hAnsi="宋体" w:cs="仿宋"/>
          <w:color w:val="000000"/>
          <w:sz w:val="24"/>
          <w:highlight w:val="none"/>
        </w:rPr>
        <w:t xml:space="preserve">代理机构（盖章）：常州中采招投标有限公司</w:t>
      </w:r>
      <w:r>
        <w:rPr>
          <w:rFonts w:hint="eastAsia" w:ascii="宋体" w:hAnsi="宋体" w:cs="仿宋"/>
          <w:color w:val="000000"/>
          <w:sz w:val="24"/>
          <w:highlight w:val="none"/>
        </w:rPr>
      </w:r>
      <w:r/>
    </w:p>
    <w:p>
      <w:pPr>
        <w:pStyle w:val="1288"/>
        <w:spacing w:line="480" w:lineRule="auto"/>
        <w:rPr>
          <w:rFonts w:eastAsia="楷体_GB2312"/>
          <w:b/>
          <w:bCs/>
          <w:color w:val="000000"/>
          <w:spacing w:val="72"/>
          <w:sz w:val="36"/>
          <w:highlight w:val="none"/>
        </w:rPr>
        <w:sectPr>
          <w:footerReference w:type="default" r:id="rId19"/>
          <w:footerReference w:type="first" r:id="rId20"/>
          <w:footnotePr/>
          <w:endnotePr/>
          <w:type w:val="nextPage"/>
          <w:pgSz w:w="11906" w:h="16838" w:orient="portrait"/>
          <w:pgMar w:top="1843" w:right="1474" w:bottom="1560" w:left="1588" w:header="1134" w:footer="721" w:gutter="0"/>
          <w:cols w:num="1" w:sep="0" w:space="1701" w:equalWidth="1"/>
          <w:docGrid w:linePitch="360"/>
          <w:titlePg/>
        </w:sectPr>
      </w:pPr>
      <w:r>
        <w:rPr>
          <w:rFonts w:hint="eastAsia" w:ascii="宋体" w:hAnsi="宋体" w:cs="宋体"/>
          <w:color w:val="000000"/>
          <w:sz w:val="24"/>
          <w:highlight w:val="none"/>
        </w:rPr>
        <w:t xml:space="preserve">日期：　     年   月   日    </w:t>
      </w:r>
      <w:r>
        <w:rPr>
          <w:rFonts w:hint="eastAsia" w:ascii="宋体" w:hAnsi="宋体" w:cs="宋体"/>
          <w:color w:val="000000"/>
          <w:szCs w:val="21"/>
          <w:highlight w:val="none"/>
        </w:rPr>
        <w:t xml:space="preserve">         </w:t>
      </w:r>
      <w:r>
        <w:rPr>
          <w:rFonts w:eastAsia="楷体_GB2312"/>
          <w:b/>
          <w:bCs/>
          <w:color w:val="000000"/>
          <w:spacing w:val="72"/>
          <w:sz w:val="36"/>
          <w:highlight w:val="none"/>
        </w:rPr>
      </w:r>
      <w:r/>
    </w:p>
    <w:p>
      <w:pPr>
        <w:pStyle w:val="1288"/>
        <w:ind w:left="39"/>
        <w:spacing w:before="68" w:line="220" w:lineRule="auto"/>
        <w:rPr>
          <w:rFonts w:ascii="宋体" w:hAnsi="宋体" w:cs="宋体"/>
          <w:color w:val="000000"/>
          <w:szCs w:val="21"/>
          <w:highlight w:val="none"/>
        </w:rPr>
      </w:pPr>
      <w:r/>
      <w:bookmarkEnd w:id="784"/>
      <w:r/>
      <w:bookmarkEnd w:id="785"/>
      <w:r/>
      <w:bookmarkEnd w:id="786"/>
      <w:r/>
      <w:bookmarkEnd w:id="788"/>
      <w:r/>
      <w:bookmarkEnd w:id="789"/>
      <w:r/>
      <w:bookmarkEnd w:id="790"/>
      <w:r/>
      <w:bookmarkEnd w:id="791"/>
      <w:r/>
      <w:bookmarkEnd w:id="792"/>
      <w:r/>
      <w:bookmarkEnd w:id="793"/>
      <w:r/>
      <w:bookmarkEnd w:id="794"/>
      <w:r/>
      <w:bookmarkEnd w:id="795"/>
      <w:r/>
      <w:bookmarkEnd w:id="796"/>
      <w:r/>
      <w:bookmarkEnd w:id="797"/>
      <w:r/>
      <w:bookmarkEnd w:id="798"/>
      <w:r/>
      <w:bookmarkEnd w:id="799"/>
      <w:r>
        <w:rPr>
          <w:rFonts w:ascii="宋体" w:hAnsi="宋体" w:cs="宋体"/>
          <w:color w:val="000000"/>
          <w:spacing w:val="-9"/>
          <w:szCs w:val="21"/>
          <w:highlight w:val="none"/>
        </w:rPr>
        <w:t xml:space="preserve">附件</w:t>
      </w:r>
      <w:r>
        <w:rPr>
          <w:rFonts w:hint="eastAsia" w:ascii="宋体" w:hAnsi="宋体" w:cs="宋体"/>
          <w:color w:val="000000"/>
          <w:spacing w:val="-9"/>
          <w:szCs w:val="21"/>
          <w:highlight w:val="none"/>
        </w:rPr>
        <w:t xml:space="preserve">1</w:t>
      </w:r>
      <w:r>
        <w:rPr>
          <w:rFonts w:ascii="宋体" w:hAnsi="宋体" w:cs="宋体"/>
          <w:color w:val="000000"/>
          <w:spacing w:val="-9"/>
          <w:szCs w:val="21"/>
          <w:highlight w:val="none"/>
        </w:rPr>
        <w:t xml:space="preserve">：</w:t>
      </w:r>
      <w:r>
        <w:rPr>
          <w:rFonts w:ascii="宋体" w:hAnsi="宋体" w:cs="宋体"/>
          <w:color w:val="000000"/>
          <w:szCs w:val="21"/>
          <w:highlight w:val="none"/>
        </w:rPr>
      </w:r>
      <w:r/>
    </w:p>
    <w:p>
      <w:pPr>
        <w:pStyle w:val="1299"/>
        <w:spacing w:line="303" w:lineRule="auto"/>
        <w:tabs>
          <w:tab w:val="left" w:pos="567" w:leader="none"/>
        </w:tabs>
        <w:rPr>
          <w:color w:val="000000"/>
          <w:highlight w:val="none"/>
        </w:rPr>
      </w:pPr>
      <w:r>
        <w:rPr>
          <w:color w:val="000000"/>
          <w:highlight w:val="none"/>
        </w:rPr>
      </w:r>
      <w:r/>
    </w:p>
    <w:p>
      <w:pPr>
        <w:pStyle w:val="1288"/>
        <w:ind w:left="3443"/>
        <w:spacing w:before="68" w:line="220" w:lineRule="auto"/>
        <w:rPr>
          <w:rFonts w:ascii="宋体" w:hAnsi="宋体" w:cs="宋体"/>
          <w:color w:val="000000"/>
          <w:szCs w:val="21"/>
          <w:highlight w:val="none"/>
        </w:rPr>
      </w:pPr>
      <w:r>
        <w:rPr>
          <w:rFonts w:ascii="宋体" w:hAnsi="宋体" w:cs="宋体"/>
          <w:color w:val="000000"/>
          <w:spacing w:val="-2"/>
          <w:szCs w:val="21"/>
          <w:highlight w:val="none"/>
        </w:rPr>
        <w:t xml:space="preserve">工程质量保修书</w:t>
      </w:r>
      <w:r>
        <w:rPr>
          <w:rFonts w:ascii="宋体" w:hAnsi="宋体" w:cs="宋体"/>
          <w:color w:val="000000"/>
          <w:szCs w:val="21"/>
          <w:highlight w:val="none"/>
        </w:rPr>
      </w:r>
      <w:r/>
    </w:p>
    <w:p>
      <w:pPr>
        <w:pStyle w:val="1299"/>
        <w:spacing w:line="304" w:lineRule="auto"/>
        <w:tabs>
          <w:tab w:val="left" w:pos="567" w:leader="none"/>
        </w:tabs>
        <w:rPr>
          <w:color w:val="000000"/>
          <w:highlight w:val="none"/>
        </w:rPr>
      </w:pPr>
      <w:r>
        <w:rPr>
          <w:color w:val="000000"/>
          <w:highlight w:val="none"/>
        </w:rPr>
      </w:r>
      <w:r/>
    </w:p>
    <w:p>
      <w:pPr>
        <w:pStyle w:val="1288"/>
        <w:ind w:left="446"/>
        <w:spacing w:before="68" w:line="221" w:lineRule="auto"/>
        <w:rPr>
          <w:rFonts w:ascii="宋体" w:hAnsi="宋体" w:cs="宋体"/>
          <w:color w:val="000000"/>
          <w:szCs w:val="21"/>
          <w:highlight w:val="none"/>
        </w:rPr>
      </w:pPr>
      <w:r>
        <w:rPr>
          <w:rFonts w:hint="eastAsia" w:ascii="宋体" w:hAnsi="宋体" w:cs="宋体"/>
          <w:color w:val="000000"/>
          <w:spacing w:val="-13"/>
          <w:szCs w:val="21"/>
          <w:highlight w:val="none"/>
        </w:rPr>
        <w:t xml:space="preserve">甲方</w:t>
      </w:r>
      <w:r>
        <w:rPr>
          <w:rFonts w:ascii="宋体" w:hAnsi="宋体" w:cs="宋体"/>
          <w:color w:val="000000"/>
          <w:spacing w:val="-13"/>
          <w:szCs w:val="21"/>
          <w:highlight w:val="none"/>
        </w:rPr>
        <w:t xml:space="preserve">（全称</w:t>
      </w:r>
      <w:r>
        <w:rPr>
          <w:rFonts w:ascii="宋体" w:hAnsi="宋体" w:cs="宋体"/>
          <w:color w:val="000000"/>
          <w:spacing w:val="-19"/>
          <w:szCs w:val="21"/>
          <w:highlight w:val="none"/>
        </w:rPr>
        <w:t xml:space="preserve">）：</w:t>
      </w:r>
      <w:r>
        <w:rPr>
          <w:rFonts w:ascii="宋体" w:hAnsi="宋体" w:cs="宋体"/>
          <w:color w:val="000000"/>
          <w:szCs w:val="21"/>
          <w:highlight w:val="none"/>
          <w:u w:val="single"/>
        </w:rPr>
        <w:t xml:space="preserve"> </w:t>
      </w:r>
      <w:r>
        <w:rPr>
          <w:rFonts w:hint="eastAsia" w:ascii="宋体" w:hAnsi="宋体" w:cs="宋体"/>
          <w:color w:val="000000"/>
          <w:szCs w:val="21"/>
          <w:highlight w:val="none"/>
          <w:u w:val="single"/>
        </w:rPr>
        <w:t xml:space="preserve">常州市公园管理中心</w:t>
      </w:r>
      <w:r>
        <w:rPr>
          <w:rFonts w:ascii="宋体" w:hAnsi="宋体" w:cs="宋体"/>
          <w:color w:val="000000"/>
          <w:szCs w:val="21"/>
          <w:highlight w:val="none"/>
          <w:u w:val="single"/>
        </w:rPr>
        <w:t xml:space="preserve"> </w:t>
      </w:r>
      <w:r>
        <w:rPr>
          <w:rFonts w:ascii="宋体" w:hAnsi="宋体" w:cs="宋体"/>
          <w:color w:val="000000"/>
          <w:szCs w:val="21"/>
          <w:highlight w:val="none"/>
        </w:rPr>
      </w:r>
      <w:r/>
    </w:p>
    <w:p>
      <w:pPr>
        <w:pStyle w:val="1288"/>
        <w:ind w:left="445"/>
        <w:spacing w:before="215" w:line="221" w:lineRule="auto"/>
        <w:rPr>
          <w:color w:val="000000"/>
          <w:highlight w:val="none"/>
        </w:rPr>
      </w:pPr>
      <w:r>
        <w:rPr>
          <w:rFonts w:hint="eastAsia" w:ascii="宋体" w:hAnsi="宋体" w:cs="宋体"/>
          <w:color w:val="000000"/>
          <w:spacing w:val="-12"/>
          <w:szCs w:val="21"/>
          <w:highlight w:val="none"/>
        </w:rPr>
        <w:t xml:space="preserve">乙方</w:t>
      </w:r>
      <w:r>
        <w:rPr>
          <w:rFonts w:ascii="宋体" w:hAnsi="宋体" w:cs="宋体"/>
          <w:color w:val="000000"/>
          <w:spacing w:val="-12"/>
          <w:szCs w:val="21"/>
          <w:highlight w:val="none"/>
        </w:rPr>
        <w:t xml:space="preserve">（全称</w:t>
      </w:r>
      <w:r>
        <w:rPr>
          <w:rFonts w:ascii="宋体" w:hAnsi="宋体" w:cs="宋体"/>
          <w:color w:val="000000"/>
          <w:spacing w:val="-21"/>
          <w:szCs w:val="21"/>
          <w:highlight w:val="none"/>
        </w:rPr>
        <w:t xml:space="preserve">）：</w:t>
      </w:r>
      <w:r>
        <w:rPr>
          <w:color w:val="000000"/>
          <w:highlight w:val="none"/>
        </w:rPr>
      </w:r>
      <w:r/>
    </w:p>
    <w:p>
      <w:pPr>
        <w:pStyle w:val="1288"/>
        <w:ind w:left="26" w:right="74" w:firstLine="422"/>
        <w:spacing w:before="69" w:line="412" w:lineRule="auto"/>
        <w:rPr>
          <w:rFonts w:ascii="宋体" w:hAnsi="宋体" w:cs="宋体"/>
          <w:color w:val="000000"/>
          <w:szCs w:val="21"/>
          <w:highlight w:val="none"/>
        </w:rPr>
      </w:pPr>
      <w:r>
        <w:rPr>
          <w:rFonts w:hint="eastAsia" w:ascii="宋体" w:hAnsi="宋体" w:cs="宋体"/>
          <w:color w:val="000000"/>
          <w:spacing w:val="-3"/>
          <w:szCs w:val="21"/>
          <w:highlight w:val="none"/>
        </w:rPr>
        <w:t xml:space="preserve">甲方</w:t>
      </w:r>
      <w:r>
        <w:rPr>
          <w:rFonts w:ascii="宋体" w:hAnsi="宋体" w:cs="宋体"/>
          <w:color w:val="000000"/>
          <w:spacing w:val="-3"/>
          <w:szCs w:val="21"/>
          <w:highlight w:val="none"/>
        </w:rPr>
        <w:t xml:space="preserve">和</w:t>
      </w:r>
      <w:r>
        <w:rPr>
          <w:rFonts w:hint="eastAsia" w:ascii="宋体" w:hAnsi="宋体" w:cs="宋体"/>
          <w:color w:val="000000"/>
          <w:spacing w:val="-3"/>
          <w:szCs w:val="21"/>
          <w:highlight w:val="none"/>
        </w:rPr>
        <w:t xml:space="preserve">乙方</w:t>
      </w:r>
      <w:r>
        <w:rPr>
          <w:rFonts w:ascii="宋体" w:hAnsi="宋体" w:cs="宋体"/>
          <w:color w:val="000000"/>
          <w:spacing w:val="-3"/>
          <w:szCs w:val="21"/>
          <w:highlight w:val="none"/>
        </w:rPr>
        <w:t xml:space="preserve">根据《中华人民共和国建筑法》和《建设工程质量管理条例》，经协商</w:t>
      </w:r>
      <w:r>
        <w:rPr>
          <w:rFonts w:ascii="宋体" w:hAnsi="宋体" w:cs="宋体"/>
          <w:color w:val="000000"/>
          <w:spacing w:val="-1"/>
          <w:szCs w:val="21"/>
          <w:highlight w:val="none"/>
        </w:rPr>
        <w:t xml:space="preserve">一致就</w:t>
      </w:r>
      <w:r>
        <w:rPr>
          <w:rFonts w:ascii="宋体" w:hAnsi="宋体" w:cs="宋体"/>
          <w:color w:val="000000"/>
          <w:spacing w:val="-1"/>
          <w:szCs w:val="21"/>
          <w:highlight w:val="none"/>
          <w:u w:val="single"/>
        </w:rPr>
        <w:t xml:space="preserve">                  </w:t>
      </w:r>
      <w:r>
        <w:rPr>
          <w:rFonts w:ascii="宋体" w:hAnsi="宋体" w:cs="宋体"/>
          <w:color w:val="000000"/>
          <w:spacing w:val="-1"/>
          <w:szCs w:val="21"/>
          <w:highlight w:val="none"/>
        </w:rPr>
        <w:t xml:space="preserve">（工程全称）签订工程质量保修书。</w:t>
      </w:r>
      <w:r>
        <w:rPr>
          <w:rFonts w:ascii="宋体" w:hAnsi="宋体" w:cs="宋体"/>
          <w:color w:val="000000"/>
          <w:szCs w:val="21"/>
          <w:highlight w:val="none"/>
        </w:rPr>
      </w:r>
      <w:r/>
    </w:p>
    <w:p>
      <w:pPr>
        <w:pStyle w:val="1288"/>
        <w:ind w:left="448"/>
        <w:spacing w:before="1" w:line="220" w:lineRule="auto"/>
        <w:rPr>
          <w:rFonts w:ascii="宋体" w:hAnsi="宋体" w:cs="宋体"/>
          <w:color w:val="000000"/>
          <w:szCs w:val="21"/>
          <w:highlight w:val="none"/>
        </w:rPr>
      </w:pPr>
      <w:r>
        <w:rPr>
          <w:rFonts w:ascii="宋体" w:hAnsi="宋体" w:cs="宋体"/>
          <w:color w:val="000000"/>
          <w:spacing w:val="-1"/>
          <w:szCs w:val="21"/>
          <w:highlight w:val="none"/>
        </w:rPr>
        <w:t xml:space="preserve">一、工程质量保修范围和内容</w:t>
      </w:r>
      <w:r>
        <w:rPr>
          <w:rFonts w:ascii="宋体" w:hAnsi="宋体" w:cs="宋体"/>
          <w:color w:val="000000"/>
          <w:szCs w:val="21"/>
          <w:highlight w:val="none"/>
        </w:rPr>
      </w:r>
      <w:r/>
    </w:p>
    <w:p>
      <w:pPr>
        <w:pStyle w:val="1288"/>
        <w:ind w:left="445"/>
        <w:spacing w:before="216" w:line="221" w:lineRule="auto"/>
        <w:rPr>
          <w:rFonts w:ascii="宋体" w:hAnsi="宋体" w:cs="宋体"/>
          <w:color w:val="000000"/>
          <w:szCs w:val="21"/>
          <w:highlight w:val="none"/>
        </w:rPr>
      </w:pPr>
      <w:r>
        <w:rPr>
          <w:rFonts w:hint="eastAsia" w:ascii="宋体" w:hAnsi="宋体" w:cs="宋体"/>
          <w:color w:val="000000"/>
          <w:spacing w:val="-1"/>
          <w:szCs w:val="21"/>
          <w:highlight w:val="none"/>
        </w:rPr>
        <w:t xml:space="preserve">乙方</w:t>
      </w:r>
      <w:r>
        <w:rPr>
          <w:rFonts w:ascii="宋体" w:hAnsi="宋体" w:cs="宋体"/>
          <w:color w:val="000000"/>
          <w:spacing w:val="-1"/>
          <w:szCs w:val="21"/>
          <w:highlight w:val="none"/>
        </w:rPr>
        <w:t xml:space="preserve">在质量保修期内，按照有关法律规定和合同约定，承担工程质量保修责任。</w:t>
      </w:r>
      <w:r>
        <w:rPr>
          <w:rFonts w:ascii="宋体" w:hAnsi="宋体" w:cs="宋体"/>
          <w:color w:val="000000"/>
          <w:szCs w:val="21"/>
          <w:highlight w:val="none"/>
        </w:rPr>
      </w:r>
      <w:r/>
    </w:p>
    <w:p>
      <w:pPr>
        <w:pStyle w:val="1288"/>
        <w:ind w:left="23" w:firstLine="422"/>
        <w:spacing w:before="216" w:line="413" w:lineRule="auto"/>
        <w:rPr>
          <w:rFonts w:ascii="宋体" w:hAnsi="宋体" w:cs="宋体"/>
          <w:color w:val="000000"/>
          <w:szCs w:val="21"/>
          <w:highlight w:val="none"/>
        </w:rPr>
      </w:pPr>
      <w:r>
        <w:rPr>
          <w:rFonts w:ascii="宋体" w:hAnsi="宋体" w:cs="宋体"/>
          <w:color w:val="000000"/>
          <w:spacing w:val="-6"/>
          <w:szCs w:val="21"/>
          <w:highlight w:val="none"/>
        </w:rPr>
        <w:t xml:space="preserve">质量保修范围包括地基基础工程、主体结构工程，屋面防水工程、有防水要求</w:t>
      </w:r>
      <w:r>
        <w:rPr>
          <w:rFonts w:ascii="宋体" w:hAnsi="宋体" w:cs="宋体"/>
          <w:color w:val="000000"/>
          <w:spacing w:val="-7"/>
          <w:szCs w:val="21"/>
          <w:highlight w:val="none"/>
        </w:rPr>
        <w:t xml:space="preserve">的卫生间、</w:t>
      </w:r>
      <w:r>
        <w:rPr>
          <w:rFonts w:ascii="宋体" w:hAnsi="宋体" w:cs="宋体"/>
          <w:color w:val="000000"/>
          <w:spacing w:val="-1"/>
          <w:szCs w:val="21"/>
          <w:highlight w:val="none"/>
        </w:rPr>
        <w:t xml:space="preserve">房间和外墙面的防渗漏，供热与供冷系统，电气管线、给排水管道、设备安装和装修工程，以及双方约定的其他项目。具体保修的内容，双方约定如下：</w:t>
      </w:r>
      <w:r>
        <w:rPr>
          <w:rFonts w:ascii="宋体" w:hAnsi="宋体" w:cs="宋体"/>
          <w:color w:val="000000"/>
          <w:szCs w:val="21"/>
          <w:highlight w:val="none"/>
        </w:rPr>
      </w:r>
      <w:r/>
    </w:p>
    <w:p>
      <w:pPr>
        <w:pStyle w:val="1288"/>
        <w:ind w:left="23" w:firstLine="420"/>
        <w:spacing w:line="360" w:lineRule="auto"/>
        <w:rPr>
          <w:rFonts w:ascii="宋体" w:hAnsi="宋体" w:cs="宋体"/>
          <w:color w:val="000000"/>
          <w:spacing w:val="-1"/>
          <w:szCs w:val="21"/>
          <w:highlight w:val="none"/>
          <w:u w:val="single"/>
        </w:rPr>
      </w:pPr>
      <w:r>
        <w:rPr>
          <w:rFonts w:hint="eastAsia" w:ascii="宋体" w:hAnsi="宋体" w:cs="宋体"/>
          <w:color w:val="000000"/>
          <w:spacing w:val="-1"/>
          <w:szCs w:val="21"/>
          <w:highlight w:val="none"/>
          <w:u w:val="single"/>
        </w:rPr>
        <w:t xml:space="preserve">质量保修范围包括乙方施工范围内的全部内容，乙方负责施工的所有工程项目，乙方必须履行保修义务。</w:t>
      </w:r>
      <w:r>
        <w:rPr>
          <w:rFonts w:ascii="宋体" w:hAnsi="宋体" w:cs="宋体"/>
          <w:color w:val="000000"/>
          <w:spacing w:val="-1"/>
          <w:szCs w:val="21"/>
          <w:highlight w:val="none"/>
          <w:u w:val="single"/>
        </w:rPr>
        <w:tab/>
      </w:r>
      <w:r>
        <w:rPr>
          <w:rFonts w:ascii="宋体" w:hAnsi="宋体" w:cs="宋体"/>
          <w:color w:val="000000"/>
          <w:spacing w:val="-1"/>
          <w:szCs w:val="21"/>
          <w:highlight w:val="none"/>
          <w:u w:val="single"/>
        </w:rPr>
      </w:r>
      <w:r/>
    </w:p>
    <w:p>
      <w:pPr>
        <w:pStyle w:val="1288"/>
        <w:ind w:left="448"/>
        <w:spacing w:before="225" w:line="221" w:lineRule="auto"/>
        <w:rPr>
          <w:rFonts w:ascii="宋体" w:hAnsi="宋体" w:cs="宋体"/>
          <w:color w:val="000000"/>
          <w:szCs w:val="21"/>
          <w:highlight w:val="none"/>
        </w:rPr>
      </w:pPr>
      <w:r>
        <w:rPr>
          <w:rFonts w:ascii="宋体" w:hAnsi="宋体" w:cs="宋体"/>
          <w:color w:val="000000"/>
          <w:spacing w:val="-2"/>
          <w:szCs w:val="21"/>
          <w:highlight w:val="none"/>
        </w:rPr>
        <w:t xml:space="preserve">二、质量保修期</w:t>
      </w:r>
      <w:r>
        <w:rPr>
          <w:rFonts w:ascii="宋体" w:hAnsi="宋体" w:cs="宋体"/>
          <w:color w:val="000000"/>
          <w:szCs w:val="21"/>
          <w:highlight w:val="none"/>
        </w:rPr>
      </w:r>
      <w:r/>
    </w:p>
    <w:p>
      <w:pPr>
        <w:pStyle w:val="1288"/>
        <w:ind w:left="442"/>
        <w:spacing w:before="217" w:line="221" w:lineRule="auto"/>
        <w:rPr>
          <w:rFonts w:ascii="宋体" w:hAnsi="宋体" w:cs="宋体"/>
          <w:color w:val="000000"/>
          <w:szCs w:val="21"/>
          <w:highlight w:val="none"/>
        </w:rPr>
      </w:pPr>
      <w:r>
        <w:rPr>
          <w:rFonts w:ascii="宋体" w:hAnsi="宋体" w:cs="宋体"/>
          <w:color w:val="000000"/>
          <w:spacing w:val="-1"/>
          <w:szCs w:val="21"/>
          <w:highlight w:val="none"/>
        </w:rPr>
        <w:t xml:space="preserve">根据《建设工程质量管理条例》及有关规定，工程的质量保修期如下：</w:t>
      </w:r>
      <w:r>
        <w:rPr>
          <w:rFonts w:ascii="宋体" w:hAnsi="宋体" w:cs="宋体"/>
          <w:color w:val="000000"/>
          <w:szCs w:val="21"/>
          <w:highlight w:val="none"/>
        </w:rPr>
      </w:r>
      <w:r/>
    </w:p>
    <w:p>
      <w:pPr>
        <w:pStyle w:val="1288"/>
        <w:ind w:left="458"/>
        <w:spacing w:before="217" w:line="221" w:lineRule="auto"/>
        <w:rPr>
          <w:rFonts w:ascii="宋体" w:hAnsi="宋体" w:cs="宋体"/>
          <w:color w:val="000000"/>
          <w:szCs w:val="21"/>
          <w:highlight w:val="none"/>
        </w:rPr>
      </w:pPr>
      <w:r>
        <w:rPr>
          <w:rFonts w:ascii="宋体" w:hAnsi="宋体" w:cs="宋体"/>
          <w:color w:val="000000"/>
          <w:spacing w:val="-1"/>
          <w:szCs w:val="21"/>
          <w:highlight w:val="none"/>
        </w:rPr>
        <w:t xml:space="preserve">1.地基基础工程和主体结构工程为设计文件规</w:t>
      </w:r>
      <w:r>
        <w:rPr>
          <w:rFonts w:ascii="宋体" w:hAnsi="宋体" w:cs="宋体"/>
          <w:color w:val="000000"/>
          <w:spacing w:val="-2"/>
          <w:szCs w:val="21"/>
          <w:highlight w:val="none"/>
        </w:rPr>
        <w:t xml:space="preserve">定的工程合理使用年限；</w:t>
      </w:r>
      <w:r>
        <w:rPr>
          <w:rFonts w:ascii="宋体" w:hAnsi="宋体" w:cs="宋体"/>
          <w:color w:val="000000"/>
          <w:szCs w:val="21"/>
          <w:highlight w:val="none"/>
        </w:rPr>
      </w:r>
      <w:r/>
    </w:p>
    <w:p>
      <w:pPr>
        <w:pStyle w:val="1288"/>
        <w:ind w:left="445"/>
        <w:spacing w:before="217" w:line="221" w:lineRule="auto"/>
        <w:rPr>
          <w:rFonts w:ascii="宋体" w:hAnsi="宋体" w:cs="宋体"/>
          <w:color w:val="000000"/>
          <w:szCs w:val="21"/>
          <w:highlight w:val="none"/>
        </w:rPr>
      </w:pPr>
      <w:r>
        <w:rPr>
          <w:rFonts w:ascii="宋体" w:hAnsi="宋体" w:cs="宋体"/>
          <w:color w:val="000000"/>
          <w:spacing w:val="-1"/>
          <w:szCs w:val="21"/>
          <w:highlight w:val="none"/>
        </w:rPr>
        <w:t xml:space="preserve">2.屋面防水工程、有防水要求的卫生间、房间和外墙面的</w:t>
      </w:r>
      <w:r>
        <w:rPr>
          <w:rFonts w:ascii="宋体" w:hAnsi="宋体" w:cs="宋体"/>
          <w:color w:val="000000"/>
          <w:spacing w:val="-2"/>
          <w:szCs w:val="21"/>
          <w:highlight w:val="none"/>
        </w:rPr>
        <w:t xml:space="preserve">防渗为</w:t>
      </w:r>
      <w:r>
        <w:rPr>
          <w:rFonts w:ascii="宋体" w:hAnsi="宋体" w:cs="宋体"/>
          <w:color w:val="000000"/>
          <w:spacing w:val="-105"/>
          <w:szCs w:val="21"/>
          <w:highlight w:val="none"/>
        </w:rPr>
        <w:t xml:space="preserve"> </w:t>
      </w:r>
      <w:r>
        <w:rPr>
          <w:rFonts w:ascii="宋体" w:hAnsi="宋体" w:cs="宋体"/>
          <w:color w:val="000000"/>
          <w:szCs w:val="21"/>
          <w:highlight w:val="none"/>
          <w:u w:val="single"/>
        </w:rPr>
        <w:t xml:space="preserve"> </w:t>
      </w:r>
      <w:r>
        <w:rPr>
          <w:rFonts w:hint="eastAsia" w:ascii="宋体" w:hAnsi="宋体" w:cs="宋体"/>
          <w:color w:val="000000"/>
          <w:szCs w:val="21"/>
          <w:highlight w:val="none"/>
          <w:u w:val="single"/>
        </w:rPr>
        <w:t xml:space="preserve">5</w:t>
      </w:r>
      <w:r>
        <w:rPr>
          <w:rFonts w:ascii="宋体" w:hAnsi="宋体" w:cs="宋体"/>
          <w:color w:val="000000"/>
          <w:szCs w:val="21"/>
          <w:highlight w:val="none"/>
          <w:u w:val="single"/>
        </w:rPr>
        <w:t xml:space="preserve"> </w:t>
      </w:r>
      <w:r>
        <w:rPr>
          <w:rFonts w:ascii="宋体" w:hAnsi="宋体" w:cs="宋体"/>
          <w:color w:val="000000"/>
          <w:spacing w:val="-95"/>
          <w:szCs w:val="21"/>
          <w:highlight w:val="none"/>
        </w:rPr>
        <w:t xml:space="preserve"> </w:t>
      </w:r>
      <w:r>
        <w:rPr>
          <w:rFonts w:ascii="宋体" w:hAnsi="宋体" w:cs="宋体"/>
          <w:color w:val="000000"/>
          <w:spacing w:val="-2"/>
          <w:szCs w:val="21"/>
          <w:highlight w:val="none"/>
        </w:rPr>
        <w:t xml:space="preserve">年；</w:t>
      </w:r>
      <w:r>
        <w:rPr>
          <w:rFonts w:ascii="宋体" w:hAnsi="宋体" w:cs="宋体"/>
          <w:color w:val="000000"/>
          <w:szCs w:val="21"/>
          <w:highlight w:val="none"/>
        </w:rPr>
      </w:r>
      <w:r/>
    </w:p>
    <w:p>
      <w:pPr>
        <w:pStyle w:val="1288"/>
        <w:ind w:left="552"/>
        <w:spacing w:before="216" w:line="221" w:lineRule="auto"/>
        <w:rPr>
          <w:rFonts w:ascii="宋体" w:hAnsi="宋体" w:cs="宋体"/>
          <w:color w:val="000000"/>
          <w:szCs w:val="21"/>
          <w:highlight w:val="none"/>
        </w:rPr>
      </w:pPr>
      <w:r>
        <w:rPr>
          <w:rFonts w:ascii="宋体" w:hAnsi="宋体" w:cs="宋体"/>
          <w:color w:val="000000"/>
          <w:spacing w:val="-3"/>
          <w:szCs w:val="21"/>
          <w:highlight w:val="none"/>
        </w:rPr>
        <w:t xml:space="preserve">3.装修工程为</w:t>
      </w:r>
      <w:r>
        <w:rPr>
          <w:rFonts w:ascii="宋体" w:hAnsi="宋体" w:cs="宋体"/>
          <w:color w:val="000000"/>
          <w:spacing w:val="-3"/>
          <w:szCs w:val="21"/>
          <w:highlight w:val="none"/>
          <w:u w:val="single"/>
        </w:rPr>
        <w:t xml:space="preserve">  </w:t>
      </w:r>
      <w:r>
        <w:rPr>
          <w:rFonts w:hint="eastAsia" w:ascii="宋体" w:hAnsi="宋体" w:cs="宋体"/>
          <w:color w:val="000000"/>
          <w:spacing w:val="-3"/>
          <w:szCs w:val="21"/>
          <w:highlight w:val="none"/>
          <w:u w:val="single"/>
        </w:rPr>
        <w:t xml:space="preserve">2</w:t>
      </w:r>
      <w:r>
        <w:rPr>
          <w:rFonts w:ascii="宋体" w:hAnsi="宋体" w:cs="宋体"/>
          <w:color w:val="000000"/>
          <w:spacing w:val="-3"/>
          <w:szCs w:val="21"/>
          <w:highlight w:val="none"/>
          <w:u w:val="single"/>
        </w:rPr>
        <w:t xml:space="preserve"> </w:t>
      </w:r>
      <w:r>
        <w:rPr>
          <w:rFonts w:ascii="宋体" w:hAnsi="宋体" w:cs="宋体"/>
          <w:color w:val="000000"/>
          <w:spacing w:val="-84"/>
          <w:szCs w:val="21"/>
          <w:highlight w:val="none"/>
        </w:rPr>
        <w:t xml:space="preserve"> </w:t>
      </w:r>
      <w:r>
        <w:rPr>
          <w:rFonts w:ascii="宋体" w:hAnsi="宋体" w:cs="宋体"/>
          <w:color w:val="000000"/>
          <w:spacing w:val="-3"/>
          <w:szCs w:val="21"/>
          <w:highlight w:val="none"/>
        </w:rPr>
        <w:t xml:space="preserve">年；</w:t>
      </w:r>
      <w:r>
        <w:rPr>
          <w:rFonts w:ascii="宋体" w:hAnsi="宋体" w:cs="宋体"/>
          <w:color w:val="000000"/>
          <w:szCs w:val="21"/>
          <w:highlight w:val="none"/>
        </w:rPr>
      </w:r>
      <w:r/>
    </w:p>
    <w:p>
      <w:pPr>
        <w:pStyle w:val="1288"/>
        <w:ind w:left="547"/>
        <w:spacing w:before="217" w:line="221" w:lineRule="auto"/>
        <w:rPr>
          <w:rFonts w:ascii="宋体" w:hAnsi="宋体" w:cs="宋体"/>
          <w:color w:val="000000"/>
          <w:szCs w:val="21"/>
          <w:highlight w:val="none"/>
        </w:rPr>
      </w:pPr>
      <w:r>
        <w:rPr>
          <w:rFonts w:ascii="宋体" w:hAnsi="宋体" w:cs="宋体"/>
          <w:color w:val="000000"/>
          <w:spacing w:val="-2"/>
          <w:szCs w:val="21"/>
          <w:highlight w:val="none"/>
        </w:rPr>
        <w:t xml:space="preserve">4.电气管线、给排水管道、设备安装工程为</w:t>
      </w:r>
      <w:r>
        <w:rPr>
          <w:rFonts w:ascii="宋体" w:hAnsi="宋体" w:cs="宋体"/>
          <w:color w:val="000000"/>
          <w:spacing w:val="-94"/>
          <w:szCs w:val="21"/>
          <w:highlight w:val="none"/>
        </w:rPr>
        <w:t xml:space="preserve"> </w:t>
      </w:r>
      <w:r>
        <w:rPr>
          <w:rFonts w:ascii="宋体" w:hAnsi="宋体" w:cs="宋体"/>
          <w:color w:val="000000"/>
          <w:spacing w:val="13"/>
          <w:szCs w:val="21"/>
          <w:highlight w:val="none"/>
          <w:u w:val="single"/>
        </w:rPr>
        <w:t xml:space="preserve">  </w:t>
      </w:r>
      <w:r>
        <w:rPr>
          <w:rFonts w:hint="eastAsia" w:ascii="宋体" w:hAnsi="宋体" w:cs="宋体"/>
          <w:color w:val="000000"/>
          <w:spacing w:val="13"/>
          <w:szCs w:val="21"/>
          <w:highlight w:val="none"/>
          <w:u w:val="single"/>
        </w:rPr>
        <w:t xml:space="preserve">2</w:t>
      </w:r>
      <w:r>
        <w:rPr>
          <w:rFonts w:ascii="宋体" w:hAnsi="宋体" w:cs="宋体"/>
          <w:color w:val="000000"/>
          <w:spacing w:val="13"/>
          <w:szCs w:val="21"/>
          <w:highlight w:val="none"/>
          <w:u w:val="single"/>
        </w:rPr>
        <w:t xml:space="preserve"> </w:t>
      </w:r>
      <w:r>
        <w:rPr>
          <w:rFonts w:ascii="宋体" w:hAnsi="宋体" w:cs="宋体"/>
          <w:color w:val="000000"/>
          <w:spacing w:val="-96"/>
          <w:szCs w:val="21"/>
          <w:highlight w:val="none"/>
        </w:rPr>
        <w:t xml:space="preserve"> </w:t>
      </w:r>
      <w:r>
        <w:rPr>
          <w:rFonts w:ascii="宋体" w:hAnsi="宋体" w:cs="宋体"/>
          <w:color w:val="000000"/>
          <w:spacing w:val="-2"/>
          <w:szCs w:val="21"/>
          <w:highlight w:val="none"/>
        </w:rPr>
        <w:t xml:space="preserve">年；</w:t>
      </w:r>
      <w:r>
        <w:rPr>
          <w:rFonts w:ascii="宋体" w:hAnsi="宋体" w:cs="宋体"/>
          <w:color w:val="000000"/>
          <w:szCs w:val="21"/>
          <w:highlight w:val="none"/>
        </w:rPr>
      </w:r>
      <w:r/>
    </w:p>
    <w:p>
      <w:pPr>
        <w:pStyle w:val="1288"/>
        <w:ind w:left="552"/>
        <w:spacing w:before="217" w:line="220" w:lineRule="auto"/>
        <w:rPr>
          <w:rFonts w:ascii="宋体" w:hAnsi="宋体" w:cs="宋体"/>
          <w:color w:val="000000"/>
          <w:szCs w:val="21"/>
          <w:highlight w:val="none"/>
        </w:rPr>
      </w:pPr>
      <w:r>
        <w:rPr>
          <w:rFonts w:ascii="宋体" w:hAnsi="宋体" w:cs="宋体"/>
          <w:color w:val="000000"/>
          <w:spacing w:val="-2"/>
          <w:szCs w:val="21"/>
          <w:highlight w:val="none"/>
        </w:rPr>
        <w:t xml:space="preserve">5.供热与供冷系统为</w:t>
      </w:r>
      <w:r>
        <w:rPr>
          <w:rFonts w:ascii="宋体" w:hAnsi="宋体" w:cs="宋体"/>
          <w:color w:val="000000"/>
          <w:spacing w:val="-2"/>
          <w:szCs w:val="21"/>
          <w:highlight w:val="none"/>
          <w:u w:val="single"/>
        </w:rPr>
        <w:t xml:space="preserve">   </w:t>
      </w:r>
      <w:r>
        <w:rPr>
          <w:rFonts w:hint="eastAsia" w:ascii="宋体" w:hAnsi="宋体" w:cs="宋体"/>
          <w:color w:val="000000"/>
          <w:spacing w:val="-2"/>
          <w:szCs w:val="21"/>
          <w:highlight w:val="none"/>
          <w:u w:val="single"/>
        </w:rPr>
        <w:t xml:space="preserve">2</w:t>
      </w:r>
      <w:r>
        <w:rPr>
          <w:rFonts w:ascii="宋体" w:hAnsi="宋体" w:cs="宋体"/>
          <w:color w:val="000000"/>
          <w:spacing w:val="-2"/>
          <w:szCs w:val="21"/>
          <w:highlight w:val="none"/>
          <w:u w:val="single"/>
        </w:rPr>
        <w:t xml:space="preserve">  </w:t>
      </w:r>
      <w:r>
        <w:rPr>
          <w:rFonts w:ascii="宋体" w:hAnsi="宋体" w:cs="宋体"/>
          <w:color w:val="000000"/>
          <w:spacing w:val="-84"/>
          <w:szCs w:val="21"/>
          <w:highlight w:val="none"/>
        </w:rPr>
        <w:t xml:space="preserve"> </w:t>
      </w:r>
      <w:r>
        <w:rPr>
          <w:rFonts w:ascii="宋体" w:hAnsi="宋体" w:cs="宋体"/>
          <w:color w:val="000000"/>
          <w:spacing w:val="-2"/>
          <w:szCs w:val="21"/>
          <w:highlight w:val="none"/>
        </w:rPr>
        <w:t xml:space="preserve">个采暖期、供冷期；</w:t>
      </w:r>
      <w:r>
        <w:rPr>
          <w:rFonts w:ascii="宋体" w:hAnsi="宋体" w:cs="宋体"/>
          <w:color w:val="000000"/>
          <w:szCs w:val="21"/>
          <w:highlight w:val="none"/>
        </w:rPr>
      </w:r>
      <w:r/>
    </w:p>
    <w:p>
      <w:pPr>
        <w:pStyle w:val="1288"/>
        <w:ind w:left="549"/>
        <w:spacing w:before="217" w:line="221" w:lineRule="auto"/>
        <w:rPr>
          <w:rFonts w:ascii="宋体" w:hAnsi="宋体" w:cs="宋体"/>
          <w:color w:val="000000"/>
          <w:szCs w:val="21"/>
          <w:highlight w:val="none"/>
        </w:rPr>
      </w:pPr>
      <w:r>
        <w:rPr>
          <w:rFonts w:ascii="宋体" w:hAnsi="宋体" w:cs="宋体"/>
          <w:color w:val="000000"/>
          <w:spacing w:val="-2"/>
          <w:szCs w:val="21"/>
          <w:highlight w:val="none"/>
        </w:rPr>
        <w:t xml:space="preserve">6.住宅小区内的给排水设施、道路等配套工程为</w:t>
      </w:r>
      <w:r>
        <w:rPr>
          <w:rFonts w:ascii="宋体" w:hAnsi="宋体" w:cs="宋体"/>
          <w:color w:val="000000"/>
          <w:spacing w:val="-92"/>
          <w:szCs w:val="21"/>
          <w:highlight w:val="none"/>
        </w:rPr>
        <w:t xml:space="preserve"> </w:t>
      </w:r>
      <w:r>
        <w:rPr>
          <w:rFonts w:ascii="宋体" w:hAnsi="宋体" w:cs="宋体"/>
          <w:color w:val="000000"/>
          <w:spacing w:val="12"/>
          <w:szCs w:val="21"/>
          <w:highlight w:val="none"/>
          <w:u w:val="single"/>
        </w:rPr>
        <w:t xml:space="preserve"> </w:t>
      </w:r>
      <w:r>
        <w:rPr>
          <w:rFonts w:hint="eastAsia" w:ascii="宋体" w:hAnsi="宋体" w:cs="宋体"/>
          <w:color w:val="000000"/>
          <w:spacing w:val="12"/>
          <w:szCs w:val="21"/>
          <w:highlight w:val="none"/>
          <w:u w:val="single"/>
        </w:rPr>
        <w:t xml:space="preserve">2</w:t>
      </w:r>
      <w:r>
        <w:rPr>
          <w:rFonts w:ascii="宋体" w:hAnsi="宋体" w:cs="宋体"/>
          <w:color w:val="000000"/>
          <w:spacing w:val="12"/>
          <w:szCs w:val="21"/>
          <w:highlight w:val="none"/>
          <w:u w:val="single"/>
        </w:rPr>
        <w:t xml:space="preserve"> </w:t>
      </w:r>
      <w:r>
        <w:rPr>
          <w:rFonts w:ascii="宋体" w:hAnsi="宋体" w:cs="宋体"/>
          <w:color w:val="000000"/>
          <w:spacing w:val="-89"/>
          <w:szCs w:val="21"/>
          <w:highlight w:val="none"/>
        </w:rPr>
        <w:t xml:space="preserve"> </w:t>
      </w:r>
      <w:r>
        <w:rPr>
          <w:rFonts w:ascii="宋体" w:hAnsi="宋体" w:cs="宋体"/>
          <w:color w:val="000000"/>
          <w:spacing w:val="-2"/>
          <w:szCs w:val="21"/>
          <w:highlight w:val="none"/>
        </w:rPr>
        <w:t xml:space="preserve">年；</w:t>
      </w:r>
      <w:r>
        <w:rPr>
          <w:rFonts w:ascii="宋体" w:hAnsi="宋体" w:cs="宋体"/>
          <w:color w:val="000000"/>
          <w:szCs w:val="21"/>
          <w:highlight w:val="none"/>
        </w:rPr>
      </w:r>
      <w:r/>
    </w:p>
    <w:p>
      <w:pPr>
        <w:pStyle w:val="1288"/>
        <w:ind w:left="553"/>
        <w:spacing w:before="217" w:line="221" w:lineRule="auto"/>
        <w:rPr>
          <w:rFonts w:ascii="宋体" w:hAnsi="宋体" w:cs="宋体"/>
          <w:color w:val="000000"/>
          <w:szCs w:val="21"/>
          <w:highlight w:val="none"/>
        </w:rPr>
      </w:pPr>
      <w:r>
        <w:rPr>
          <w:rFonts w:ascii="宋体" w:hAnsi="宋体" w:cs="宋体"/>
          <w:color w:val="000000"/>
          <w:spacing w:val="-3"/>
          <w:szCs w:val="21"/>
          <w:highlight w:val="none"/>
        </w:rPr>
        <w:t xml:space="preserve">7.其他项目保修期限约定如下：</w:t>
      </w:r>
      <w:r>
        <w:rPr>
          <w:rFonts w:ascii="宋体" w:hAnsi="宋体" w:cs="宋体"/>
          <w:color w:val="000000"/>
          <w:szCs w:val="21"/>
          <w:highlight w:val="none"/>
        </w:rPr>
      </w:r>
      <w:r/>
    </w:p>
    <w:p>
      <w:pPr>
        <w:pStyle w:val="1288"/>
        <w:ind w:left="553"/>
        <w:spacing w:before="217" w:line="221" w:lineRule="auto"/>
        <w:rPr>
          <w:rFonts w:hint="eastAsia" w:ascii="宋体" w:hAnsi="宋体" w:cs="宋体"/>
          <w:color w:val="000000"/>
          <w:spacing w:val="-3"/>
          <w:szCs w:val="21"/>
          <w:highlight w:val="none"/>
        </w:rPr>
      </w:pPr>
      <w:r>
        <w:rPr>
          <w:rFonts w:hint="eastAsia" w:ascii="宋体" w:hAnsi="宋体" w:cs="宋体"/>
          <w:color w:val="000000"/>
          <w:spacing w:val="-3"/>
          <w:szCs w:val="21"/>
          <w:highlight w:val="none"/>
        </w:rPr>
        <w:t xml:space="preserve">苗木养护期为</w:t>
      </w:r>
      <w:r>
        <w:rPr>
          <w:rFonts w:ascii="宋体" w:hAnsi="宋体" w:cs="宋体"/>
          <w:color w:val="000000"/>
          <w:spacing w:val="-3"/>
          <w:szCs w:val="21"/>
          <w:highlight w:val="none"/>
          <w:u w:val="single"/>
        </w:rPr>
        <w:t xml:space="preserve">1</w:t>
      </w:r>
      <w:r>
        <w:rPr>
          <w:rFonts w:hint="eastAsia" w:ascii="宋体" w:hAnsi="宋体" w:cs="宋体"/>
          <w:color w:val="000000"/>
          <w:spacing w:val="-3"/>
          <w:szCs w:val="21"/>
          <w:highlight w:val="none"/>
        </w:rPr>
        <w:t xml:space="preserve">年。</w:t>
      </w:r>
      <w:r>
        <w:rPr>
          <w:rFonts w:hint="eastAsia" w:ascii="宋体" w:hAnsi="宋体" w:cs="宋体"/>
          <w:color w:val="000000"/>
          <w:spacing w:val="-3"/>
          <w:szCs w:val="21"/>
          <w:highlight w:val="none"/>
        </w:rPr>
      </w:r>
      <w:r/>
    </w:p>
    <w:p>
      <w:pPr>
        <w:pStyle w:val="1288"/>
        <w:ind w:left="553"/>
        <w:spacing w:before="217" w:line="221" w:lineRule="auto"/>
        <w:rPr>
          <w:rFonts w:ascii="宋体" w:hAnsi="宋体" w:cs="宋体"/>
          <w:color w:val="000000"/>
          <w:spacing w:val="-3"/>
          <w:szCs w:val="21"/>
          <w:highlight w:val="none"/>
        </w:rPr>
      </w:pPr>
      <w:r>
        <w:rPr>
          <w:rFonts w:ascii="宋体" w:hAnsi="宋体" w:cs="宋体"/>
          <w:color w:val="000000"/>
          <w:spacing w:val="-3"/>
          <w:szCs w:val="21"/>
          <w:highlight w:val="none"/>
        </w:rPr>
        <w:t xml:space="preserve">质量保修期自工程竣工验收合格之日起计算。</w:t>
      </w:r>
      <w:r>
        <w:rPr>
          <w:rFonts w:ascii="宋体" w:hAnsi="宋体" w:cs="宋体"/>
          <w:color w:val="000000"/>
          <w:spacing w:val="-3"/>
          <w:szCs w:val="21"/>
          <w:highlight w:val="none"/>
        </w:rPr>
      </w:r>
      <w:r/>
    </w:p>
    <w:p>
      <w:pPr>
        <w:pStyle w:val="1288"/>
        <w:ind w:left="442"/>
        <w:spacing w:before="217" w:line="221" w:lineRule="auto"/>
        <w:rPr>
          <w:rFonts w:ascii="宋体" w:hAnsi="宋体" w:cs="宋体"/>
          <w:color w:val="000000"/>
          <w:szCs w:val="21"/>
          <w:highlight w:val="none"/>
        </w:rPr>
      </w:pPr>
      <w:r>
        <w:rPr>
          <w:rFonts w:ascii="宋体" w:hAnsi="宋体" w:cs="宋体"/>
          <w:color w:val="000000"/>
          <w:spacing w:val="-1"/>
          <w:szCs w:val="21"/>
          <w:highlight w:val="none"/>
        </w:rPr>
        <w:t xml:space="preserve">三、缺陷责任期</w:t>
      </w:r>
      <w:r>
        <w:rPr>
          <w:rFonts w:ascii="宋体" w:hAnsi="宋体" w:cs="宋体"/>
          <w:color w:val="000000"/>
          <w:szCs w:val="21"/>
          <w:highlight w:val="none"/>
        </w:rPr>
      </w:r>
      <w:r/>
    </w:p>
    <w:p>
      <w:pPr>
        <w:pStyle w:val="1288"/>
        <w:ind w:left="25" w:right="74" w:firstLine="419"/>
        <w:spacing w:before="218" w:line="413" w:lineRule="auto"/>
        <w:rPr>
          <w:rFonts w:ascii="宋体" w:hAnsi="宋体" w:cs="宋体"/>
          <w:color w:val="000000"/>
          <w:szCs w:val="21"/>
          <w:highlight w:val="none"/>
        </w:rPr>
      </w:pPr>
      <w:r>
        <w:rPr>
          <w:rFonts w:ascii="宋体" w:hAnsi="宋体" w:cs="宋体"/>
          <w:color w:val="000000"/>
          <w:szCs w:val="21"/>
          <w:highlight w:val="none"/>
        </w:rPr>
        <w:t xml:space="preserve">工程缺陷责任期为</w:t>
      </w:r>
      <w:r>
        <w:rPr>
          <w:rFonts w:ascii="宋体" w:hAnsi="宋体" w:cs="宋体"/>
          <w:color w:val="000000"/>
          <w:spacing w:val="-105"/>
          <w:szCs w:val="21"/>
          <w:highlight w:val="none"/>
        </w:rPr>
        <w:t xml:space="preserve"> </w:t>
      </w:r>
      <w:r>
        <w:rPr>
          <w:rFonts w:ascii="宋体" w:hAnsi="宋体" w:cs="宋体"/>
          <w:color w:val="000000"/>
          <w:szCs w:val="21"/>
          <w:highlight w:val="none"/>
          <w:u w:val="single"/>
        </w:rPr>
        <w:t xml:space="preserve">  </w:t>
      </w:r>
      <w:r>
        <w:rPr>
          <w:rFonts w:hint="eastAsia" w:ascii="宋体" w:hAnsi="宋体" w:cs="宋体"/>
          <w:color w:val="000000"/>
          <w:szCs w:val="21"/>
          <w:highlight w:val="none"/>
          <w:u w:val="single"/>
        </w:rPr>
        <w:t xml:space="preserve">24</w:t>
      </w:r>
      <w:r>
        <w:rPr>
          <w:rFonts w:ascii="宋体" w:hAnsi="宋体" w:cs="宋体"/>
          <w:color w:val="000000"/>
          <w:szCs w:val="21"/>
          <w:highlight w:val="none"/>
          <w:u w:val="single"/>
        </w:rPr>
        <w:t xml:space="preserve"> </w:t>
      </w:r>
      <w:r>
        <w:rPr>
          <w:rFonts w:ascii="宋体" w:hAnsi="宋体" w:cs="宋体"/>
          <w:color w:val="000000"/>
          <w:spacing w:val="-96"/>
          <w:szCs w:val="21"/>
          <w:highlight w:val="none"/>
        </w:rPr>
        <w:t xml:space="preserve"> </w:t>
      </w:r>
      <w:r>
        <w:rPr>
          <w:rFonts w:ascii="宋体" w:hAnsi="宋体" w:cs="宋体"/>
          <w:color w:val="000000"/>
          <w:szCs w:val="21"/>
          <w:highlight w:val="none"/>
        </w:rPr>
        <w:t xml:space="preserve">个月，缺陷责任期自工程通过竣工验收之日</w:t>
      </w:r>
      <w:r>
        <w:rPr>
          <w:rFonts w:ascii="宋体" w:hAnsi="宋体" w:cs="宋体"/>
          <w:color w:val="000000"/>
          <w:spacing w:val="-1"/>
          <w:szCs w:val="21"/>
          <w:highlight w:val="none"/>
        </w:rPr>
        <w:t xml:space="preserve">起计算。单位工程先于全部工程进行验收，单位工程缺陷责任期自单位工程验收合格之日起算。</w:t>
      </w:r>
      <w:r>
        <w:rPr>
          <w:rFonts w:ascii="宋体" w:hAnsi="宋体" w:cs="宋体"/>
          <w:color w:val="000000"/>
          <w:szCs w:val="21"/>
          <w:highlight w:val="none"/>
        </w:rPr>
      </w:r>
      <w:r/>
    </w:p>
    <w:p>
      <w:pPr>
        <w:pStyle w:val="1288"/>
        <w:spacing w:line="413" w:lineRule="auto"/>
        <w:rPr>
          <w:rFonts w:ascii="宋体" w:hAnsi="宋体" w:cs="宋体"/>
          <w:color w:val="000000"/>
          <w:szCs w:val="21"/>
          <w:highlight w:val="none"/>
        </w:rPr>
        <w:sectPr>
          <w:headerReference w:type="default" r:id="rId12"/>
          <w:footerReference w:type="default" r:id="rId21"/>
          <w:footnotePr/>
          <w:endnotePr/>
          <w:type w:val="nextPage"/>
          <w:pgSz w:w="11907" w:h="16839" w:orient="portrait"/>
          <w:pgMar w:top="400" w:right="1721" w:bottom="1226" w:left="1785" w:header="850" w:footer="992" w:gutter="0"/>
          <w:cols w:num="1" w:sep="0" w:space="1701" w:equalWidth="1"/>
          <w:docGrid w:linePitch="360"/>
        </w:sectPr>
      </w:pPr>
      <w:r>
        <w:rPr>
          <w:rFonts w:ascii="宋体" w:hAnsi="宋体" w:cs="宋体"/>
          <w:color w:val="000000"/>
          <w:szCs w:val="21"/>
          <w:highlight w:val="none"/>
        </w:rPr>
      </w:r>
      <w:r/>
    </w:p>
    <w:p>
      <w:pPr>
        <w:pStyle w:val="1299"/>
        <w:spacing w:line="274" w:lineRule="auto"/>
        <w:tabs>
          <w:tab w:val="left" w:pos="567" w:leader="none"/>
        </w:tabs>
        <w:rPr>
          <w:color w:val="000000"/>
          <w:highlight w:val="none"/>
        </w:rPr>
      </w:pPr>
      <w:r>
        <w:rPr>
          <w:color w:val="000000"/>
          <w:highlight w:val="none"/>
        </w:rPr>
      </w:r>
      <w:r/>
    </w:p>
    <w:p>
      <w:pPr>
        <w:pStyle w:val="1288"/>
        <w:ind w:left="442"/>
        <w:spacing w:before="68" w:line="221" w:lineRule="auto"/>
        <w:rPr>
          <w:rFonts w:ascii="宋体" w:hAnsi="宋体" w:cs="宋体"/>
          <w:color w:val="000000"/>
          <w:szCs w:val="21"/>
          <w:highlight w:val="none"/>
        </w:rPr>
      </w:pPr>
      <w:r>
        <w:rPr>
          <w:rFonts w:ascii="宋体" w:hAnsi="宋体" w:cs="宋体"/>
          <w:color w:val="000000"/>
          <w:spacing w:val="-1"/>
          <w:szCs w:val="21"/>
          <w:highlight w:val="none"/>
        </w:rPr>
        <w:t xml:space="preserve">缺陷责任期终止后，</w:t>
      </w:r>
      <w:r>
        <w:rPr>
          <w:rFonts w:hint="eastAsia" w:ascii="宋体" w:hAnsi="宋体" w:cs="宋体"/>
          <w:color w:val="000000"/>
          <w:spacing w:val="-1"/>
          <w:szCs w:val="21"/>
          <w:highlight w:val="none"/>
        </w:rPr>
        <w:t xml:space="preserve">甲方</w:t>
      </w:r>
      <w:r>
        <w:rPr>
          <w:rFonts w:ascii="宋体" w:hAnsi="宋体" w:cs="宋体"/>
          <w:color w:val="000000"/>
          <w:spacing w:val="-1"/>
          <w:szCs w:val="21"/>
          <w:highlight w:val="none"/>
        </w:rPr>
        <w:t xml:space="preserve">应退还剩余的质量保证金。</w:t>
      </w:r>
      <w:r>
        <w:rPr>
          <w:rFonts w:ascii="宋体" w:hAnsi="宋体" w:cs="宋体"/>
          <w:color w:val="000000"/>
          <w:szCs w:val="21"/>
          <w:highlight w:val="none"/>
        </w:rPr>
      </w:r>
      <w:r/>
    </w:p>
    <w:p>
      <w:pPr>
        <w:pStyle w:val="1288"/>
        <w:ind w:left="464"/>
        <w:spacing w:before="216" w:line="221" w:lineRule="auto"/>
        <w:rPr>
          <w:rFonts w:ascii="宋体" w:hAnsi="宋体" w:cs="宋体"/>
          <w:color w:val="000000"/>
          <w:szCs w:val="21"/>
          <w:highlight w:val="none"/>
        </w:rPr>
      </w:pPr>
      <w:r>
        <w:rPr>
          <w:rFonts w:ascii="宋体" w:hAnsi="宋体" w:cs="宋体"/>
          <w:color w:val="000000"/>
          <w:spacing w:val="-4"/>
          <w:szCs w:val="21"/>
          <w:highlight w:val="none"/>
        </w:rPr>
        <w:t xml:space="preserve">四、质量保修责任</w:t>
      </w:r>
      <w:r>
        <w:rPr>
          <w:rFonts w:ascii="宋体" w:hAnsi="宋体" w:cs="宋体"/>
          <w:color w:val="000000"/>
          <w:szCs w:val="21"/>
          <w:highlight w:val="none"/>
        </w:rPr>
      </w:r>
      <w:r/>
    </w:p>
    <w:p>
      <w:pPr>
        <w:pStyle w:val="1288"/>
        <w:ind w:left="128" w:right="38" w:firstLine="445"/>
        <w:spacing w:before="218" w:line="411" w:lineRule="auto"/>
        <w:rPr>
          <w:rFonts w:ascii="宋体" w:hAnsi="宋体" w:cs="宋体"/>
          <w:color w:val="000000"/>
          <w:szCs w:val="21"/>
          <w:highlight w:val="none"/>
        </w:rPr>
      </w:pPr>
      <w:r>
        <w:rPr>
          <w:rFonts w:ascii="宋体" w:hAnsi="宋体" w:cs="宋体"/>
          <w:color w:val="000000"/>
          <w:spacing w:val="-2"/>
          <w:szCs w:val="21"/>
          <w:highlight w:val="none"/>
        </w:rPr>
        <w:t xml:space="preserve">1.属于保修范围、内容的项目，</w:t>
      </w:r>
      <w:r>
        <w:rPr>
          <w:rFonts w:hint="eastAsia" w:ascii="宋体" w:hAnsi="宋体" w:cs="宋体"/>
          <w:color w:val="000000"/>
          <w:spacing w:val="-2"/>
          <w:szCs w:val="21"/>
          <w:highlight w:val="none"/>
        </w:rPr>
        <w:t xml:space="preserve">乙方</w:t>
      </w:r>
      <w:r>
        <w:rPr>
          <w:rFonts w:ascii="宋体" w:hAnsi="宋体" w:cs="宋体"/>
          <w:color w:val="000000"/>
          <w:spacing w:val="-2"/>
          <w:szCs w:val="21"/>
          <w:highlight w:val="none"/>
        </w:rPr>
        <w:t xml:space="preserve">应当在接到保修通知之日起</w:t>
      </w:r>
      <w:r>
        <w:rPr>
          <w:rFonts w:ascii="宋体" w:hAnsi="宋体" w:cs="宋体"/>
          <w:color w:val="000000"/>
          <w:spacing w:val="-39"/>
          <w:szCs w:val="21"/>
          <w:highlight w:val="none"/>
        </w:rPr>
        <w:t xml:space="preserve"> </w:t>
      </w:r>
      <w:r>
        <w:rPr>
          <w:rFonts w:ascii="宋体" w:hAnsi="宋体" w:cs="宋体"/>
          <w:color w:val="000000"/>
          <w:spacing w:val="-2"/>
          <w:szCs w:val="21"/>
          <w:highlight w:val="none"/>
        </w:rPr>
        <w:t xml:space="preserve">7</w:t>
      </w:r>
      <w:r>
        <w:rPr>
          <w:rFonts w:ascii="宋体" w:hAnsi="宋体" w:cs="宋体"/>
          <w:color w:val="000000"/>
          <w:spacing w:val="-39"/>
          <w:szCs w:val="21"/>
          <w:highlight w:val="none"/>
        </w:rPr>
        <w:t xml:space="preserve"> </w:t>
      </w:r>
      <w:r>
        <w:rPr>
          <w:rFonts w:ascii="宋体" w:hAnsi="宋体" w:cs="宋体"/>
          <w:color w:val="000000"/>
          <w:spacing w:val="-2"/>
          <w:szCs w:val="21"/>
          <w:highlight w:val="none"/>
        </w:rPr>
        <w:t xml:space="preserve">天内派人保修。</w:t>
      </w:r>
      <w:r>
        <w:rPr>
          <w:rFonts w:hint="eastAsia" w:ascii="宋体" w:hAnsi="宋体" w:cs="宋体"/>
          <w:color w:val="000000"/>
          <w:szCs w:val="21"/>
          <w:highlight w:val="none"/>
        </w:rPr>
        <w:t xml:space="preserve">乙方</w:t>
      </w:r>
      <w:r>
        <w:rPr>
          <w:rFonts w:ascii="宋体" w:hAnsi="宋体" w:cs="宋体"/>
          <w:color w:val="000000"/>
          <w:szCs w:val="21"/>
          <w:highlight w:val="none"/>
        </w:rPr>
        <w:t xml:space="preserve">不在约定期限内派人保修的，</w:t>
      </w:r>
      <w:r>
        <w:rPr>
          <w:rFonts w:hint="eastAsia" w:ascii="宋体" w:hAnsi="宋体" w:cs="宋体"/>
          <w:color w:val="000000"/>
          <w:szCs w:val="21"/>
          <w:highlight w:val="none"/>
        </w:rPr>
        <w:t xml:space="preserve">甲方</w:t>
      </w:r>
      <w:r>
        <w:rPr>
          <w:rFonts w:ascii="宋体" w:hAnsi="宋体" w:cs="宋体"/>
          <w:color w:val="000000"/>
          <w:szCs w:val="21"/>
          <w:highlight w:val="none"/>
        </w:rPr>
        <w:t xml:space="preserve">可以委托他人</w:t>
      </w:r>
      <w:r>
        <w:rPr>
          <w:rFonts w:ascii="宋体" w:hAnsi="宋体" w:cs="宋体"/>
          <w:color w:val="000000"/>
          <w:spacing w:val="-1"/>
          <w:szCs w:val="21"/>
          <w:highlight w:val="none"/>
        </w:rPr>
        <w:t xml:space="preserve">修理。</w:t>
      </w:r>
      <w:r>
        <w:rPr>
          <w:rFonts w:ascii="宋体" w:hAnsi="宋体" w:cs="宋体"/>
          <w:color w:val="000000"/>
          <w:szCs w:val="21"/>
          <w:highlight w:val="none"/>
        </w:rPr>
      </w:r>
      <w:r/>
    </w:p>
    <w:p>
      <w:pPr>
        <w:pStyle w:val="1288"/>
        <w:ind w:right="6"/>
        <w:jc w:val="right"/>
        <w:spacing w:line="220" w:lineRule="auto"/>
        <w:rPr>
          <w:rFonts w:ascii="宋体" w:hAnsi="宋体" w:cs="宋体"/>
          <w:color w:val="000000"/>
          <w:szCs w:val="21"/>
          <w:highlight w:val="none"/>
        </w:rPr>
      </w:pPr>
      <w:r>
        <w:rPr>
          <w:rFonts w:ascii="宋体" w:hAnsi="宋体" w:cs="宋体"/>
          <w:color w:val="000000"/>
          <w:szCs w:val="21"/>
          <w:highlight w:val="none"/>
        </w:rPr>
        <w:t xml:space="preserve">2.发生紧急事故需抢修的，</w:t>
      </w:r>
      <w:r>
        <w:rPr>
          <w:rFonts w:hint="eastAsia" w:ascii="宋体" w:hAnsi="宋体" w:cs="宋体"/>
          <w:color w:val="000000"/>
          <w:szCs w:val="21"/>
          <w:highlight w:val="none"/>
        </w:rPr>
        <w:t xml:space="preserve">乙方</w:t>
      </w:r>
      <w:r>
        <w:rPr>
          <w:rFonts w:ascii="宋体" w:hAnsi="宋体" w:cs="宋体"/>
          <w:color w:val="000000"/>
          <w:szCs w:val="21"/>
          <w:highlight w:val="none"/>
        </w:rPr>
        <w:t xml:space="preserve">在接到事故通知后，应当立即到达事故现</w:t>
      </w:r>
      <w:r>
        <w:rPr>
          <w:rFonts w:ascii="宋体" w:hAnsi="宋体" w:cs="宋体"/>
          <w:color w:val="000000"/>
          <w:spacing w:val="-1"/>
          <w:szCs w:val="21"/>
          <w:highlight w:val="none"/>
        </w:rPr>
        <w:t xml:space="preserve">场抢修。</w:t>
      </w:r>
      <w:r>
        <w:rPr>
          <w:rFonts w:ascii="宋体" w:hAnsi="宋体" w:cs="宋体"/>
          <w:color w:val="000000"/>
          <w:szCs w:val="21"/>
          <w:highlight w:val="none"/>
        </w:rPr>
      </w:r>
      <w:r/>
    </w:p>
    <w:p>
      <w:pPr>
        <w:pStyle w:val="1288"/>
        <w:ind w:left="128" w:right="7" w:firstLine="433"/>
        <w:spacing w:before="215" w:line="412" w:lineRule="auto"/>
        <w:rPr>
          <w:rFonts w:ascii="宋体" w:hAnsi="宋体" w:cs="宋体"/>
          <w:color w:val="000000"/>
          <w:szCs w:val="21"/>
          <w:highlight w:val="none"/>
        </w:rPr>
      </w:pPr>
      <w:r>
        <w:rPr>
          <w:rFonts w:ascii="宋体" w:hAnsi="宋体" w:cs="宋体"/>
          <w:color w:val="000000"/>
          <w:szCs w:val="21"/>
          <w:highlight w:val="none"/>
        </w:rPr>
        <w:t xml:space="preserve">3.对于涉及结构安全的质量问题，应当按照《建设工程质量管理条例</w:t>
      </w:r>
      <w:r>
        <w:rPr>
          <w:rFonts w:ascii="宋体" w:hAnsi="宋体" w:cs="宋体"/>
          <w:color w:val="000000"/>
          <w:spacing w:val="-1"/>
          <w:szCs w:val="21"/>
          <w:highlight w:val="none"/>
        </w:rPr>
        <w:t xml:space="preserve">》的规定，立即</w:t>
      </w:r>
      <w:r>
        <w:rPr>
          <w:rFonts w:ascii="宋体" w:hAnsi="宋体" w:cs="宋体"/>
          <w:color w:val="000000"/>
          <w:szCs w:val="21"/>
          <w:highlight w:val="none"/>
        </w:rPr>
        <w:t xml:space="preserve">向当地建设行政主管部门和有关部门报告，采取安全防范措施，并由原设计人或者具有相</w:t>
      </w:r>
      <w:r>
        <w:rPr>
          <w:rFonts w:ascii="宋体" w:hAnsi="宋体" w:cs="宋体"/>
          <w:color w:val="000000"/>
          <w:spacing w:val="-1"/>
          <w:szCs w:val="21"/>
          <w:highlight w:val="none"/>
        </w:rPr>
        <w:t xml:space="preserve">应资质等级的设计人提出保修方案，</w:t>
      </w:r>
      <w:r>
        <w:rPr>
          <w:rFonts w:hint="eastAsia" w:ascii="宋体" w:hAnsi="宋体" w:cs="宋体"/>
          <w:color w:val="000000"/>
          <w:spacing w:val="-1"/>
          <w:szCs w:val="21"/>
          <w:highlight w:val="none"/>
        </w:rPr>
        <w:t xml:space="preserve">乙方</w:t>
      </w:r>
      <w:r>
        <w:rPr>
          <w:rFonts w:ascii="宋体" w:hAnsi="宋体" w:cs="宋体"/>
          <w:color w:val="000000"/>
          <w:spacing w:val="-1"/>
          <w:szCs w:val="21"/>
          <w:highlight w:val="none"/>
        </w:rPr>
        <w:t xml:space="preserve">实施保修。</w:t>
      </w:r>
      <w:r>
        <w:rPr>
          <w:rFonts w:ascii="宋体" w:hAnsi="宋体" w:cs="宋体"/>
          <w:color w:val="000000"/>
          <w:szCs w:val="21"/>
          <w:highlight w:val="none"/>
        </w:rPr>
      </w:r>
      <w:r/>
    </w:p>
    <w:p>
      <w:pPr>
        <w:pStyle w:val="1288"/>
        <w:ind w:left="547"/>
        <w:spacing w:before="1" w:line="220" w:lineRule="auto"/>
        <w:rPr>
          <w:rFonts w:ascii="宋体" w:hAnsi="宋体" w:cs="宋体"/>
          <w:color w:val="000000"/>
          <w:szCs w:val="21"/>
          <w:highlight w:val="none"/>
        </w:rPr>
      </w:pPr>
      <w:r>
        <w:rPr>
          <w:rFonts w:ascii="宋体" w:hAnsi="宋体" w:cs="宋体"/>
          <w:color w:val="000000"/>
          <w:spacing w:val="-1"/>
          <w:szCs w:val="21"/>
          <w:highlight w:val="none"/>
        </w:rPr>
        <w:t xml:space="preserve">4.质量保修完成后，由</w:t>
      </w:r>
      <w:r>
        <w:rPr>
          <w:rFonts w:hint="eastAsia" w:ascii="宋体" w:hAnsi="宋体" w:cs="宋体"/>
          <w:color w:val="000000"/>
          <w:spacing w:val="-1"/>
          <w:szCs w:val="21"/>
          <w:highlight w:val="none"/>
        </w:rPr>
        <w:t xml:space="preserve">甲方</w:t>
      </w:r>
      <w:r>
        <w:rPr>
          <w:rFonts w:ascii="宋体" w:hAnsi="宋体" w:cs="宋体"/>
          <w:color w:val="000000"/>
          <w:spacing w:val="-1"/>
          <w:szCs w:val="21"/>
          <w:highlight w:val="none"/>
        </w:rPr>
        <w:t xml:space="preserve">组织验收。</w:t>
      </w:r>
      <w:r>
        <w:rPr>
          <w:rFonts w:ascii="宋体" w:hAnsi="宋体" w:cs="宋体"/>
          <w:color w:val="000000"/>
          <w:szCs w:val="21"/>
          <w:highlight w:val="none"/>
        </w:rPr>
      </w:r>
      <w:r/>
    </w:p>
    <w:p>
      <w:pPr>
        <w:pStyle w:val="1288"/>
        <w:ind w:left="448"/>
        <w:spacing w:before="216" w:line="221" w:lineRule="auto"/>
        <w:rPr>
          <w:rFonts w:ascii="宋体" w:hAnsi="宋体" w:cs="宋体"/>
          <w:color w:val="000000"/>
          <w:szCs w:val="21"/>
          <w:highlight w:val="none"/>
        </w:rPr>
      </w:pPr>
      <w:r>
        <w:rPr>
          <w:rFonts w:ascii="宋体" w:hAnsi="宋体" w:cs="宋体"/>
          <w:color w:val="000000"/>
          <w:spacing w:val="-2"/>
          <w:szCs w:val="21"/>
          <w:highlight w:val="none"/>
        </w:rPr>
        <w:t xml:space="preserve">五、保修费用</w:t>
      </w:r>
      <w:r>
        <w:rPr>
          <w:rFonts w:ascii="宋体" w:hAnsi="宋体" w:cs="宋体"/>
          <w:color w:val="000000"/>
          <w:szCs w:val="21"/>
          <w:highlight w:val="none"/>
        </w:rPr>
      </w:r>
      <w:r/>
    </w:p>
    <w:p>
      <w:pPr>
        <w:pStyle w:val="1288"/>
        <w:ind w:left="445"/>
        <w:spacing w:before="217" w:line="221" w:lineRule="auto"/>
        <w:rPr>
          <w:rFonts w:ascii="宋体" w:hAnsi="宋体" w:cs="宋体"/>
          <w:color w:val="000000"/>
          <w:szCs w:val="21"/>
          <w:highlight w:val="none"/>
        </w:rPr>
      </w:pPr>
      <w:r>
        <w:rPr>
          <w:rFonts w:ascii="宋体" w:hAnsi="宋体" w:cs="宋体"/>
          <w:color w:val="000000"/>
          <w:spacing w:val="-2"/>
          <w:szCs w:val="21"/>
          <w:highlight w:val="none"/>
        </w:rPr>
        <w:t xml:space="preserve">保修费用由造成质量缺陷的责任方承担。</w:t>
      </w:r>
      <w:r>
        <w:rPr>
          <w:rFonts w:ascii="宋体" w:hAnsi="宋体" w:cs="宋体"/>
          <w:color w:val="000000"/>
          <w:szCs w:val="21"/>
          <w:highlight w:val="none"/>
        </w:rPr>
      </w:r>
      <w:r/>
    </w:p>
    <w:p>
      <w:pPr>
        <w:pStyle w:val="1288"/>
        <w:ind w:left="444"/>
        <w:spacing w:before="216" w:line="221" w:lineRule="auto"/>
        <w:rPr>
          <w:rFonts w:hint="eastAsia" w:ascii="宋体" w:hAnsi="宋体" w:cs="宋体"/>
          <w:color w:val="000000"/>
          <w:szCs w:val="21"/>
          <w:highlight w:val="none"/>
          <w:u w:val="single"/>
        </w:rPr>
      </w:pPr>
      <w:r>
        <w:rPr>
          <w:rFonts w:ascii="宋体" w:hAnsi="宋体" w:cs="宋体"/>
          <w:color w:val="000000"/>
          <w:spacing w:val="-2"/>
          <w:szCs w:val="21"/>
          <w:highlight w:val="none"/>
        </w:rPr>
        <w:t xml:space="preserve">六、双方约定的其他工程质量保修事项：</w:t>
      </w:r>
      <w:r>
        <w:rPr>
          <w:rFonts w:hint="eastAsia" w:ascii="宋体" w:hAnsi="宋体" w:cs="宋体"/>
          <w:color w:val="000000"/>
          <w:spacing w:val="-2"/>
          <w:szCs w:val="21"/>
          <w:highlight w:val="none"/>
          <w:u w:val="single"/>
        </w:rPr>
        <w:t xml:space="preserve">无。</w:t>
      </w:r>
      <w:r>
        <w:rPr>
          <w:rFonts w:hint="eastAsia" w:ascii="宋体" w:hAnsi="宋体" w:cs="宋体"/>
          <w:color w:val="000000"/>
          <w:szCs w:val="21"/>
          <w:highlight w:val="none"/>
          <w:u w:val="single"/>
        </w:rPr>
      </w:r>
      <w:r/>
    </w:p>
    <w:p>
      <w:pPr>
        <w:pStyle w:val="1288"/>
        <w:ind w:left="23" w:right="12" w:firstLine="400"/>
        <w:spacing w:before="227" w:line="413" w:lineRule="auto"/>
        <w:rPr>
          <w:rFonts w:ascii="宋体" w:hAnsi="宋体" w:cs="宋体"/>
          <w:color w:val="000000"/>
          <w:szCs w:val="21"/>
          <w:highlight w:val="none"/>
        </w:rPr>
      </w:pPr>
      <w:r>
        <w:rPr>
          <w:rFonts w:ascii="宋体" w:hAnsi="宋体" w:cs="宋体"/>
          <w:color w:val="000000"/>
          <w:spacing w:val="-2"/>
          <w:szCs w:val="21"/>
          <w:highlight w:val="none"/>
        </w:rPr>
        <w:t xml:space="preserve">工程质量保修书由</w:t>
      </w:r>
      <w:r>
        <w:rPr>
          <w:rFonts w:hint="eastAsia" w:ascii="宋体" w:hAnsi="宋体" w:cs="宋体"/>
          <w:color w:val="000000"/>
          <w:spacing w:val="-2"/>
          <w:szCs w:val="21"/>
          <w:highlight w:val="none"/>
        </w:rPr>
        <w:t xml:space="preserve">甲方</w:t>
      </w:r>
      <w:r>
        <w:rPr>
          <w:rFonts w:ascii="宋体" w:hAnsi="宋体" w:cs="宋体"/>
          <w:color w:val="000000"/>
          <w:spacing w:val="-2"/>
          <w:szCs w:val="21"/>
          <w:highlight w:val="none"/>
        </w:rPr>
        <w:t xml:space="preserve">、</w:t>
      </w:r>
      <w:r>
        <w:rPr>
          <w:rFonts w:hint="eastAsia" w:ascii="宋体" w:hAnsi="宋体" w:cs="宋体"/>
          <w:color w:val="000000"/>
          <w:spacing w:val="-2"/>
          <w:szCs w:val="21"/>
          <w:highlight w:val="none"/>
        </w:rPr>
        <w:t xml:space="preserve">乙方</w:t>
      </w:r>
      <w:r>
        <w:rPr>
          <w:rFonts w:ascii="宋体" w:hAnsi="宋体" w:cs="宋体"/>
          <w:color w:val="000000"/>
          <w:spacing w:val="-2"/>
          <w:szCs w:val="21"/>
          <w:highlight w:val="none"/>
        </w:rPr>
        <w:t xml:space="preserve">在工程竣工验收前共同签署，作为施</w:t>
      </w:r>
      <w:r>
        <w:rPr>
          <w:rFonts w:ascii="宋体" w:hAnsi="宋体" w:cs="宋体"/>
          <w:color w:val="000000"/>
          <w:spacing w:val="-3"/>
          <w:szCs w:val="21"/>
          <w:highlight w:val="none"/>
        </w:rPr>
        <w:t xml:space="preserve">工合同附件，其</w:t>
      </w:r>
      <w:r>
        <w:rPr>
          <w:rFonts w:ascii="宋体" w:hAnsi="宋体" w:cs="宋体"/>
          <w:color w:val="000000"/>
          <w:spacing w:val="-1"/>
          <w:szCs w:val="21"/>
          <w:highlight w:val="none"/>
        </w:rPr>
        <w:t xml:space="preserve">有效期限至保修期满。</w:t>
      </w:r>
      <w:r>
        <w:rPr>
          <w:rFonts w:ascii="宋体" w:hAnsi="宋体" w:cs="宋体"/>
          <w:color w:val="000000"/>
          <w:szCs w:val="21"/>
          <w:highlight w:val="none"/>
        </w:rPr>
      </w:r>
      <w:r/>
    </w:p>
    <w:p>
      <w:pPr>
        <w:pStyle w:val="1299"/>
        <w:spacing w:line="292" w:lineRule="auto"/>
        <w:tabs>
          <w:tab w:val="left" w:pos="567" w:leader="none"/>
        </w:tabs>
        <w:rPr>
          <w:color w:val="000000"/>
          <w:highlight w:val="none"/>
        </w:rPr>
      </w:pPr>
      <w:r>
        <w:rPr>
          <w:color w:val="000000"/>
          <w:highlight w:val="none"/>
        </w:rPr>
      </w:r>
      <w:r/>
    </w:p>
    <w:p>
      <w:pPr>
        <w:pStyle w:val="1288"/>
        <w:spacing w:line="218" w:lineRule="auto"/>
        <w:rPr>
          <w:rFonts w:ascii="仿宋" w:hAnsi="仿宋" w:eastAsia="仿宋" w:cs="仿宋"/>
          <w:color w:val="000000"/>
          <w:sz w:val="24"/>
          <w:highlight w:val="none"/>
        </w:rPr>
        <w:sectPr>
          <w:footerReference w:type="default" r:id="rId22"/>
          <w:footnotePr/>
          <w:endnotePr/>
          <w:type w:val="nextPage"/>
          <w:pgSz w:w="11907" w:h="16839" w:orient="portrait"/>
          <w:pgMar w:top="400" w:right="1785" w:bottom="1226" w:left="1785" w:header="0" w:footer="1026" w:gutter="0"/>
          <w:cols w:num="1" w:sep="0" w:space="1701" w:equalWidth="1"/>
          <w:docGrid w:linePitch="360"/>
        </w:sectPr>
      </w:pPr>
      <w:r>
        <w:rPr>
          <w:rFonts w:ascii="仿宋" w:hAnsi="仿宋" w:eastAsia="仿宋" w:cs="仿宋"/>
          <w:color w:val="000000"/>
          <w:sz w:val="24"/>
          <w:highlight w:val="none"/>
        </w:rPr>
      </w:r>
      <w:r/>
    </w:p>
    <w:p>
      <w:pPr>
        <w:pStyle w:val="1288"/>
        <w:ind w:left="790"/>
        <w:spacing w:before="68" w:line="220" w:lineRule="auto"/>
        <w:rPr>
          <w:rFonts w:ascii="宋体" w:hAnsi="宋体" w:cs="宋体"/>
          <w:color w:val="000000"/>
          <w:szCs w:val="21"/>
          <w:highlight w:val="none"/>
        </w:rPr>
      </w:pPr>
      <w:r>
        <w:rPr>
          <w:rFonts w:ascii="宋体" w:hAnsi="宋体" w:cs="宋体"/>
          <w:color w:val="000000"/>
          <w:spacing w:val="-8"/>
          <w:szCs w:val="21"/>
          <w:highlight w:val="none"/>
        </w:rPr>
        <w:t xml:space="preserve">附件</w:t>
      </w:r>
      <w:r>
        <w:rPr>
          <w:rFonts w:hint="eastAsia" w:ascii="宋体" w:hAnsi="宋体" w:cs="宋体"/>
          <w:color w:val="000000"/>
          <w:spacing w:val="-43"/>
          <w:szCs w:val="21"/>
          <w:highlight w:val="none"/>
        </w:rPr>
        <w:t xml:space="preserve">2</w:t>
      </w:r>
      <w:r>
        <w:rPr>
          <w:rFonts w:ascii="宋体" w:hAnsi="宋体" w:cs="宋体"/>
          <w:color w:val="000000"/>
          <w:spacing w:val="-8"/>
          <w:szCs w:val="21"/>
          <w:highlight w:val="none"/>
        </w:rPr>
        <w:t xml:space="preserve">：</w:t>
      </w:r>
      <w:r>
        <w:rPr>
          <w:rFonts w:ascii="宋体" w:hAnsi="宋体" w:cs="宋体"/>
          <w:color w:val="000000"/>
          <w:szCs w:val="21"/>
          <w:highlight w:val="none"/>
        </w:rPr>
      </w:r>
      <w:r/>
    </w:p>
    <w:p>
      <w:pPr>
        <w:pStyle w:val="1299"/>
        <w:spacing w:line="303" w:lineRule="auto"/>
        <w:tabs>
          <w:tab w:val="left" w:pos="567" w:leader="none"/>
        </w:tabs>
        <w:rPr>
          <w:color w:val="000000"/>
          <w:highlight w:val="none"/>
        </w:rPr>
      </w:pPr>
      <w:r>
        <w:rPr>
          <w:color w:val="000000"/>
          <w:highlight w:val="none"/>
        </w:rPr>
      </w:r>
      <w:r/>
    </w:p>
    <w:p>
      <w:pPr>
        <w:pStyle w:val="1288"/>
        <w:ind w:left="3666"/>
        <w:spacing w:before="68" w:line="221" w:lineRule="auto"/>
        <w:rPr>
          <w:rFonts w:ascii="宋体" w:hAnsi="宋体" w:cs="宋体"/>
          <w:color w:val="000000"/>
          <w:szCs w:val="21"/>
          <w:highlight w:val="none"/>
        </w:rPr>
      </w:pPr>
      <w:r>
        <w:rPr>
          <w:rFonts w:hint="eastAsia" w:ascii="宋体" w:hAnsi="宋体" w:cs="宋体"/>
          <w:color w:val="000000"/>
          <w:spacing w:val="-1"/>
          <w:szCs w:val="21"/>
          <w:highlight w:val="none"/>
        </w:rPr>
        <w:t xml:space="preserve">乙方</w:t>
      </w:r>
      <w:r>
        <w:rPr>
          <w:rFonts w:ascii="宋体" w:hAnsi="宋体" w:cs="宋体"/>
          <w:color w:val="000000"/>
          <w:spacing w:val="-1"/>
          <w:szCs w:val="21"/>
          <w:highlight w:val="none"/>
        </w:rPr>
        <w:t xml:space="preserve">主要施工管理人员表</w:t>
      </w:r>
      <w:r>
        <w:rPr>
          <w:rFonts w:ascii="宋体" w:hAnsi="宋体" w:cs="宋体"/>
          <w:color w:val="000000"/>
          <w:szCs w:val="21"/>
          <w:highlight w:val="none"/>
        </w:rPr>
      </w:r>
      <w:r/>
    </w:p>
    <w:p>
      <w:pPr>
        <w:pStyle w:val="1288"/>
        <w:spacing w:before="3"/>
        <w:rPr>
          <w:color w:val="000000"/>
          <w:highlight w:val="none"/>
        </w:rPr>
      </w:pPr>
      <w:r>
        <w:rPr>
          <w:color w:val="000000"/>
          <w:highlight w:val="none"/>
        </w:rPr>
      </w:r>
      <w:r/>
    </w:p>
    <w:tbl>
      <w:tblPr>
        <w:tblW w:w="9814" w:type="dxa"/>
        <w:tblInd w:w="1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880"/>
        <w:gridCol w:w="1415"/>
        <w:gridCol w:w="1132"/>
        <w:gridCol w:w="1130"/>
        <w:gridCol w:w="4257"/>
      </w:tblGrid>
      <w:tr>
        <w:trPr>
          <w:trHeight w:val="479"/>
        </w:trPr>
        <w:tc>
          <w:tcPr>
            <w:tcW w:w="1880" w:type="dxa"/>
            <w:vAlign w:val="top"/>
            <w:textDirection w:val="lrTb"/>
            <w:noWrap w:val="false"/>
          </w:tcPr>
          <w:p>
            <w:pPr>
              <w:pStyle w:val="1351"/>
              <w:ind w:left="88"/>
              <w:spacing w:before="131" w:line="223" w:lineRule="auto"/>
              <w:rPr>
                <w:color w:val="000000"/>
                <w:highlight w:val="none"/>
              </w:rPr>
            </w:pPr>
            <w:r>
              <w:rPr>
                <w:color w:val="000000"/>
                <w:spacing w:val="-5"/>
                <w:highlight w:val="none"/>
              </w:rPr>
              <w:t xml:space="preserve">名</w:t>
            </w:r>
            <w:r>
              <w:rPr>
                <w:color w:val="000000"/>
                <w:spacing w:val="1"/>
                <w:highlight w:val="none"/>
              </w:rPr>
              <w:t xml:space="preserve">    </w:t>
            </w:r>
            <w:r>
              <w:rPr>
                <w:color w:val="000000"/>
                <w:spacing w:val="-5"/>
                <w:highlight w:val="none"/>
              </w:rPr>
              <w:t xml:space="preserve">称</w:t>
            </w:r>
            <w:r>
              <w:rPr>
                <w:color w:val="000000"/>
                <w:highlight w:val="none"/>
              </w:rPr>
            </w:r>
            <w:r/>
          </w:p>
        </w:tc>
        <w:tc>
          <w:tcPr>
            <w:tcW w:w="1415" w:type="dxa"/>
            <w:vAlign w:val="top"/>
            <w:textDirection w:val="lrTb"/>
            <w:noWrap w:val="false"/>
          </w:tcPr>
          <w:p>
            <w:pPr>
              <w:pStyle w:val="1351"/>
              <w:ind w:left="86"/>
              <w:spacing w:before="131" w:line="221" w:lineRule="auto"/>
              <w:rPr>
                <w:color w:val="000000"/>
                <w:highlight w:val="none"/>
              </w:rPr>
            </w:pPr>
            <w:r>
              <w:rPr>
                <w:color w:val="000000"/>
                <w:spacing w:val="-2"/>
                <w:highlight w:val="none"/>
              </w:rPr>
              <w:t xml:space="preserve">姓名</w:t>
            </w:r>
            <w:r>
              <w:rPr>
                <w:color w:val="000000"/>
                <w:highlight w:val="none"/>
              </w:rPr>
            </w:r>
            <w:r/>
          </w:p>
        </w:tc>
        <w:tc>
          <w:tcPr>
            <w:tcW w:w="1132" w:type="dxa"/>
            <w:vAlign w:val="top"/>
            <w:textDirection w:val="lrTb"/>
            <w:noWrap w:val="false"/>
          </w:tcPr>
          <w:p>
            <w:pPr>
              <w:pStyle w:val="1351"/>
              <w:ind w:left="91"/>
              <w:spacing w:before="131" w:line="221" w:lineRule="auto"/>
              <w:rPr>
                <w:color w:val="000000"/>
                <w:highlight w:val="none"/>
              </w:rPr>
            </w:pPr>
            <w:r>
              <w:rPr>
                <w:color w:val="000000"/>
                <w:spacing w:val="-2"/>
                <w:highlight w:val="none"/>
              </w:rPr>
              <w:t xml:space="preserve">职务</w:t>
            </w:r>
            <w:r>
              <w:rPr>
                <w:color w:val="000000"/>
                <w:highlight w:val="none"/>
              </w:rPr>
            </w:r>
            <w:r/>
          </w:p>
        </w:tc>
        <w:tc>
          <w:tcPr>
            <w:tcW w:w="1130" w:type="dxa"/>
            <w:vAlign w:val="top"/>
            <w:textDirection w:val="lrTb"/>
            <w:noWrap w:val="false"/>
          </w:tcPr>
          <w:p>
            <w:pPr>
              <w:pStyle w:val="1351"/>
              <w:ind w:left="91"/>
              <w:spacing w:before="131" w:line="223" w:lineRule="auto"/>
              <w:rPr>
                <w:color w:val="000000"/>
                <w:highlight w:val="none"/>
              </w:rPr>
            </w:pPr>
            <w:r>
              <w:rPr>
                <w:color w:val="000000"/>
                <w:spacing w:val="-2"/>
                <w:highlight w:val="none"/>
              </w:rPr>
              <w:t xml:space="preserve">职称</w:t>
            </w:r>
            <w:r>
              <w:rPr>
                <w:color w:val="000000"/>
                <w:highlight w:val="none"/>
              </w:rPr>
            </w:r>
            <w:r/>
          </w:p>
        </w:tc>
        <w:tc>
          <w:tcPr>
            <w:tcW w:w="4257" w:type="dxa"/>
            <w:vAlign w:val="top"/>
            <w:textDirection w:val="lrTb"/>
            <w:noWrap w:val="false"/>
          </w:tcPr>
          <w:p>
            <w:pPr>
              <w:pStyle w:val="1351"/>
              <w:ind w:left="98"/>
              <w:spacing w:before="131" w:line="221" w:lineRule="auto"/>
              <w:rPr>
                <w:color w:val="000000"/>
                <w:highlight w:val="none"/>
                <w:lang w:eastAsia="zh-CN"/>
              </w:rPr>
            </w:pPr>
            <w:r>
              <w:rPr>
                <w:color w:val="000000"/>
                <w:spacing w:val="-1"/>
                <w:highlight w:val="none"/>
                <w:lang w:eastAsia="zh-CN"/>
              </w:rPr>
              <w:t xml:space="preserve">主要资历、经验及承担过的项目</w:t>
            </w:r>
            <w:r>
              <w:rPr>
                <w:color w:val="000000"/>
                <w:highlight w:val="none"/>
                <w:lang w:eastAsia="zh-CN"/>
              </w:rPr>
            </w:r>
            <w:r/>
          </w:p>
        </w:tc>
      </w:tr>
      <w:tr>
        <w:trPr>
          <w:trHeight w:val="475"/>
        </w:trPr>
        <w:tc>
          <w:tcPr>
            <w:gridSpan w:val="5"/>
            <w:tcW w:w="9814" w:type="dxa"/>
            <w:vAlign w:val="top"/>
            <w:textDirection w:val="lrTb"/>
            <w:noWrap w:val="false"/>
          </w:tcPr>
          <w:p>
            <w:pPr>
              <w:pStyle w:val="1351"/>
              <w:ind w:left="89"/>
              <w:spacing w:before="156" w:line="221" w:lineRule="auto"/>
              <w:rPr>
                <w:color w:val="000000"/>
                <w:highlight w:val="none"/>
              </w:rPr>
            </w:pPr>
            <w:r>
              <w:rPr>
                <w:color w:val="000000"/>
                <w:spacing w:val="-2"/>
                <w:highlight w:val="none"/>
              </w:rPr>
              <w:t xml:space="preserve">一、总部人员</w:t>
            </w:r>
            <w:r>
              <w:rPr>
                <w:color w:val="000000"/>
                <w:highlight w:val="none"/>
              </w:rPr>
            </w:r>
            <w:r/>
          </w:p>
        </w:tc>
      </w:tr>
      <w:tr>
        <w:trPr>
          <w:trHeight w:val="473"/>
        </w:trPr>
        <w:tc>
          <w:tcPr>
            <w:tcW w:w="1880" w:type="dxa"/>
            <w:vAlign w:val="top"/>
            <w:textDirection w:val="lrTb"/>
            <w:noWrap w:val="false"/>
          </w:tcPr>
          <w:p>
            <w:pPr>
              <w:pStyle w:val="1351"/>
              <w:ind w:left="89"/>
              <w:spacing w:before="153" w:line="221" w:lineRule="auto"/>
              <w:rPr>
                <w:color w:val="000000"/>
                <w:highlight w:val="none"/>
              </w:rPr>
            </w:pPr>
            <w:r>
              <w:rPr>
                <w:color w:val="000000"/>
                <w:spacing w:val="-3"/>
                <w:highlight w:val="none"/>
              </w:rPr>
              <w:t xml:space="preserve">项目主管</w:t>
            </w:r>
            <w:r>
              <w:rPr>
                <w:color w:val="000000"/>
                <w:highlight w:val="none"/>
              </w:rPr>
            </w:r>
            <w:r/>
          </w:p>
        </w:tc>
        <w:tc>
          <w:tcPr>
            <w:tcW w:w="1415" w:type="dxa"/>
            <w:vAlign w:val="top"/>
            <w:textDirection w:val="lrTb"/>
            <w:noWrap w:val="false"/>
          </w:tcPr>
          <w:p>
            <w:pPr>
              <w:pStyle w:val="1288"/>
              <w:rPr>
                <w:rFonts w:ascii="Arial"/>
                <w:color w:val="000000"/>
                <w:highlight w:val="none"/>
              </w:rPr>
            </w:pPr>
            <w:r>
              <w:rPr>
                <w:rFonts w:ascii="Arial"/>
                <w:color w:val="000000"/>
                <w:highlight w:val="none"/>
              </w:rPr>
            </w:r>
            <w:r/>
          </w:p>
        </w:tc>
        <w:tc>
          <w:tcPr>
            <w:tcW w:w="1132" w:type="dxa"/>
            <w:vAlign w:val="top"/>
            <w:textDirection w:val="lrTb"/>
            <w:noWrap w:val="false"/>
          </w:tcPr>
          <w:p>
            <w:pPr>
              <w:pStyle w:val="1288"/>
              <w:rPr>
                <w:rFonts w:ascii="Arial"/>
                <w:color w:val="000000"/>
                <w:highlight w:val="none"/>
              </w:rPr>
            </w:pPr>
            <w:r>
              <w:rPr>
                <w:rFonts w:ascii="Arial"/>
                <w:color w:val="000000"/>
                <w:highlight w:val="none"/>
              </w:rPr>
            </w:r>
            <w:r/>
          </w:p>
        </w:tc>
        <w:tc>
          <w:tcPr>
            <w:tcW w:w="1130" w:type="dxa"/>
            <w:vAlign w:val="top"/>
            <w:textDirection w:val="lrTb"/>
            <w:noWrap w:val="false"/>
          </w:tcPr>
          <w:p>
            <w:pPr>
              <w:pStyle w:val="1288"/>
              <w:rPr>
                <w:rFonts w:hint="eastAsia" w:ascii="Arial"/>
                <w:color w:val="000000"/>
                <w:highlight w:val="none"/>
              </w:rPr>
            </w:pPr>
            <w:r>
              <w:rPr>
                <w:rFonts w:hint="eastAsia" w:ascii="Arial"/>
                <w:color w:val="000000"/>
                <w:highlight w:val="none"/>
              </w:rPr>
            </w:r>
            <w:r/>
          </w:p>
        </w:tc>
        <w:tc>
          <w:tcPr>
            <w:tcW w:w="4257" w:type="dxa"/>
            <w:vAlign w:val="top"/>
            <w:textDirection w:val="lrTb"/>
            <w:noWrap w:val="false"/>
          </w:tcPr>
          <w:p>
            <w:pPr>
              <w:pStyle w:val="1288"/>
              <w:rPr>
                <w:rFonts w:ascii="Arial"/>
                <w:color w:val="000000"/>
                <w:highlight w:val="none"/>
              </w:rPr>
            </w:pPr>
            <w:r>
              <w:rPr>
                <w:rFonts w:ascii="Arial"/>
                <w:color w:val="000000"/>
                <w:highlight w:val="none"/>
              </w:rPr>
            </w:r>
            <w:r/>
          </w:p>
        </w:tc>
      </w:tr>
      <w:tr>
        <w:trPr>
          <w:trHeight w:val="475"/>
        </w:trPr>
        <w:tc>
          <w:tcPr>
            <w:tcW w:w="1880" w:type="dxa"/>
            <w:vAlign w:val="top"/>
            <w:vMerge w:val="restart"/>
            <w:textDirection w:val="lrTb"/>
            <w:noWrap w:val="false"/>
          </w:tcPr>
          <w:p>
            <w:pPr>
              <w:pStyle w:val="1288"/>
              <w:spacing w:line="283" w:lineRule="auto"/>
              <w:rPr>
                <w:rFonts w:ascii="Arial"/>
                <w:color w:val="000000"/>
                <w:highlight w:val="none"/>
              </w:rPr>
            </w:pPr>
            <w:r>
              <w:rPr>
                <w:rFonts w:ascii="Arial"/>
                <w:color w:val="000000"/>
                <w:highlight w:val="none"/>
              </w:rPr>
            </w:r>
            <w:r/>
          </w:p>
          <w:p>
            <w:pPr>
              <w:pStyle w:val="1288"/>
              <w:spacing w:line="283" w:lineRule="auto"/>
              <w:rPr>
                <w:rFonts w:ascii="Arial"/>
                <w:color w:val="000000"/>
                <w:highlight w:val="none"/>
              </w:rPr>
            </w:pPr>
            <w:r>
              <w:rPr>
                <w:rFonts w:ascii="Arial"/>
                <w:color w:val="000000"/>
                <w:highlight w:val="none"/>
              </w:rPr>
            </w:r>
            <w:r/>
          </w:p>
          <w:p>
            <w:pPr>
              <w:pStyle w:val="1351"/>
              <w:ind w:left="87"/>
              <w:spacing w:before="69" w:line="221" w:lineRule="auto"/>
              <w:rPr>
                <w:color w:val="000000"/>
                <w:highlight w:val="none"/>
              </w:rPr>
            </w:pPr>
            <w:r>
              <w:rPr>
                <w:color w:val="000000"/>
                <w:spacing w:val="-2"/>
                <w:highlight w:val="none"/>
              </w:rPr>
              <w:t xml:space="preserve">其他人员</w:t>
            </w:r>
            <w:r>
              <w:rPr>
                <w:color w:val="000000"/>
                <w:highlight w:val="none"/>
              </w:rPr>
            </w:r>
            <w:r/>
          </w:p>
        </w:tc>
        <w:tc>
          <w:tcPr>
            <w:tcW w:w="1415" w:type="dxa"/>
            <w:vAlign w:val="top"/>
            <w:textDirection w:val="lrTb"/>
            <w:noWrap w:val="false"/>
          </w:tcPr>
          <w:p>
            <w:pPr>
              <w:pStyle w:val="1288"/>
              <w:rPr>
                <w:rFonts w:ascii="Arial"/>
                <w:color w:val="000000"/>
                <w:highlight w:val="none"/>
              </w:rPr>
            </w:pPr>
            <w:r>
              <w:rPr>
                <w:rFonts w:ascii="Arial"/>
                <w:color w:val="000000"/>
                <w:highlight w:val="none"/>
              </w:rPr>
            </w:r>
            <w:r/>
          </w:p>
        </w:tc>
        <w:tc>
          <w:tcPr>
            <w:tcW w:w="1132" w:type="dxa"/>
            <w:vAlign w:val="top"/>
            <w:textDirection w:val="lrTb"/>
            <w:noWrap w:val="false"/>
          </w:tcPr>
          <w:p>
            <w:pPr>
              <w:pStyle w:val="1288"/>
              <w:rPr>
                <w:rFonts w:ascii="Arial"/>
                <w:color w:val="000000"/>
                <w:highlight w:val="none"/>
              </w:rPr>
            </w:pPr>
            <w:r>
              <w:rPr>
                <w:rFonts w:ascii="Arial"/>
                <w:color w:val="000000"/>
                <w:highlight w:val="none"/>
              </w:rPr>
            </w:r>
            <w:r/>
          </w:p>
        </w:tc>
        <w:tc>
          <w:tcPr>
            <w:tcW w:w="1130" w:type="dxa"/>
            <w:vAlign w:val="top"/>
            <w:textDirection w:val="lrTb"/>
            <w:noWrap w:val="false"/>
          </w:tcPr>
          <w:p>
            <w:pPr>
              <w:pStyle w:val="1288"/>
              <w:rPr>
                <w:rFonts w:ascii="Arial"/>
                <w:color w:val="000000"/>
                <w:highlight w:val="none"/>
              </w:rPr>
            </w:pPr>
            <w:r>
              <w:rPr>
                <w:rFonts w:ascii="Arial"/>
                <w:color w:val="000000"/>
                <w:highlight w:val="none"/>
              </w:rPr>
            </w:r>
            <w:r/>
          </w:p>
        </w:tc>
        <w:tc>
          <w:tcPr>
            <w:tcW w:w="4257" w:type="dxa"/>
            <w:vAlign w:val="top"/>
            <w:textDirection w:val="lrTb"/>
            <w:noWrap w:val="false"/>
          </w:tcPr>
          <w:p>
            <w:pPr>
              <w:pStyle w:val="1288"/>
              <w:rPr>
                <w:rFonts w:ascii="Arial"/>
                <w:color w:val="000000"/>
                <w:highlight w:val="none"/>
              </w:rPr>
            </w:pPr>
            <w:r>
              <w:rPr>
                <w:rFonts w:ascii="Arial"/>
                <w:color w:val="000000"/>
                <w:highlight w:val="none"/>
              </w:rPr>
            </w:r>
            <w:r/>
          </w:p>
        </w:tc>
      </w:tr>
      <w:tr>
        <w:trPr>
          <w:trHeight w:val="472"/>
        </w:trPr>
        <w:tc>
          <w:tcPr>
            <w:tcW w:w="1880" w:type="dxa"/>
            <w:vAlign w:val="top"/>
            <w:vMerge w:val="continue"/>
            <w:textDirection w:val="lrTb"/>
            <w:noWrap w:val="false"/>
          </w:tcPr>
          <w:p>
            <w:pPr>
              <w:pStyle w:val="1288"/>
              <w:rPr>
                <w:rFonts w:ascii="Arial"/>
                <w:color w:val="000000"/>
                <w:highlight w:val="none"/>
              </w:rPr>
            </w:pPr>
            <w:r>
              <w:rPr>
                <w:rFonts w:ascii="Arial"/>
                <w:color w:val="000000"/>
                <w:highlight w:val="none"/>
              </w:rPr>
            </w:r>
            <w:r/>
          </w:p>
        </w:tc>
        <w:tc>
          <w:tcPr>
            <w:tcW w:w="1415" w:type="dxa"/>
            <w:vAlign w:val="top"/>
            <w:textDirection w:val="lrTb"/>
            <w:noWrap w:val="false"/>
          </w:tcPr>
          <w:p>
            <w:pPr>
              <w:pStyle w:val="1288"/>
              <w:rPr>
                <w:rFonts w:ascii="Arial"/>
                <w:color w:val="000000"/>
                <w:highlight w:val="none"/>
              </w:rPr>
            </w:pPr>
            <w:r>
              <w:rPr>
                <w:rFonts w:ascii="Arial"/>
                <w:color w:val="000000"/>
                <w:highlight w:val="none"/>
              </w:rPr>
            </w:r>
            <w:r/>
          </w:p>
        </w:tc>
        <w:tc>
          <w:tcPr>
            <w:tcW w:w="1132" w:type="dxa"/>
            <w:vAlign w:val="top"/>
            <w:textDirection w:val="lrTb"/>
            <w:noWrap w:val="false"/>
          </w:tcPr>
          <w:p>
            <w:pPr>
              <w:pStyle w:val="1288"/>
              <w:rPr>
                <w:rFonts w:ascii="Arial"/>
                <w:color w:val="000000"/>
                <w:highlight w:val="none"/>
              </w:rPr>
            </w:pPr>
            <w:r>
              <w:rPr>
                <w:rFonts w:ascii="Arial"/>
                <w:color w:val="000000"/>
                <w:highlight w:val="none"/>
              </w:rPr>
            </w:r>
            <w:r/>
          </w:p>
        </w:tc>
        <w:tc>
          <w:tcPr>
            <w:tcW w:w="1130" w:type="dxa"/>
            <w:vAlign w:val="top"/>
            <w:textDirection w:val="lrTb"/>
            <w:noWrap w:val="false"/>
          </w:tcPr>
          <w:p>
            <w:pPr>
              <w:pStyle w:val="1288"/>
              <w:rPr>
                <w:rFonts w:ascii="Arial"/>
                <w:color w:val="000000"/>
                <w:highlight w:val="none"/>
              </w:rPr>
            </w:pPr>
            <w:r>
              <w:rPr>
                <w:rFonts w:ascii="Arial"/>
                <w:color w:val="000000"/>
                <w:highlight w:val="none"/>
              </w:rPr>
            </w:r>
            <w:r/>
          </w:p>
        </w:tc>
        <w:tc>
          <w:tcPr>
            <w:tcW w:w="4257" w:type="dxa"/>
            <w:vAlign w:val="top"/>
            <w:textDirection w:val="lrTb"/>
            <w:noWrap w:val="false"/>
          </w:tcPr>
          <w:p>
            <w:pPr>
              <w:pStyle w:val="1288"/>
              <w:rPr>
                <w:rFonts w:ascii="Arial"/>
                <w:color w:val="000000"/>
                <w:highlight w:val="none"/>
              </w:rPr>
            </w:pPr>
            <w:r>
              <w:rPr>
                <w:rFonts w:ascii="Arial"/>
                <w:color w:val="000000"/>
                <w:highlight w:val="none"/>
              </w:rPr>
            </w:r>
            <w:r/>
          </w:p>
        </w:tc>
      </w:tr>
      <w:tr>
        <w:trPr>
          <w:trHeight w:val="473"/>
        </w:trPr>
        <w:tc>
          <w:tcPr>
            <w:tcW w:w="1880" w:type="dxa"/>
            <w:vAlign w:val="top"/>
            <w:vMerge w:val="continue"/>
            <w:textDirection w:val="lrTb"/>
            <w:noWrap w:val="false"/>
          </w:tcPr>
          <w:p>
            <w:pPr>
              <w:pStyle w:val="1288"/>
              <w:rPr>
                <w:rFonts w:ascii="Arial"/>
                <w:color w:val="000000"/>
                <w:highlight w:val="none"/>
              </w:rPr>
            </w:pPr>
            <w:r>
              <w:rPr>
                <w:rFonts w:ascii="Arial"/>
                <w:color w:val="000000"/>
                <w:highlight w:val="none"/>
              </w:rPr>
            </w:r>
            <w:r/>
          </w:p>
        </w:tc>
        <w:tc>
          <w:tcPr>
            <w:tcW w:w="1415" w:type="dxa"/>
            <w:vAlign w:val="top"/>
            <w:textDirection w:val="lrTb"/>
            <w:noWrap w:val="false"/>
          </w:tcPr>
          <w:p>
            <w:pPr>
              <w:pStyle w:val="1288"/>
              <w:rPr>
                <w:rFonts w:ascii="Arial"/>
                <w:color w:val="000000"/>
                <w:highlight w:val="none"/>
              </w:rPr>
            </w:pPr>
            <w:r>
              <w:rPr>
                <w:rFonts w:ascii="Arial"/>
                <w:color w:val="000000"/>
                <w:highlight w:val="none"/>
              </w:rPr>
            </w:r>
            <w:r/>
          </w:p>
        </w:tc>
        <w:tc>
          <w:tcPr>
            <w:tcW w:w="1132" w:type="dxa"/>
            <w:vAlign w:val="top"/>
            <w:textDirection w:val="lrTb"/>
            <w:noWrap w:val="false"/>
          </w:tcPr>
          <w:p>
            <w:pPr>
              <w:pStyle w:val="1288"/>
              <w:rPr>
                <w:rFonts w:ascii="Arial"/>
                <w:color w:val="000000"/>
                <w:highlight w:val="none"/>
              </w:rPr>
            </w:pPr>
            <w:r>
              <w:rPr>
                <w:rFonts w:ascii="Arial"/>
                <w:color w:val="000000"/>
                <w:highlight w:val="none"/>
              </w:rPr>
            </w:r>
            <w:r/>
          </w:p>
        </w:tc>
        <w:tc>
          <w:tcPr>
            <w:tcW w:w="1130" w:type="dxa"/>
            <w:vAlign w:val="top"/>
            <w:textDirection w:val="lrTb"/>
            <w:noWrap w:val="false"/>
          </w:tcPr>
          <w:p>
            <w:pPr>
              <w:pStyle w:val="1288"/>
              <w:rPr>
                <w:rFonts w:ascii="Arial"/>
                <w:color w:val="000000"/>
                <w:highlight w:val="none"/>
              </w:rPr>
            </w:pPr>
            <w:r>
              <w:rPr>
                <w:rFonts w:ascii="Arial"/>
                <w:color w:val="000000"/>
                <w:highlight w:val="none"/>
              </w:rPr>
            </w:r>
            <w:r/>
          </w:p>
        </w:tc>
        <w:tc>
          <w:tcPr>
            <w:tcW w:w="4257" w:type="dxa"/>
            <w:vAlign w:val="top"/>
            <w:textDirection w:val="lrTb"/>
            <w:noWrap w:val="false"/>
          </w:tcPr>
          <w:p>
            <w:pPr>
              <w:pStyle w:val="1288"/>
              <w:rPr>
                <w:rFonts w:ascii="Arial"/>
                <w:color w:val="000000"/>
                <w:highlight w:val="none"/>
              </w:rPr>
            </w:pPr>
            <w:r>
              <w:rPr>
                <w:rFonts w:ascii="Arial"/>
                <w:color w:val="000000"/>
                <w:highlight w:val="none"/>
              </w:rPr>
            </w:r>
            <w:r/>
          </w:p>
        </w:tc>
      </w:tr>
      <w:tr>
        <w:trPr>
          <w:trHeight w:val="472"/>
        </w:trPr>
        <w:tc>
          <w:tcPr>
            <w:gridSpan w:val="5"/>
            <w:tcW w:w="9814" w:type="dxa"/>
            <w:vAlign w:val="top"/>
            <w:textDirection w:val="lrTb"/>
            <w:noWrap w:val="false"/>
          </w:tcPr>
          <w:p>
            <w:pPr>
              <w:pStyle w:val="1351"/>
              <w:ind w:left="89"/>
              <w:spacing w:before="153" w:line="221" w:lineRule="auto"/>
              <w:rPr>
                <w:color w:val="000000"/>
                <w:highlight w:val="none"/>
              </w:rPr>
            </w:pPr>
            <w:r>
              <w:rPr>
                <w:color w:val="000000"/>
                <w:spacing w:val="-2"/>
                <w:highlight w:val="none"/>
              </w:rPr>
              <w:t xml:space="preserve">二、现场人员</w:t>
            </w:r>
            <w:r>
              <w:rPr>
                <w:color w:val="000000"/>
                <w:highlight w:val="none"/>
              </w:rPr>
            </w:r>
            <w:r/>
          </w:p>
        </w:tc>
      </w:tr>
      <w:tr>
        <w:trPr>
          <w:trHeight w:val="475"/>
        </w:trPr>
        <w:tc>
          <w:tcPr>
            <w:tcW w:w="1880" w:type="dxa"/>
            <w:vAlign w:val="top"/>
            <w:textDirection w:val="lrTb"/>
            <w:noWrap w:val="false"/>
          </w:tcPr>
          <w:p>
            <w:pPr>
              <w:pStyle w:val="1351"/>
              <w:ind w:left="89"/>
              <w:spacing w:before="156" w:line="221" w:lineRule="auto"/>
              <w:rPr>
                <w:color w:val="000000"/>
                <w:highlight w:val="none"/>
              </w:rPr>
            </w:pPr>
            <w:r>
              <w:rPr>
                <w:color w:val="000000"/>
                <w:spacing w:val="-3"/>
                <w:highlight w:val="none"/>
              </w:rPr>
              <w:t xml:space="preserve">项目经理</w:t>
            </w:r>
            <w:r>
              <w:rPr>
                <w:color w:val="000000"/>
                <w:highlight w:val="none"/>
              </w:rPr>
            </w:r>
            <w:r/>
          </w:p>
        </w:tc>
        <w:tc>
          <w:tcPr>
            <w:tcW w:w="1415" w:type="dxa"/>
            <w:vAlign w:val="center"/>
            <w:textDirection w:val="lrTb"/>
            <w:noWrap w:val="false"/>
          </w:tcPr>
          <w:p>
            <w:pPr>
              <w:pStyle w:val="1288"/>
              <w:jc w:val="center"/>
              <w:rPr>
                <w:rFonts w:ascii="Arial"/>
                <w:color w:val="000000"/>
                <w:highlight w:val="none"/>
              </w:rPr>
            </w:pPr>
            <w:r>
              <w:rPr>
                <w:rFonts w:ascii="Arial"/>
                <w:color w:val="000000"/>
                <w:highlight w:val="none"/>
              </w:rPr>
            </w:r>
            <w:r/>
          </w:p>
        </w:tc>
        <w:tc>
          <w:tcPr>
            <w:tcW w:w="1132" w:type="dxa"/>
            <w:vAlign w:val="center"/>
            <w:textDirection w:val="lrTb"/>
            <w:noWrap w:val="false"/>
          </w:tcPr>
          <w:p>
            <w:pPr>
              <w:pStyle w:val="1288"/>
              <w:jc w:val="center"/>
              <w:rPr>
                <w:rFonts w:ascii="Arial"/>
                <w:color w:val="000000"/>
                <w:highlight w:val="none"/>
              </w:rPr>
            </w:pPr>
            <w:r>
              <w:rPr>
                <w:rFonts w:ascii="Arial"/>
                <w:color w:val="000000"/>
                <w:highlight w:val="none"/>
              </w:rPr>
            </w:r>
            <w:r/>
          </w:p>
        </w:tc>
        <w:tc>
          <w:tcPr>
            <w:tcW w:w="1130" w:type="dxa"/>
            <w:vAlign w:val="center"/>
            <w:textDirection w:val="lrTb"/>
            <w:noWrap w:val="false"/>
          </w:tcPr>
          <w:p>
            <w:pPr>
              <w:pStyle w:val="1288"/>
              <w:jc w:val="center"/>
              <w:rPr>
                <w:rFonts w:hint="eastAsia" w:ascii="Arial"/>
                <w:color w:val="000000"/>
                <w:highlight w:val="none"/>
              </w:rPr>
            </w:pPr>
            <w:r>
              <w:rPr>
                <w:rFonts w:hint="eastAsia" w:ascii="Arial"/>
                <w:color w:val="000000"/>
                <w:highlight w:val="none"/>
              </w:rPr>
            </w:r>
            <w:r/>
          </w:p>
        </w:tc>
        <w:tc>
          <w:tcPr>
            <w:tcW w:w="4257" w:type="dxa"/>
            <w:vAlign w:val="top"/>
            <w:textDirection w:val="lrTb"/>
            <w:noWrap w:val="false"/>
          </w:tcPr>
          <w:p>
            <w:pPr>
              <w:pStyle w:val="1288"/>
              <w:rPr>
                <w:rFonts w:ascii="Arial"/>
                <w:color w:val="000000"/>
                <w:highlight w:val="none"/>
              </w:rPr>
            </w:pPr>
            <w:r>
              <w:rPr>
                <w:rFonts w:ascii="Arial"/>
                <w:color w:val="000000"/>
                <w:highlight w:val="none"/>
              </w:rPr>
            </w:r>
            <w:r/>
          </w:p>
        </w:tc>
      </w:tr>
      <w:tr>
        <w:trPr>
          <w:trHeight w:val="472"/>
        </w:trPr>
        <w:tc>
          <w:tcPr>
            <w:tcW w:w="1880" w:type="dxa"/>
            <w:vAlign w:val="top"/>
            <w:textDirection w:val="lrTb"/>
            <w:noWrap w:val="false"/>
          </w:tcPr>
          <w:p>
            <w:pPr>
              <w:pStyle w:val="1351"/>
              <w:ind w:left="89"/>
              <w:spacing w:before="153" w:line="221" w:lineRule="auto"/>
              <w:rPr>
                <w:color w:val="000000"/>
                <w:highlight w:val="none"/>
              </w:rPr>
            </w:pPr>
            <w:r>
              <w:rPr>
                <w:color w:val="000000"/>
                <w:spacing w:val="-2"/>
                <w:highlight w:val="none"/>
              </w:rPr>
              <w:t xml:space="preserve">项目副经理</w:t>
            </w:r>
            <w:r>
              <w:rPr>
                <w:color w:val="000000"/>
                <w:highlight w:val="none"/>
              </w:rPr>
            </w:r>
            <w:r/>
          </w:p>
        </w:tc>
        <w:tc>
          <w:tcPr>
            <w:tcW w:w="1415" w:type="dxa"/>
            <w:vAlign w:val="center"/>
            <w:textDirection w:val="lrTb"/>
            <w:noWrap w:val="false"/>
          </w:tcPr>
          <w:p>
            <w:pPr>
              <w:pStyle w:val="1288"/>
              <w:jc w:val="center"/>
              <w:rPr>
                <w:rFonts w:ascii="Arial"/>
                <w:color w:val="000000"/>
                <w:highlight w:val="none"/>
              </w:rPr>
            </w:pPr>
            <w:r>
              <w:rPr>
                <w:rFonts w:ascii="Arial"/>
                <w:color w:val="000000"/>
                <w:highlight w:val="none"/>
              </w:rPr>
            </w:r>
            <w:r/>
          </w:p>
        </w:tc>
        <w:tc>
          <w:tcPr>
            <w:tcW w:w="1132" w:type="dxa"/>
            <w:vAlign w:val="center"/>
            <w:textDirection w:val="lrTb"/>
            <w:noWrap w:val="false"/>
          </w:tcPr>
          <w:p>
            <w:pPr>
              <w:pStyle w:val="1288"/>
              <w:jc w:val="center"/>
              <w:rPr>
                <w:rFonts w:hint="eastAsia" w:ascii="Arial"/>
                <w:color w:val="000000"/>
                <w:highlight w:val="none"/>
              </w:rPr>
            </w:pPr>
            <w:r>
              <w:rPr>
                <w:rFonts w:hint="eastAsia" w:ascii="Arial"/>
                <w:color w:val="000000"/>
                <w:highlight w:val="none"/>
              </w:rPr>
            </w:r>
            <w:r/>
          </w:p>
        </w:tc>
        <w:tc>
          <w:tcPr>
            <w:tcW w:w="1130" w:type="dxa"/>
            <w:vAlign w:val="center"/>
            <w:textDirection w:val="lrTb"/>
            <w:noWrap w:val="false"/>
          </w:tcPr>
          <w:p>
            <w:pPr>
              <w:pStyle w:val="1288"/>
              <w:jc w:val="center"/>
              <w:rPr>
                <w:rFonts w:hint="eastAsia" w:ascii="Arial"/>
                <w:color w:val="000000"/>
                <w:highlight w:val="none"/>
              </w:rPr>
            </w:pPr>
            <w:r>
              <w:rPr>
                <w:rFonts w:hint="eastAsia" w:ascii="Arial"/>
                <w:color w:val="000000"/>
                <w:highlight w:val="none"/>
              </w:rPr>
            </w:r>
            <w:r/>
          </w:p>
        </w:tc>
        <w:tc>
          <w:tcPr>
            <w:tcW w:w="4257" w:type="dxa"/>
            <w:vAlign w:val="top"/>
            <w:textDirection w:val="lrTb"/>
            <w:noWrap w:val="false"/>
          </w:tcPr>
          <w:p>
            <w:pPr>
              <w:pStyle w:val="1288"/>
              <w:rPr>
                <w:rFonts w:ascii="Arial"/>
                <w:color w:val="000000"/>
                <w:highlight w:val="none"/>
              </w:rPr>
            </w:pPr>
            <w:r>
              <w:rPr>
                <w:rFonts w:ascii="Arial"/>
                <w:color w:val="000000"/>
                <w:highlight w:val="none"/>
              </w:rPr>
            </w:r>
            <w:r/>
          </w:p>
        </w:tc>
      </w:tr>
      <w:tr>
        <w:trPr>
          <w:trHeight w:val="472"/>
        </w:trPr>
        <w:tc>
          <w:tcPr>
            <w:tcW w:w="1880" w:type="dxa"/>
            <w:vAlign w:val="top"/>
            <w:textDirection w:val="lrTb"/>
            <w:noWrap w:val="false"/>
          </w:tcPr>
          <w:p>
            <w:pPr>
              <w:pStyle w:val="1351"/>
              <w:ind w:left="87"/>
              <w:spacing w:before="153" w:line="221" w:lineRule="auto"/>
              <w:rPr>
                <w:color w:val="000000"/>
                <w:highlight w:val="none"/>
              </w:rPr>
            </w:pPr>
            <w:r>
              <w:rPr>
                <w:color w:val="000000"/>
                <w:spacing w:val="-2"/>
                <w:highlight w:val="none"/>
              </w:rPr>
              <w:t xml:space="preserve">技术负责人</w:t>
            </w:r>
            <w:r>
              <w:rPr>
                <w:color w:val="000000"/>
                <w:highlight w:val="none"/>
              </w:rPr>
            </w:r>
            <w:r/>
          </w:p>
        </w:tc>
        <w:tc>
          <w:tcPr>
            <w:tcW w:w="1415" w:type="dxa"/>
            <w:vAlign w:val="center"/>
            <w:textDirection w:val="lrTb"/>
            <w:noWrap w:val="false"/>
          </w:tcPr>
          <w:p>
            <w:pPr>
              <w:pStyle w:val="1288"/>
              <w:jc w:val="center"/>
              <w:rPr>
                <w:rFonts w:hint="eastAsia" w:ascii="Arial"/>
                <w:color w:val="000000"/>
                <w:highlight w:val="none"/>
              </w:rPr>
            </w:pPr>
            <w:r>
              <w:rPr>
                <w:rFonts w:hint="eastAsia" w:ascii="Arial"/>
                <w:color w:val="000000"/>
                <w:highlight w:val="none"/>
              </w:rPr>
            </w:r>
            <w:r/>
          </w:p>
        </w:tc>
        <w:tc>
          <w:tcPr>
            <w:tcW w:w="1132" w:type="dxa"/>
            <w:vAlign w:val="center"/>
            <w:textDirection w:val="lrTb"/>
            <w:noWrap w:val="false"/>
          </w:tcPr>
          <w:p>
            <w:pPr>
              <w:pStyle w:val="1288"/>
              <w:jc w:val="center"/>
              <w:rPr>
                <w:rFonts w:ascii="Arial"/>
                <w:color w:val="000000"/>
                <w:highlight w:val="none"/>
              </w:rPr>
            </w:pPr>
            <w:r>
              <w:rPr>
                <w:rFonts w:ascii="Arial"/>
                <w:color w:val="000000"/>
                <w:highlight w:val="none"/>
              </w:rPr>
            </w:r>
            <w:r/>
          </w:p>
        </w:tc>
        <w:tc>
          <w:tcPr>
            <w:tcW w:w="1130" w:type="dxa"/>
            <w:vAlign w:val="center"/>
            <w:textDirection w:val="lrTb"/>
            <w:noWrap w:val="false"/>
          </w:tcPr>
          <w:p>
            <w:pPr>
              <w:pStyle w:val="1288"/>
              <w:jc w:val="center"/>
              <w:rPr>
                <w:rFonts w:ascii="Arial"/>
                <w:color w:val="000000"/>
                <w:highlight w:val="none"/>
              </w:rPr>
            </w:pPr>
            <w:r>
              <w:rPr>
                <w:rFonts w:ascii="Arial"/>
                <w:color w:val="000000"/>
                <w:highlight w:val="none"/>
              </w:rPr>
            </w:r>
            <w:r/>
          </w:p>
        </w:tc>
        <w:tc>
          <w:tcPr>
            <w:tcW w:w="4257" w:type="dxa"/>
            <w:vAlign w:val="top"/>
            <w:textDirection w:val="lrTb"/>
            <w:noWrap w:val="false"/>
          </w:tcPr>
          <w:p>
            <w:pPr>
              <w:pStyle w:val="1288"/>
              <w:rPr>
                <w:rFonts w:ascii="Arial"/>
                <w:color w:val="000000"/>
                <w:highlight w:val="none"/>
              </w:rPr>
            </w:pPr>
            <w:r>
              <w:rPr>
                <w:rFonts w:ascii="Arial"/>
                <w:color w:val="000000"/>
                <w:highlight w:val="none"/>
              </w:rPr>
            </w:r>
            <w:r/>
          </w:p>
        </w:tc>
      </w:tr>
      <w:tr>
        <w:trPr>
          <w:trHeight w:val="472"/>
        </w:trPr>
        <w:tc>
          <w:tcPr>
            <w:tcW w:w="1880" w:type="dxa"/>
            <w:vAlign w:val="top"/>
            <w:textDirection w:val="lrTb"/>
            <w:noWrap w:val="false"/>
          </w:tcPr>
          <w:p>
            <w:pPr>
              <w:pStyle w:val="1351"/>
              <w:ind w:left="85"/>
              <w:spacing w:before="154" w:line="219" w:lineRule="auto"/>
              <w:rPr>
                <w:color w:val="000000"/>
                <w:highlight w:val="none"/>
              </w:rPr>
            </w:pPr>
            <w:r>
              <w:rPr>
                <w:color w:val="000000"/>
                <w:spacing w:val="-1"/>
                <w:highlight w:val="none"/>
              </w:rPr>
              <w:t xml:space="preserve">造价管理</w:t>
            </w:r>
            <w:r>
              <w:rPr>
                <w:color w:val="000000"/>
                <w:highlight w:val="none"/>
              </w:rPr>
            </w:r>
            <w:r/>
          </w:p>
        </w:tc>
        <w:tc>
          <w:tcPr>
            <w:tcW w:w="1415" w:type="dxa"/>
            <w:vAlign w:val="center"/>
            <w:textDirection w:val="lrTb"/>
            <w:noWrap w:val="false"/>
          </w:tcPr>
          <w:p>
            <w:pPr>
              <w:pStyle w:val="1288"/>
              <w:jc w:val="center"/>
              <w:rPr>
                <w:rFonts w:hint="eastAsia" w:ascii="Arial"/>
                <w:color w:val="000000"/>
                <w:highlight w:val="none"/>
              </w:rPr>
            </w:pPr>
            <w:r>
              <w:rPr>
                <w:rFonts w:hint="eastAsia" w:ascii="Arial"/>
                <w:color w:val="000000"/>
                <w:highlight w:val="none"/>
              </w:rPr>
            </w:r>
            <w:r/>
          </w:p>
        </w:tc>
        <w:tc>
          <w:tcPr>
            <w:tcW w:w="1132" w:type="dxa"/>
            <w:vAlign w:val="center"/>
            <w:textDirection w:val="lrTb"/>
            <w:noWrap w:val="false"/>
          </w:tcPr>
          <w:p>
            <w:pPr>
              <w:pStyle w:val="1288"/>
              <w:jc w:val="center"/>
              <w:rPr>
                <w:rFonts w:hint="eastAsia" w:ascii="Arial"/>
                <w:color w:val="000000"/>
                <w:highlight w:val="none"/>
              </w:rPr>
            </w:pPr>
            <w:r>
              <w:rPr>
                <w:rFonts w:hint="eastAsia" w:ascii="Arial"/>
                <w:color w:val="000000"/>
                <w:highlight w:val="none"/>
              </w:rPr>
            </w:r>
            <w:r/>
          </w:p>
        </w:tc>
        <w:tc>
          <w:tcPr>
            <w:tcW w:w="1130" w:type="dxa"/>
            <w:vAlign w:val="center"/>
            <w:textDirection w:val="lrTb"/>
            <w:noWrap w:val="false"/>
          </w:tcPr>
          <w:p>
            <w:pPr>
              <w:pStyle w:val="1288"/>
              <w:jc w:val="center"/>
              <w:rPr>
                <w:rFonts w:ascii="Arial"/>
                <w:color w:val="000000"/>
                <w:highlight w:val="none"/>
              </w:rPr>
            </w:pPr>
            <w:r>
              <w:rPr>
                <w:rFonts w:ascii="Arial"/>
                <w:color w:val="000000"/>
                <w:highlight w:val="none"/>
              </w:rPr>
            </w:r>
            <w:r/>
          </w:p>
        </w:tc>
        <w:tc>
          <w:tcPr>
            <w:tcW w:w="4257" w:type="dxa"/>
            <w:vAlign w:val="top"/>
            <w:textDirection w:val="lrTb"/>
            <w:noWrap w:val="false"/>
          </w:tcPr>
          <w:p>
            <w:pPr>
              <w:pStyle w:val="1288"/>
              <w:rPr>
                <w:rFonts w:ascii="Arial"/>
                <w:color w:val="000000"/>
                <w:highlight w:val="none"/>
              </w:rPr>
            </w:pPr>
            <w:r>
              <w:rPr>
                <w:rFonts w:ascii="Arial"/>
                <w:color w:val="000000"/>
                <w:highlight w:val="none"/>
              </w:rPr>
            </w:r>
            <w:r/>
          </w:p>
        </w:tc>
      </w:tr>
      <w:tr>
        <w:trPr>
          <w:trHeight w:val="475"/>
        </w:trPr>
        <w:tc>
          <w:tcPr>
            <w:tcW w:w="1880" w:type="dxa"/>
            <w:vAlign w:val="top"/>
            <w:textDirection w:val="lrTb"/>
            <w:noWrap w:val="false"/>
          </w:tcPr>
          <w:p>
            <w:pPr>
              <w:pStyle w:val="1351"/>
              <w:ind w:left="87"/>
              <w:spacing w:before="156" w:line="221" w:lineRule="auto"/>
              <w:rPr>
                <w:color w:val="000000"/>
                <w:highlight w:val="none"/>
              </w:rPr>
            </w:pPr>
            <w:r>
              <w:rPr>
                <w:color w:val="000000"/>
                <w:spacing w:val="-2"/>
                <w:highlight w:val="none"/>
              </w:rPr>
              <w:t xml:space="preserve">质量管理</w:t>
            </w:r>
            <w:r>
              <w:rPr>
                <w:color w:val="000000"/>
                <w:highlight w:val="none"/>
              </w:rPr>
            </w:r>
            <w:r/>
          </w:p>
        </w:tc>
        <w:tc>
          <w:tcPr>
            <w:tcW w:w="1415" w:type="dxa"/>
            <w:vAlign w:val="center"/>
            <w:textDirection w:val="lrTb"/>
            <w:noWrap w:val="false"/>
          </w:tcPr>
          <w:p>
            <w:pPr>
              <w:pStyle w:val="1288"/>
              <w:jc w:val="center"/>
              <w:rPr>
                <w:rFonts w:hint="eastAsia" w:ascii="Arial"/>
                <w:color w:val="000000"/>
                <w:highlight w:val="none"/>
              </w:rPr>
            </w:pPr>
            <w:r>
              <w:rPr>
                <w:rFonts w:hint="eastAsia" w:ascii="Arial"/>
                <w:color w:val="000000"/>
                <w:highlight w:val="none"/>
              </w:rPr>
            </w:r>
            <w:r/>
          </w:p>
        </w:tc>
        <w:tc>
          <w:tcPr>
            <w:tcW w:w="1132" w:type="dxa"/>
            <w:vAlign w:val="center"/>
            <w:textDirection w:val="lrTb"/>
            <w:noWrap w:val="false"/>
          </w:tcPr>
          <w:p>
            <w:pPr>
              <w:pStyle w:val="1288"/>
              <w:jc w:val="center"/>
              <w:rPr>
                <w:rFonts w:hint="eastAsia" w:ascii="Arial"/>
                <w:color w:val="000000"/>
                <w:highlight w:val="none"/>
              </w:rPr>
            </w:pPr>
            <w:r>
              <w:rPr>
                <w:rFonts w:hint="eastAsia" w:ascii="Arial"/>
                <w:color w:val="000000"/>
                <w:highlight w:val="none"/>
              </w:rPr>
            </w:r>
            <w:r/>
          </w:p>
        </w:tc>
        <w:tc>
          <w:tcPr>
            <w:tcW w:w="1130" w:type="dxa"/>
            <w:vAlign w:val="center"/>
            <w:textDirection w:val="lrTb"/>
            <w:noWrap w:val="false"/>
          </w:tcPr>
          <w:p>
            <w:pPr>
              <w:pStyle w:val="1288"/>
              <w:jc w:val="center"/>
              <w:rPr>
                <w:rFonts w:hint="eastAsia" w:ascii="Arial"/>
                <w:color w:val="000000"/>
                <w:highlight w:val="none"/>
              </w:rPr>
            </w:pPr>
            <w:r>
              <w:rPr>
                <w:rFonts w:hint="eastAsia" w:ascii="Arial"/>
                <w:color w:val="000000"/>
                <w:highlight w:val="none"/>
              </w:rPr>
            </w:r>
            <w:r/>
          </w:p>
        </w:tc>
        <w:tc>
          <w:tcPr>
            <w:tcW w:w="4257" w:type="dxa"/>
            <w:vAlign w:val="top"/>
            <w:textDirection w:val="lrTb"/>
            <w:noWrap w:val="false"/>
          </w:tcPr>
          <w:p>
            <w:pPr>
              <w:pStyle w:val="1288"/>
              <w:rPr>
                <w:rFonts w:ascii="Arial"/>
                <w:color w:val="000000"/>
                <w:highlight w:val="none"/>
              </w:rPr>
            </w:pPr>
            <w:r>
              <w:rPr>
                <w:rFonts w:ascii="Arial"/>
                <w:color w:val="000000"/>
                <w:highlight w:val="none"/>
              </w:rPr>
            </w:r>
            <w:r/>
          </w:p>
        </w:tc>
      </w:tr>
      <w:tr>
        <w:trPr>
          <w:trHeight w:val="473"/>
        </w:trPr>
        <w:tc>
          <w:tcPr>
            <w:tcW w:w="1880" w:type="dxa"/>
            <w:vAlign w:val="top"/>
            <w:textDirection w:val="lrTb"/>
            <w:noWrap w:val="false"/>
          </w:tcPr>
          <w:p>
            <w:pPr>
              <w:pStyle w:val="1351"/>
              <w:ind w:left="86"/>
              <w:spacing w:before="155" w:line="220" w:lineRule="auto"/>
              <w:rPr>
                <w:color w:val="000000"/>
                <w:highlight w:val="none"/>
              </w:rPr>
            </w:pPr>
            <w:r>
              <w:rPr>
                <w:color w:val="000000"/>
                <w:spacing w:val="-2"/>
                <w:highlight w:val="none"/>
              </w:rPr>
              <w:t xml:space="preserve">材料管理</w:t>
            </w:r>
            <w:r>
              <w:rPr>
                <w:color w:val="000000"/>
                <w:highlight w:val="none"/>
              </w:rPr>
            </w:r>
            <w:r/>
          </w:p>
        </w:tc>
        <w:tc>
          <w:tcPr>
            <w:tcW w:w="1415" w:type="dxa"/>
            <w:vAlign w:val="center"/>
            <w:textDirection w:val="lrTb"/>
            <w:noWrap w:val="false"/>
          </w:tcPr>
          <w:p>
            <w:pPr>
              <w:pStyle w:val="1288"/>
              <w:jc w:val="center"/>
              <w:rPr>
                <w:rFonts w:ascii="Arial"/>
                <w:color w:val="000000"/>
                <w:highlight w:val="none"/>
              </w:rPr>
            </w:pPr>
            <w:r>
              <w:rPr>
                <w:rFonts w:ascii="Arial"/>
                <w:color w:val="000000"/>
                <w:highlight w:val="none"/>
              </w:rPr>
            </w:r>
            <w:r/>
          </w:p>
        </w:tc>
        <w:tc>
          <w:tcPr>
            <w:tcW w:w="1132" w:type="dxa"/>
            <w:vAlign w:val="center"/>
            <w:textDirection w:val="lrTb"/>
            <w:noWrap w:val="false"/>
          </w:tcPr>
          <w:p>
            <w:pPr>
              <w:pStyle w:val="1288"/>
              <w:jc w:val="center"/>
              <w:rPr>
                <w:rFonts w:ascii="Arial"/>
                <w:color w:val="000000"/>
                <w:highlight w:val="none"/>
              </w:rPr>
            </w:pPr>
            <w:r>
              <w:rPr>
                <w:rFonts w:ascii="Arial"/>
                <w:color w:val="000000"/>
                <w:highlight w:val="none"/>
              </w:rPr>
            </w:r>
            <w:r/>
          </w:p>
        </w:tc>
        <w:tc>
          <w:tcPr>
            <w:tcW w:w="1130" w:type="dxa"/>
            <w:vAlign w:val="center"/>
            <w:textDirection w:val="lrTb"/>
            <w:noWrap w:val="false"/>
          </w:tcPr>
          <w:p>
            <w:pPr>
              <w:pStyle w:val="1288"/>
              <w:jc w:val="center"/>
              <w:rPr>
                <w:rFonts w:ascii="Arial"/>
                <w:color w:val="000000"/>
                <w:highlight w:val="none"/>
              </w:rPr>
            </w:pPr>
            <w:r>
              <w:rPr>
                <w:rFonts w:ascii="Arial"/>
                <w:color w:val="000000"/>
                <w:highlight w:val="none"/>
              </w:rPr>
            </w:r>
            <w:r/>
          </w:p>
        </w:tc>
        <w:tc>
          <w:tcPr>
            <w:tcW w:w="4257" w:type="dxa"/>
            <w:vAlign w:val="top"/>
            <w:textDirection w:val="lrTb"/>
            <w:noWrap w:val="false"/>
          </w:tcPr>
          <w:p>
            <w:pPr>
              <w:pStyle w:val="1288"/>
              <w:rPr>
                <w:rFonts w:ascii="Arial"/>
                <w:color w:val="000000"/>
                <w:highlight w:val="none"/>
              </w:rPr>
            </w:pPr>
            <w:r>
              <w:rPr>
                <w:rFonts w:ascii="Arial"/>
                <w:color w:val="000000"/>
                <w:highlight w:val="none"/>
              </w:rPr>
            </w:r>
            <w:r/>
          </w:p>
        </w:tc>
      </w:tr>
      <w:tr>
        <w:trPr>
          <w:trHeight w:val="472"/>
        </w:trPr>
        <w:tc>
          <w:tcPr>
            <w:tcW w:w="1880" w:type="dxa"/>
            <w:vAlign w:val="top"/>
            <w:textDirection w:val="lrTb"/>
            <w:noWrap w:val="false"/>
          </w:tcPr>
          <w:p>
            <w:pPr>
              <w:pStyle w:val="1351"/>
              <w:ind w:left="86"/>
              <w:spacing w:before="154" w:line="221" w:lineRule="auto"/>
              <w:rPr>
                <w:color w:val="000000"/>
                <w:highlight w:val="none"/>
              </w:rPr>
            </w:pPr>
            <w:r>
              <w:rPr>
                <w:color w:val="000000"/>
                <w:spacing w:val="-2"/>
                <w:highlight w:val="none"/>
              </w:rPr>
              <w:t xml:space="preserve">计划管理</w:t>
            </w:r>
            <w:r>
              <w:rPr>
                <w:color w:val="000000"/>
                <w:highlight w:val="none"/>
              </w:rPr>
            </w:r>
            <w:r/>
          </w:p>
        </w:tc>
        <w:tc>
          <w:tcPr>
            <w:tcW w:w="1415" w:type="dxa"/>
            <w:vAlign w:val="center"/>
            <w:textDirection w:val="lrTb"/>
            <w:noWrap w:val="false"/>
          </w:tcPr>
          <w:p>
            <w:pPr>
              <w:pStyle w:val="1288"/>
              <w:jc w:val="center"/>
              <w:rPr>
                <w:rFonts w:ascii="Arial"/>
                <w:color w:val="000000"/>
                <w:highlight w:val="none"/>
              </w:rPr>
            </w:pPr>
            <w:r>
              <w:rPr>
                <w:rFonts w:ascii="Arial"/>
                <w:color w:val="000000"/>
                <w:highlight w:val="none"/>
              </w:rPr>
            </w:r>
            <w:r/>
          </w:p>
        </w:tc>
        <w:tc>
          <w:tcPr>
            <w:tcW w:w="1132" w:type="dxa"/>
            <w:vAlign w:val="center"/>
            <w:textDirection w:val="lrTb"/>
            <w:noWrap w:val="false"/>
          </w:tcPr>
          <w:p>
            <w:pPr>
              <w:pStyle w:val="1288"/>
              <w:jc w:val="center"/>
              <w:rPr>
                <w:rFonts w:ascii="Arial"/>
                <w:color w:val="000000"/>
                <w:highlight w:val="none"/>
              </w:rPr>
            </w:pPr>
            <w:r>
              <w:rPr>
                <w:rFonts w:ascii="Arial"/>
                <w:color w:val="000000"/>
                <w:highlight w:val="none"/>
              </w:rPr>
            </w:r>
            <w:r/>
          </w:p>
        </w:tc>
        <w:tc>
          <w:tcPr>
            <w:tcW w:w="1130" w:type="dxa"/>
            <w:vAlign w:val="center"/>
            <w:textDirection w:val="lrTb"/>
            <w:noWrap w:val="false"/>
          </w:tcPr>
          <w:p>
            <w:pPr>
              <w:pStyle w:val="1288"/>
              <w:jc w:val="center"/>
              <w:rPr>
                <w:rFonts w:ascii="Arial"/>
                <w:color w:val="000000"/>
                <w:highlight w:val="none"/>
              </w:rPr>
            </w:pPr>
            <w:r>
              <w:rPr>
                <w:rFonts w:ascii="Arial"/>
                <w:color w:val="000000"/>
                <w:highlight w:val="none"/>
              </w:rPr>
            </w:r>
            <w:r/>
          </w:p>
        </w:tc>
        <w:tc>
          <w:tcPr>
            <w:tcW w:w="4257" w:type="dxa"/>
            <w:vAlign w:val="top"/>
            <w:textDirection w:val="lrTb"/>
            <w:noWrap w:val="false"/>
          </w:tcPr>
          <w:p>
            <w:pPr>
              <w:pStyle w:val="1288"/>
              <w:rPr>
                <w:rFonts w:ascii="Arial"/>
                <w:color w:val="000000"/>
                <w:highlight w:val="none"/>
              </w:rPr>
            </w:pPr>
            <w:r>
              <w:rPr>
                <w:rFonts w:ascii="Arial"/>
                <w:color w:val="000000"/>
                <w:highlight w:val="none"/>
              </w:rPr>
            </w:r>
            <w:r/>
          </w:p>
        </w:tc>
      </w:tr>
      <w:tr>
        <w:trPr>
          <w:trHeight w:val="473"/>
        </w:trPr>
        <w:tc>
          <w:tcPr>
            <w:tcW w:w="1880" w:type="dxa"/>
            <w:vAlign w:val="top"/>
            <w:textDirection w:val="lrTb"/>
            <w:noWrap w:val="false"/>
          </w:tcPr>
          <w:p>
            <w:pPr>
              <w:pStyle w:val="1351"/>
              <w:ind w:left="90"/>
              <w:spacing w:before="154" w:line="221" w:lineRule="auto"/>
              <w:rPr>
                <w:color w:val="000000"/>
                <w:highlight w:val="none"/>
              </w:rPr>
            </w:pPr>
            <w:r>
              <w:rPr>
                <w:color w:val="000000"/>
                <w:spacing w:val="-3"/>
                <w:highlight w:val="none"/>
              </w:rPr>
              <w:t xml:space="preserve">安全管理</w:t>
            </w:r>
            <w:r>
              <w:rPr>
                <w:color w:val="000000"/>
                <w:highlight w:val="none"/>
              </w:rPr>
            </w:r>
            <w:r/>
          </w:p>
        </w:tc>
        <w:tc>
          <w:tcPr>
            <w:tcW w:w="1415" w:type="dxa"/>
            <w:vAlign w:val="center"/>
            <w:textDirection w:val="lrTb"/>
            <w:noWrap w:val="false"/>
          </w:tcPr>
          <w:p>
            <w:pPr>
              <w:pStyle w:val="1288"/>
              <w:jc w:val="center"/>
              <w:rPr>
                <w:rFonts w:hint="eastAsia" w:ascii="Arial"/>
                <w:color w:val="000000"/>
                <w:highlight w:val="none"/>
              </w:rPr>
            </w:pPr>
            <w:r>
              <w:rPr>
                <w:rFonts w:hint="eastAsia" w:ascii="Arial"/>
                <w:color w:val="000000"/>
                <w:highlight w:val="none"/>
              </w:rPr>
            </w:r>
            <w:r/>
          </w:p>
        </w:tc>
        <w:tc>
          <w:tcPr>
            <w:tcW w:w="1132" w:type="dxa"/>
            <w:vAlign w:val="center"/>
            <w:textDirection w:val="lrTb"/>
            <w:noWrap w:val="false"/>
          </w:tcPr>
          <w:p>
            <w:pPr>
              <w:pStyle w:val="1288"/>
              <w:jc w:val="center"/>
              <w:rPr>
                <w:rFonts w:hint="eastAsia" w:ascii="Arial"/>
                <w:color w:val="000000"/>
                <w:highlight w:val="none"/>
              </w:rPr>
            </w:pPr>
            <w:r>
              <w:rPr>
                <w:rFonts w:hint="eastAsia" w:ascii="Arial"/>
                <w:color w:val="000000"/>
                <w:highlight w:val="none"/>
              </w:rPr>
            </w:r>
            <w:r/>
          </w:p>
        </w:tc>
        <w:tc>
          <w:tcPr>
            <w:tcW w:w="1130" w:type="dxa"/>
            <w:vAlign w:val="center"/>
            <w:textDirection w:val="lrTb"/>
            <w:noWrap w:val="false"/>
          </w:tcPr>
          <w:p>
            <w:pPr>
              <w:pStyle w:val="1288"/>
              <w:jc w:val="center"/>
              <w:rPr>
                <w:rFonts w:hint="eastAsia" w:ascii="Arial"/>
                <w:color w:val="000000"/>
                <w:highlight w:val="none"/>
              </w:rPr>
            </w:pPr>
            <w:r>
              <w:rPr>
                <w:rFonts w:hint="eastAsia" w:ascii="Arial"/>
                <w:color w:val="000000"/>
                <w:highlight w:val="none"/>
              </w:rPr>
            </w:r>
            <w:r/>
          </w:p>
        </w:tc>
        <w:tc>
          <w:tcPr>
            <w:tcW w:w="4257" w:type="dxa"/>
            <w:vAlign w:val="top"/>
            <w:textDirection w:val="lrTb"/>
            <w:noWrap w:val="false"/>
          </w:tcPr>
          <w:p>
            <w:pPr>
              <w:pStyle w:val="1288"/>
              <w:rPr>
                <w:rFonts w:ascii="Arial"/>
                <w:color w:val="000000"/>
                <w:highlight w:val="none"/>
              </w:rPr>
            </w:pPr>
            <w:r>
              <w:rPr>
                <w:rFonts w:ascii="Arial"/>
                <w:color w:val="000000"/>
                <w:highlight w:val="none"/>
              </w:rPr>
            </w:r>
            <w:r/>
          </w:p>
        </w:tc>
      </w:tr>
      <w:tr>
        <w:trPr>
          <w:trHeight w:val="475"/>
        </w:trPr>
        <w:tc>
          <w:tcPr>
            <w:tcW w:w="1880" w:type="dxa"/>
            <w:vAlign w:val="top"/>
            <w:vMerge w:val="restart"/>
            <w:textDirection w:val="lrTb"/>
            <w:noWrap w:val="false"/>
          </w:tcPr>
          <w:p>
            <w:pPr>
              <w:pStyle w:val="1288"/>
              <w:spacing w:line="257" w:lineRule="auto"/>
              <w:rPr>
                <w:rFonts w:ascii="Arial"/>
                <w:color w:val="000000"/>
                <w:highlight w:val="none"/>
              </w:rPr>
            </w:pPr>
            <w:r>
              <w:rPr>
                <w:rFonts w:ascii="Arial"/>
                <w:color w:val="000000"/>
                <w:highlight w:val="none"/>
              </w:rPr>
            </w:r>
            <w:r/>
          </w:p>
          <w:p>
            <w:pPr>
              <w:pStyle w:val="1288"/>
              <w:spacing w:line="257" w:lineRule="auto"/>
              <w:rPr>
                <w:rFonts w:ascii="Arial"/>
                <w:color w:val="000000"/>
                <w:highlight w:val="none"/>
              </w:rPr>
            </w:pPr>
            <w:r>
              <w:rPr>
                <w:rFonts w:ascii="Arial"/>
                <w:color w:val="000000"/>
                <w:highlight w:val="none"/>
              </w:rPr>
            </w:r>
            <w:r/>
          </w:p>
          <w:p>
            <w:pPr>
              <w:pStyle w:val="1288"/>
              <w:spacing w:line="257" w:lineRule="auto"/>
              <w:rPr>
                <w:rFonts w:ascii="Arial"/>
                <w:color w:val="000000"/>
                <w:highlight w:val="none"/>
              </w:rPr>
            </w:pPr>
            <w:r>
              <w:rPr>
                <w:rFonts w:ascii="Arial"/>
                <w:color w:val="000000"/>
                <w:highlight w:val="none"/>
              </w:rPr>
            </w:r>
            <w:r/>
          </w:p>
          <w:p>
            <w:pPr>
              <w:pStyle w:val="1288"/>
              <w:spacing w:line="258" w:lineRule="auto"/>
              <w:rPr>
                <w:rFonts w:ascii="Arial"/>
                <w:color w:val="000000"/>
                <w:highlight w:val="none"/>
              </w:rPr>
            </w:pPr>
            <w:r>
              <w:rPr>
                <w:rFonts w:ascii="Arial"/>
                <w:color w:val="000000"/>
                <w:highlight w:val="none"/>
              </w:rPr>
            </w:r>
            <w:r/>
          </w:p>
          <w:p>
            <w:pPr>
              <w:pStyle w:val="1288"/>
              <w:spacing w:line="258" w:lineRule="auto"/>
              <w:rPr>
                <w:rFonts w:ascii="Arial"/>
                <w:color w:val="000000"/>
                <w:highlight w:val="none"/>
              </w:rPr>
            </w:pPr>
            <w:r>
              <w:rPr>
                <w:rFonts w:ascii="Arial"/>
                <w:color w:val="000000"/>
                <w:highlight w:val="none"/>
              </w:rPr>
            </w:r>
            <w:r/>
          </w:p>
          <w:p>
            <w:pPr>
              <w:pStyle w:val="1351"/>
              <w:ind w:left="85"/>
              <w:spacing w:before="69" w:line="222" w:lineRule="auto"/>
              <w:rPr>
                <w:color w:val="000000"/>
                <w:highlight w:val="none"/>
              </w:rPr>
            </w:pPr>
            <w:r>
              <w:rPr>
                <w:color w:val="000000"/>
                <w:spacing w:val="-1"/>
                <w:highlight w:val="none"/>
              </w:rPr>
              <w:t xml:space="preserve">施工员</w:t>
            </w:r>
            <w:r>
              <w:rPr>
                <w:color w:val="000000"/>
                <w:highlight w:val="none"/>
              </w:rPr>
            </w:r>
            <w:r/>
          </w:p>
        </w:tc>
        <w:tc>
          <w:tcPr>
            <w:tcW w:w="1415" w:type="dxa"/>
            <w:vAlign w:val="center"/>
            <w:textDirection w:val="lrTb"/>
            <w:noWrap w:val="false"/>
          </w:tcPr>
          <w:p>
            <w:pPr>
              <w:pStyle w:val="1288"/>
              <w:jc w:val="center"/>
              <w:rPr>
                <w:rFonts w:hint="eastAsia" w:ascii="Arial"/>
                <w:color w:val="000000"/>
                <w:highlight w:val="none"/>
              </w:rPr>
            </w:pPr>
            <w:r>
              <w:rPr>
                <w:rFonts w:hint="eastAsia" w:ascii="Arial"/>
                <w:color w:val="000000"/>
                <w:highlight w:val="none"/>
              </w:rPr>
            </w:r>
            <w:r/>
          </w:p>
        </w:tc>
        <w:tc>
          <w:tcPr>
            <w:tcW w:w="1132" w:type="dxa"/>
            <w:vAlign w:val="center"/>
            <w:textDirection w:val="lrTb"/>
            <w:noWrap w:val="false"/>
          </w:tcPr>
          <w:p>
            <w:pPr>
              <w:pStyle w:val="1288"/>
              <w:jc w:val="center"/>
              <w:rPr>
                <w:rFonts w:hint="eastAsia" w:ascii="Arial"/>
                <w:color w:val="000000"/>
                <w:highlight w:val="none"/>
              </w:rPr>
            </w:pPr>
            <w:r>
              <w:rPr>
                <w:rFonts w:hint="eastAsia" w:ascii="Arial"/>
                <w:color w:val="000000"/>
                <w:highlight w:val="none"/>
              </w:rPr>
            </w:r>
            <w:r/>
          </w:p>
        </w:tc>
        <w:tc>
          <w:tcPr>
            <w:tcW w:w="1130" w:type="dxa"/>
            <w:vAlign w:val="center"/>
            <w:textDirection w:val="lrTb"/>
            <w:noWrap w:val="false"/>
          </w:tcPr>
          <w:p>
            <w:pPr>
              <w:pStyle w:val="1288"/>
              <w:jc w:val="center"/>
              <w:rPr>
                <w:rFonts w:ascii="Arial"/>
                <w:color w:val="000000"/>
                <w:highlight w:val="none"/>
              </w:rPr>
            </w:pPr>
            <w:r>
              <w:rPr>
                <w:rFonts w:ascii="Arial"/>
                <w:color w:val="000000"/>
                <w:highlight w:val="none"/>
              </w:rPr>
            </w:r>
            <w:r/>
          </w:p>
        </w:tc>
        <w:tc>
          <w:tcPr>
            <w:tcW w:w="4257" w:type="dxa"/>
            <w:vAlign w:val="top"/>
            <w:textDirection w:val="lrTb"/>
            <w:noWrap w:val="false"/>
          </w:tcPr>
          <w:p>
            <w:pPr>
              <w:pStyle w:val="1288"/>
              <w:rPr>
                <w:rFonts w:ascii="Arial"/>
                <w:color w:val="000000"/>
                <w:highlight w:val="none"/>
              </w:rPr>
            </w:pPr>
            <w:r>
              <w:rPr>
                <w:rFonts w:ascii="Arial"/>
                <w:color w:val="000000"/>
                <w:highlight w:val="none"/>
              </w:rPr>
            </w:r>
            <w:r/>
          </w:p>
        </w:tc>
      </w:tr>
      <w:tr>
        <w:trPr>
          <w:trHeight w:val="473"/>
        </w:trPr>
        <w:tc>
          <w:tcPr>
            <w:tcW w:w="1880" w:type="dxa"/>
            <w:vAlign w:val="top"/>
            <w:vMerge w:val="continue"/>
            <w:textDirection w:val="lrTb"/>
            <w:noWrap w:val="false"/>
          </w:tcPr>
          <w:p>
            <w:pPr>
              <w:pStyle w:val="1288"/>
              <w:rPr>
                <w:rFonts w:ascii="Arial"/>
                <w:color w:val="000000"/>
                <w:highlight w:val="none"/>
              </w:rPr>
            </w:pPr>
            <w:r>
              <w:rPr>
                <w:rFonts w:ascii="Arial"/>
                <w:color w:val="000000"/>
                <w:highlight w:val="none"/>
              </w:rPr>
            </w:r>
            <w:r/>
          </w:p>
        </w:tc>
        <w:tc>
          <w:tcPr>
            <w:tcW w:w="1415" w:type="dxa"/>
            <w:vAlign w:val="center"/>
            <w:textDirection w:val="lrTb"/>
            <w:noWrap w:val="false"/>
          </w:tcPr>
          <w:p>
            <w:pPr>
              <w:pStyle w:val="1288"/>
              <w:jc w:val="center"/>
              <w:rPr>
                <w:rFonts w:ascii="Arial"/>
                <w:color w:val="000000"/>
                <w:highlight w:val="none"/>
              </w:rPr>
            </w:pPr>
            <w:r>
              <w:rPr>
                <w:rFonts w:ascii="Arial"/>
                <w:color w:val="000000"/>
                <w:highlight w:val="none"/>
              </w:rPr>
            </w:r>
            <w:r/>
          </w:p>
        </w:tc>
        <w:tc>
          <w:tcPr>
            <w:tcW w:w="1132" w:type="dxa"/>
            <w:vAlign w:val="center"/>
            <w:textDirection w:val="lrTb"/>
            <w:noWrap w:val="false"/>
          </w:tcPr>
          <w:p>
            <w:pPr>
              <w:pStyle w:val="1288"/>
              <w:jc w:val="center"/>
              <w:rPr>
                <w:rFonts w:ascii="Arial"/>
                <w:color w:val="000000"/>
                <w:highlight w:val="none"/>
              </w:rPr>
            </w:pPr>
            <w:r>
              <w:rPr>
                <w:rFonts w:ascii="Arial"/>
                <w:color w:val="000000"/>
                <w:highlight w:val="none"/>
              </w:rPr>
            </w:r>
            <w:r/>
          </w:p>
        </w:tc>
        <w:tc>
          <w:tcPr>
            <w:tcW w:w="1130" w:type="dxa"/>
            <w:vAlign w:val="top"/>
            <w:textDirection w:val="lrTb"/>
            <w:noWrap w:val="false"/>
          </w:tcPr>
          <w:p>
            <w:pPr>
              <w:pStyle w:val="1288"/>
              <w:rPr>
                <w:rFonts w:ascii="Arial"/>
                <w:color w:val="000000"/>
                <w:highlight w:val="none"/>
              </w:rPr>
            </w:pPr>
            <w:r>
              <w:rPr>
                <w:rFonts w:ascii="Arial"/>
                <w:color w:val="000000"/>
                <w:highlight w:val="none"/>
              </w:rPr>
            </w:r>
            <w:r/>
          </w:p>
        </w:tc>
        <w:tc>
          <w:tcPr>
            <w:tcW w:w="4257" w:type="dxa"/>
            <w:vAlign w:val="top"/>
            <w:textDirection w:val="lrTb"/>
            <w:noWrap w:val="false"/>
          </w:tcPr>
          <w:p>
            <w:pPr>
              <w:pStyle w:val="1288"/>
              <w:rPr>
                <w:rFonts w:ascii="Arial"/>
                <w:color w:val="000000"/>
                <w:highlight w:val="none"/>
              </w:rPr>
            </w:pPr>
            <w:r>
              <w:rPr>
                <w:rFonts w:ascii="Arial"/>
                <w:color w:val="000000"/>
                <w:highlight w:val="none"/>
              </w:rPr>
            </w:r>
            <w:r/>
          </w:p>
        </w:tc>
      </w:tr>
      <w:tr>
        <w:trPr>
          <w:trHeight w:val="473"/>
        </w:trPr>
        <w:tc>
          <w:tcPr>
            <w:tcW w:w="1880" w:type="dxa"/>
            <w:vAlign w:val="top"/>
            <w:vMerge w:val="continue"/>
            <w:textDirection w:val="lrTb"/>
            <w:noWrap w:val="false"/>
          </w:tcPr>
          <w:p>
            <w:pPr>
              <w:pStyle w:val="1288"/>
              <w:rPr>
                <w:rFonts w:ascii="Arial"/>
                <w:color w:val="000000"/>
                <w:highlight w:val="none"/>
              </w:rPr>
            </w:pPr>
            <w:r>
              <w:rPr>
                <w:rFonts w:ascii="Arial"/>
                <w:color w:val="000000"/>
                <w:highlight w:val="none"/>
              </w:rPr>
            </w:r>
            <w:r/>
          </w:p>
        </w:tc>
        <w:tc>
          <w:tcPr>
            <w:tcW w:w="1415" w:type="dxa"/>
            <w:vAlign w:val="center"/>
            <w:textDirection w:val="lrTb"/>
            <w:noWrap w:val="false"/>
          </w:tcPr>
          <w:p>
            <w:pPr>
              <w:pStyle w:val="1288"/>
              <w:jc w:val="center"/>
              <w:rPr>
                <w:rFonts w:ascii="Arial"/>
                <w:color w:val="000000"/>
                <w:highlight w:val="none"/>
              </w:rPr>
            </w:pPr>
            <w:r>
              <w:rPr>
                <w:rFonts w:ascii="Arial"/>
                <w:color w:val="000000"/>
                <w:highlight w:val="none"/>
              </w:rPr>
            </w:r>
            <w:r/>
          </w:p>
        </w:tc>
        <w:tc>
          <w:tcPr>
            <w:tcW w:w="1132" w:type="dxa"/>
            <w:vAlign w:val="center"/>
            <w:textDirection w:val="lrTb"/>
            <w:noWrap w:val="false"/>
          </w:tcPr>
          <w:p>
            <w:pPr>
              <w:pStyle w:val="1288"/>
              <w:jc w:val="center"/>
              <w:rPr>
                <w:rFonts w:ascii="Arial"/>
                <w:color w:val="000000"/>
                <w:highlight w:val="none"/>
              </w:rPr>
            </w:pPr>
            <w:r>
              <w:rPr>
                <w:rFonts w:ascii="Arial"/>
                <w:color w:val="000000"/>
                <w:highlight w:val="none"/>
              </w:rPr>
            </w:r>
            <w:r/>
          </w:p>
        </w:tc>
        <w:tc>
          <w:tcPr>
            <w:tcW w:w="1130" w:type="dxa"/>
            <w:vAlign w:val="top"/>
            <w:textDirection w:val="lrTb"/>
            <w:noWrap w:val="false"/>
          </w:tcPr>
          <w:p>
            <w:pPr>
              <w:pStyle w:val="1288"/>
              <w:rPr>
                <w:rFonts w:ascii="Arial"/>
                <w:color w:val="000000"/>
                <w:highlight w:val="none"/>
              </w:rPr>
            </w:pPr>
            <w:r>
              <w:rPr>
                <w:rFonts w:ascii="Arial"/>
                <w:color w:val="000000"/>
                <w:highlight w:val="none"/>
              </w:rPr>
            </w:r>
            <w:r/>
          </w:p>
        </w:tc>
        <w:tc>
          <w:tcPr>
            <w:tcW w:w="4257" w:type="dxa"/>
            <w:vAlign w:val="top"/>
            <w:textDirection w:val="lrTb"/>
            <w:noWrap w:val="false"/>
          </w:tcPr>
          <w:p>
            <w:pPr>
              <w:pStyle w:val="1288"/>
              <w:rPr>
                <w:rFonts w:ascii="Arial"/>
                <w:color w:val="000000"/>
                <w:highlight w:val="none"/>
              </w:rPr>
            </w:pPr>
            <w:r>
              <w:rPr>
                <w:rFonts w:ascii="Arial"/>
                <w:color w:val="000000"/>
                <w:highlight w:val="none"/>
              </w:rPr>
            </w:r>
            <w:r/>
          </w:p>
        </w:tc>
      </w:tr>
      <w:tr>
        <w:trPr>
          <w:trHeight w:val="473"/>
        </w:trPr>
        <w:tc>
          <w:tcPr>
            <w:tcW w:w="1880" w:type="dxa"/>
            <w:vAlign w:val="top"/>
            <w:vMerge w:val="continue"/>
            <w:textDirection w:val="lrTb"/>
            <w:noWrap w:val="false"/>
          </w:tcPr>
          <w:p>
            <w:pPr>
              <w:pStyle w:val="1288"/>
              <w:rPr>
                <w:rFonts w:ascii="Arial"/>
                <w:color w:val="000000"/>
                <w:highlight w:val="none"/>
              </w:rPr>
            </w:pPr>
            <w:r>
              <w:rPr>
                <w:rFonts w:ascii="Arial"/>
                <w:color w:val="000000"/>
                <w:highlight w:val="none"/>
              </w:rPr>
            </w:r>
            <w:r/>
          </w:p>
        </w:tc>
        <w:tc>
          <w:tcPr>
            <w:tcW w:w="1415" w:type="dxa"/>
            <w:vAlign w:val="center"/>
            <w:textDirection w:val="lrTb"/>
            <w:noWrap w:val="false"/>
          </w:tcPr>
          <w:p>
            <w:pPr>
              <w:pStyle w:val="1288"/>
              <w:jc w:val="center"/>
              <w:rPr>
                <w:rFonts w:ascii="Arial"/>
                <w:color w:val="000000"/>
                <w:highlight w:val="none"/>
              </w:rPr>
            </w:pPr>
            <w:r>
              <w:rPr>
                <w:rFonts w:ascii="Arial"/>
                <w:color w:val="000000"/>
                <w:highlight w:val="none"/>
              </w:rPr>
            </w:r>
            <w:r/>
          </w:p>
        </w:tc>
        <w:tc>
          <w:tcPr>
            <w:tcW w:w="1132" w:type="dxa"/>
            <w:vAlign w:val="center"/>
            <w:textDirection w:val="lrTb"/>
            <w:noWrap w:val="false"/>
          </w:tcPr>
          <w:p>
            <w:pPr>
              <w:pStyle w:val="1288"/>
              <w:jc w:val="center"/>
              <w:rPr>
                <w:rFonts w:ascii="Arial"/>
                <w:color w:val="000000"/>
                <w:highlight w:val="none"/>
              </w:rPr>
            </w:pPr>
            <w:r>
              <w:rPr>
                <w:rFonts w:ascii="Arial"/>
                <w:color w:val="000000"/>
                <w:highlight w:val="none"/>
              </w:rPr>
            </w:r>
            <w:r/>
          </w:p>
        </w:tc>
        <w:tc>
          <w:tcPr>
            <w:tcW w:w="1130" w:type="dxa"/>
            <w:vAlign w:val="top"/>
            <w:textDirection w:val="lrTb"/>
            <w:noWrap w:val="false"/>
          </w:tcPr>
          <w:p>
            <w:pPr>
              <w:pStyle w:val="1288"/>
              <w:rPr>
                <w:rFonts w:ascii="Arial"/>
                <w:color w:val="000000"/>
                <w:highlight w:val="none"/>
              </w:rPr>
            </w:pPr>
            <w:r>
              <w:rPr>
                <w:rFonts w:ascii="Arial"/>
                <w:color w:val="000000"/>
                <w:highlight w:val="none"/>
              </w:rPr>
            </w:r>
            <w:r/>
          </w:p>
        </w:tc>
        <w:tc>
          <w:tcPr>
            <w:tcW w:w="4257" w:type="dxa"/>
            <w:vAlign w:val="top"/>
            <w:textDirection w:val="lrTb"/>
            <w:noWrap w:val="false"/>
          </w:tcPr>
          <w:p>
            <w:pPr>
              <w:pStyle w:val="1288"/>
              <w:rPr>
                <w:rFonts w:ascii="Arial"/>
                <w:color w:val="000000"/>
                <w:highlight w:val="none"/>
              </w:rPr>
            </w:pPr>
            <w:r>
              <w:rPr>
                <w:rFonts w:ascii="Arial"/>
                <w:color w:val="000000"/>
                <w:highlight w:val="none"/>
              </w:rPr>
            </w:r>
            <w:r/>
          </w:p>
        </w:tc>
      </w:tr>
      <w:tr>
        <w:trPr>
          <w:trHeight w:val="476"/>
        </w:trPr>
        <w:tc>
          <w:tcPr>
            <w:tcW w:w="1880" w:type="dxa"/>
            <w:vAlign w:val="top"/>
            <w:vMerge w:val="continue"/>
            <w:textDirection w:val="lrTb"/>
            <w:noWrap w:val="false"/>
          </w:tcPr>
          <w:p>
            <w:pPr>
              <w:pStyle w:val="1288"/>
              <w:rPr>
                <w:rFonts w:ascii="Arial"/>
                <w:color w:val="000000"/>
                <w:highlight w:val="none"/>
              </w:rPr>
            </w:pPr>
            <w:r>
              <w:rPr>
                <w:rFonts w:ascii="Arial"/>
                <w:color w:val="000000"/>
                <w:highlight w:val="none"/>
              </w:rPr>
            </w:r>
            <w:r/>
          </w:p>
        </w:tc>
        <w:tc>
          <w:tcPr>
            <w:tcW w:w="1415" w:type="dxa"/>
            <w:vAlign w:val="center"/>
            <w:textDirection w:val="lrTb"/>
            <w:noWrap w:val="false"/>
          </w:tcPr>
          <w:p>
            <w:pPr>
              <w:pStyle w:val="1288"/>
              <w:jc w:val="center"/>
              <w:rPr>
                <w:rFonts w:ascii="Arial"/>
                <w:color w:val="000000"/>
                <w:highlight w:val="none"/>
              </w:rPr>
            </w:pPr>
            <w:r>
              <w:rPr>
                <w:rFonts w:ascii="Arial"/>
                <w:color w:val="000000"/>
                <w:highlight w:val="none"/>
              </w:rPr>
            </w:r>
            <w:r/>
          </w:p>
        </w:tc>
        <w:tc>
          <w:tcPr>
            <w:tcW w:w="1132" w:type="dxa"/>
            <w:vAlign w:val="center"/>
            <w:textDirection w:val="lrTb"/>
            <w:noWrap w:val="false"/>
          </w:tcPr>
          <w:p>
            <w:pPr>
              <w:pStyle w:val="1288"/>
              <w:jc w:val="center"/>
              <w:rPr>
                <w:rFonts w:ascii="Arial"/>
                <w:color w:val="000000"/>
                <w:highlight w:val="none"/>
              </w:rPr>
            </w:pPr>
            <w:r>
              <w:rPr>
                <w:rFonts w:ascii="Arial"/>
                <w:color w:val="000000"/>
                <w:highlight w:val="none"/>
              </w:rPr>
            </w:r>
            <w:r/>
          </w:p>
        </w:tc>
        <w:tc>
          <w:tcPr>
            <w:tcW w:w="1130" w:type="dxa"/>
            <w:vAlign w:val="top"/>
            <w:textDirection w:val="lrTb"/>
            <w:noWrap w:val="false"/>
          </w:tcPr>
          <w:p>
            <w:pPr>
              <w:pStyle w:val="1288"/>
              <w:rPr>
                <w:rFonts w:ascii="Arial"/>
                <w:color w:val="000000"/>
                <w:highlight w:val="none"/>
              </w:rPr>
            </w:pPr>
            <w:r>
              <w:rPr>
                <w:rFonts w:ascii="Arial"/>
                <w:color w:val="000000"/>
                <w:highlight w:val="none"/>
              </w:rPr>
            </w:r>
            <w:r/>
          </w:p>
        </w:tc>
        <w:tc>
          <w:tcPr>
            <w:tcW w:w="4257" w:type="dxa"/>
            <w:vAlign w:val="top"/>
            <w:textDirection w:val="lrTb"/>
            <w:noWrap w:val="false"/>
          </w:tcPr>
          <w:p>
            <w:pPr>
              <w:pStyle w:val="1288"/>
              <w:rPr>
                <w:rFonts w:ascii="Arial"/>
                <w:color w:val="000000"/>
                <w:highlight w:val="none"/>
              </w:rPr>
            </w:pPr>
            <w:r>
              <w:rPr>
                <w:rFonts w:ascii="Arial"/>
                <w:color w:val="000000"/>
                <w:highlight w:val="none"/>
              </w:rPr>
            </w:r>
            <w:r/>
          </w:p>
        </w:tc>
      </w:tr>
      <w:tr>
        <w:trPr>
          <w:trHeight w:val="492"/>
        </w:trPr>
        <w:tc>
          <w:tcPr>
            <w:tcW w:w="1880" w:type="dxa"/>
            <w:vAlign w:val="top"/>
            <w:vMerge w:val="continue"/>
            <w:textDirection w:val="lrTb"/>
            <w:noWrap w:val="false"/>
          </w:tcPr>
          <w:p>
            <w:pPr>
              <w:pStyle w:val="1288"/>
              <w:rPr>
                <w:rFonts w:ascii="Arial"/>
                <w:color w:val="000000"/>
                <w:highlight w:val="none"/>
              </w:rPr>
            </w:pPr>
            <w:r>
              <w:rPr>
                <w:rFonts w:ascii="Arial"/>
                <w:color w:val="000000"/>
                <w:highlight w:val="none"/>
              </w:rPr>
            </w:r>
            <w:r/>
          </w:p>
        </w:tc>
        <w:tc>
          <w:tcPr>
            <w:tcW w:w="1415" w:type="dxa"/>
            <w:vAlign w:val="top"/>
            <w:textDirection w:val="lrTb"/>
            <w:noWrap w:val="false"/>
          </w:tcPr>
          <w:p>
            <w:pPr>
              <w:pStyle w:val="1288"/>
              <w:rPr>
                <w:rFonts w:ascii="Arial"/>
                <w:color w:val="000000"/>
                <w:highlight w:val="none"/>
              </w:rPr>
            </w:pPr>
            <w:r>
              <w:rPr>
                <w:rFonts w:ascii="Arial"/>
                <w:color w:val="000000"/>
                <w:highlight w:val="none"/>
              </w:rPr>
            </w:r>
            <w:r/>
          </w:p>
        </w:tc>
        <w:tc>
          <w:tcPr>
            <w:tcW w:w="1132" w:type="dxa"/>
            <w:vAlign w:val="top"/>
            <w:textDirection w:val="lrTb"/>
            <w:noWrap w:val="false"/>
          </w:tcPr>
          <w:p>
            <w:pPr>
              <w:pStyle w:val="1288"/>
              <w:rPr>
                <w:rFonts w:ascii="Arial"/>
                <w:color w:val="000000"/>
                <w:highlight w:val="none"/>
              </w:rPr>
            </w:pPr>
            <w:r>
              <w:rPr>
                <w:rFonts w:ascii="Arial"/>
                <w:color w:val="000000"/>
                <w:highlight w:val="none"/>
              </w:rPr>
            </w:r>
            <w:r/>
          </w:p>
        </w:tc>
        <w:tc>
          <w:tcPr>
            <w:tcW w:w="1130" w:type="dxa"/>
            <w:vAlign w:val="top"/>
            <w:textDirection w:val="lrTb"/>
            <w:noWrap w:val="false"/>
          </w:tcPr>
          <w:p>
            <w:pPr>
              <w:pStyle w:val="1288"/>
              <w:rPr>
                <w:rFonts w:ascii="Arial"/>
                <w:color w:val="000000"/>
                <w:highlight w:val="none"/>
              </w:rPr>
            </w:pPr>
            <w:r>
              <w:rPr>
                <w:rFonts w:ascii="Arial"/>
                <w:color w:val="000000"/>
                <w:highlight w:val="none"/>
              </w:rPr>
            </w:r>
            <w:r/>
          </w:p>
        </w:tc>
        <w:tc>
          <w:tcPr>
            <w:tcW w:w="4257" w:type="dxa"/>
            <w:vAlign w:val="top"/>
            <w:textDirection w:val="lrTb"/>
            <w:noWrap w:val="false"/>
          </w:tcPr>
          <w:p>
            <w:pPr>
              <w:pStyle w:val="1288"/>
              <w:rPr>
                <w:rFonts w:ascii="Arial"/>
                <w:color w:val="000000"/>
                <w:highlight w:val="none"/>
              </w:rPr>
            </w:pPr>
            <w:r>
              <w:rPr>
                <w:rFonts w:ascii="Arial"/>
                <w:color w:val="000000"/>
                <w:highlight w:val="none"/>
              </w:rPr>
            </w:r>
            <w:r/>
          </w:p>
        </w:tc>
      </w:tr>
    </w:tbl>
    <w:p>
      <w:pPr>
        <w:pStyle w:val="1288"/>
        <w:rPr>
          <w:color w:val="000000"/>
          <w:highlight w:val="none"/>
        </w:rPr>
        <w:sectPr>
          <w:footerReference w:type="default" r:id="rId23"/>
          <w:footnotePr/>
          <w:endnotePr/>
          <w:type w:val="nextPage"/>
          <w:pgSz w:w="11907" w:h="16839" w:orient="portrait"/>
          <w:pgMar w:top="400" w:right="1032" w:bottom="1226" w:left="1034" w:header="850" w:footer="992" w:gutter="0"/>
          <w:cols w:num="1" w:sep="0" w:space="1701" w:equalWidth="1"/>
          <w:docGrid w:linePitch="360"/>
        </w:sectPr>
      </w:pPr>
      <w:r>
        <w:rPr>
          <w:color w:val="000000"/>
          <w:highlight w:val="none"/>
        </w:rPr>
      </w:r>
      <w:r/>
    </w:p>
    <w:p>
      <w:pPr>
        <w:pStyle w:val="1299"/>
        <w:spacing w:line="269" w:lineRule="auto"/>
        <w:tabs>
          <w:tab w:val="left" w:pos="567" w:leader="none"/>
        </w:tabs>
        <w:rPr>
          <w:color w:val="000000"/>
          <w:highlight w:val="none"/>
        </w:rPr>
      </w:pPr>
      <w:r>
        <w:rPr>
          <w:color w:val="000000"/>
          <w:highlight w:val="none"/>
        </w:rPr>
      </w:r>
      <w:r/>
    </w:p>
    <w:p>
      <w:pPr>
        <w:pStyle w:val="1288"/>
        <w:ind w:left="39"/>
        <w:spacing w:before="68" w:line="234" w:lineRule="auto"/>
        <w:rPr>
          <w:rFonts w:ascii="宋体" w:hAnsi="宋体" w:cs="宋体"/>
          <w:color w:val="000000"/>
          <w:szCs w:val="21"/>
          <w:highlight w:val="none"/>
        </w:rPr>
      </w:pPr>
      <w:r>
        <w:rPr>
          <w:rFonts w:ascii="宋体" w:hAnsi="宋体" w:cs="宋体"/>
          <w:color w:val="000000"/>
          <w:spacing w:val="-5"/>
          <w:szCs w:val="21"/>
          <w:highlight w:val="none"/>
        </w:rPr>
        <w:t xml:space="preserve">附件</w:t>
      </w:r>
      <w:r>
        <w:rPr>
          <w:rFonts w:hint="eastAsia" w:ascii="宋体" w:hAnsi="宋体" w:cs="宋体"/>
          <w:color w:val="000000"/>
          <w:spacing w:val="-5"/>
          <w:szCs w:val="21"/>
          <w:highlight w:val="none"/>
        </w:rPr>
        <w:t xml:space="preserve">3</w:t>
      </w:r>
      <w:r>
        <w:rPr>
          <w:rFonts w:hint="eastAsia" w:ascii="宋体" w:hAnsi="宋体" w:cs="宋体"/>
          <w:color w:val="000000"/>
          <w:spacing w:val="-37"/>
          <w:szCs w:val="21"/>
          <w:highlight w:val="none"/>
        </w:rPr>
        <w:t xml:space="preserve">：</w:t>
      </w:r>
      <w:r>
        <w:rPr>
          <w:rFonts w:ascii="宋体" w:hAnsi="宋体" w:cs="宋体"/>
          <w:color w:val="000000"/>
          <w:szCs w:val="21"/>
          <w:highlight w:val="none"/>
        </w:rPr>
      </w:r>
      <w:r/>
    </w:p>
    <w:p>
      <w:pPr>
        <w:pStyle w:val="1288"/>
        <w:jc w:val="left"/>
        <w:spacing w:line="43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p>
      <w:pPr>
        <w:pStyle w:val="1288"/>
        <w:jc w:val="center"/>
        <w:spacing w:line="500" w:lineRule="exact"/>
        <w:widowControl/>
        <w:rPr>
          <w:rFonts w:hint="eastAsia" w:ascii="方正小标宋简体" w:hAnsi="方正小标宋简体" w:eastAsia="方正小标宋简体" w:cs="方正小标宋简体"/>
          <w:color w:val="000000"/>
          <w:sz w:val="44"/>
          <w:szCs w:val="44"/>
          <w:highlight w:val="none"/>
        </w:rPr>
      </w:pPr>
      <w:r>
        <w:rPr>
          <w:rFonts w:hint="eastAsia" w:ascii="方正小标宋简体" w:hAnsi="方正小标宋简体" w:eastAsia="方正小标宋简体" w:cs="方正小标宋简体"/>
          <w:color w:val="000000"/>
          <w:sz w:val="44"/>
          <w:szCs w:val="44"/>
          <w:highlight w:val="none"/>
        </w:rPr>
        <w:t xml:space="preserve">施工安全协议书</w:t>
      </w:r>
      <w:r>
        <w:rPr>
          <w:rFonts w:hint="eastAsia" w:ascii="方正小标宋简体" w:hAnsi="方正小标宋简体" w:eastAsia="方正小标宋简体" w:cs="方正小标宋简体"/>
          <w:color w:val="000000"/>
          <w:sz w:val="44"/>
          <w:szCs w:val="44"/>
          <w:highlight w:val="none"/>
        </w:rPr>
      </w:r>
      <w:r/>
    </w:p>
    <w:p>
      <w:pPr>
        <w:pStyle w:val="1350"/>
        <w:spacing w:line="500" w:lineRule="exact"/>
        <w:rPr>
          <w:color w:val="000000"/>
          <w:sz w:val="32"/>
          <w:szCs w:val="32"/>
          <w:highlight w:val="none"/>
        </w:rPr>
      </w:pPr>
      <w:r>
        <w:rPr>
          <w:color w:val="000000"/>
          <w:sz w:val="32"/>
          <w:szCs w:val="32"/>
          <w:highlight w:val="none"/>
        </w:rPr>
      </w:r>
      <w:r/>
    </w:p>
    <w:p>
      <w:pPr>
        <w:pStyle w:val="1288"/>
        <w:spacing w:line="500" w:lineRule="exact"/>
        <w:widowControl/>
        <w:rPr>
          <w:rFonts w:hint="eastAsia" w:ascii="宋体" w:hAnsi="宋体" w:cs="宋体"/>
          <w:color w:val="000000"/>
          <w:szCs w:val="21"/>
          <w:highlight w:val="none"/>
          <w:u w:val="single"/>
        </w:rPr>
      </w:pPr>
      <w:r>
        <w:rPr>
          <w:rFonts w:hint="eastAsia" w:ascii="宋体" w:hAnsi="宋体" w:cs="宋体"/>
          <w:color w:val="000000"/>
          <w:szCs w:val="21"/>
          <w:highlight w:val="none"/>
        </w:rPr>
        <w:t xml:space="preserve">建设方：（</w:t>
      </w:r>
      <w:r>
        <w:rPr>
          <w:rFonts w:hint="eastAsia" w:ascii="宋体" w:hAnsi="宋体" w:cs="宋体"/>
          <w:color w:val="000000"/>
          <w:szCs w:val="21"/>
          <w:highlight w:val="none"/>
        </w:rPr>
        <w:t xml:space="preserve">以下简称甲方）</w:t>
      </w:r>
      <w:r>
        <w:rPr>
          <w:rFonts w:hint="eastAsia" w:ascii="宋体" w:hAnsi="宋体" w:cs="宋体"/>
          <w:color w:val="000000"/>
          <w:szCs w:val="21"/>
          <w:highlight w:val="none"/>
          <w:u w:val="single"/>
        </w:rPr>
        <w:t xml:space="preserve"> 常州市公园管理中心               </w:t>
      </w:r>
      <w:r>
        <w:rPr>
          <w:rFonts w:hint="eastAsia" w:ascii="宋体" w:hAnsi="宋体" w:cs="宋体"/>
          <w:color w:val="000000"/>
          <w:szCs w:val="21"/>
          <w:highlight w:val="none"/>
          <w:u w:val="single"/>
        </w:rPr>
      </w:r>
      <w:r/>
    </w:p>
    <w:p>
      <w:pPr>
        <w:pStyle w:val="1288"/>
        <w:spacing w:line="500" w:lineRule="exact"/>
        <w:widowControl/>
        <w:rPr>
          <w:rFonts w:hint="eastAsia" w:ascii="宋体" w:hAnsi="宋体" w:cs="宋体"/>
          <w:color w:val="000000"/>
          <w:szCs w:val="21"/>
          <w:highlight w:val="none"/>
          <w:u w:val="single"/>
          <w:shd w:val="clear" w:color="auto" w:fill="ffffff"/>
        </w:rPr>
      </w:pPr>
      <w:r>
        <w:rPr>
          <w:rFonts w:hint="eastAsia" w:ascii="宋体" w:hAnsi="宋体" w:cs="宋体"/>
          <w:color w:val="000000"/>
          <w:szCs w:val="21"/>
          <w:highlight w:val="none"/>
        </w:rPr>
        <w:t xml:space="preserve">施工方：（</w:t>
      </w:r>
      <w:r>
        <w:rPr>
          <w:rFonts w:hint="eastAsia" w:ascii="宋体" w:hAnsi="宋体" w:cs="宋体"/>
          <w:color w:val="000000"/>
          <w:szCs w:val="21"/>
          <w:highlight w:val="none"/>
        </w:rPr>
        <w:t xml:space="preserve">以下简称乙方）</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shd w:val="clear" w:color="auto" w:fill="ffffff"/>
        </w:rPr>
      </w:r>
      <w:r/>
    </w:p>
    <w:p>
      <w:pPr>
        <w:pStyle w:val="1299"/>
        <w:spacing w:line="500" w:lineRule="exact"/>
        <w:tabs>
          <w:tab w:val="left" w:pos="567" w:leader="none"/>
        </w:tabs>
        <w:rPr>
          <w:rFonts w:hint="eastAsia" w:cs="宋体"/>
          <w:color w:val="000000"/>
          <w:sz w:val="21"/>
          <w:szCs w:val="21"/>
          <w:highlight w:val="none"/>
          <w:u w:val="single"/>
        </w:rPr>
      </w:pPr>
      <w:r>
        <w:rPr>
          <w:rFonts w:hint="eastAsia" w:cs="宋体"/>
          <w:color w:val="000000"/>
          <w:sz w:val="21"/>
          <w:szCs w:val="21"/>
          <w:highlight w:val="none"/>
        </w:rPr>
        <w:t xml:space="preserve">工程名称：</w:t>
      </w:r>
      <w:r>
        <w:rPr>
          <w:rFonts w:hint="eastAsia" w:cs="宋体"/>
          <w:color w:val="000000"/>
          <w:sz w:val="21"/>
          <w:szCs w:val="21"/>
          <w:highlight w:val="none"/>
          <w:u w:val="single"/>
        </w:rPr>
        <w:t xml:space="preserve">                </w:t>
      </w:r>
      <w:r>
        <w:rPr>
          <w:rFonts w:hint="eastAsia" w:cs="宋体"/>
          <w:color w:val="000000"/>
          <w:sz w:val="21"/>
          <w:szCs w:val="21"/>
          <w:highlight w:val="none"/>
          <w:u w:val="single"/>
        </w:rPr>
        <w:t xml:space="preserve">  </w:t>
      </w:r>
      <w:r>
        <w:rPr>
          <w:rFonts w:hint="eastAsia" w:cs="宋体"/>
          <w:color w:val="000000"/>
          <w:sz w:val="21"/>
          <w:szCs w:val="21"/>
          <w:highlight w:val="none"/>
        </w:rPr>
        <w:t xml:space="preserve">                                                              </w:t>
      </w:r>
      <w:r>
        <w:rPr>
          <w:rFonts w:hint="eastAsia" w:cs="宋体"/>
          <w:color w:val="000000"/>
          <w:sz w:val="21"/>
          <w:szCs w:val="21"/>
          <w:highlight w:val="none"/>
          <w:u w:val="single"/>
        </w:rPr>
      </w:r>
      <w:r/>
    </w:p>
    <w:p>
      <w:pPr>
        <w:pStyle w:val="1288"/>
        <w:ind w:firstLine="560"/>
        <w:jc w:val="left"/>
        <w:spacing w:line="50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为了切实加强施工现场安全生产管理，依照《中华人民共和国安全生产法》《中华人民共和国建筑法》《中华人民共和国民法典》以及《建设工程安全生产管理条例》和建设部《建筑与市政工程施工现场临时用电安全技术标准》（JGJ/T46-2024）《建筑施工安全检查标准》（JGJ59-2011），双方本着平等、自愿的原则，签订本协议书。甲方和乙方均严格遵守本协议书规定的权利、责任和义务，确保施工现场的安全生产和施工现场临时用电的安全。</w:t>
      </w:r>
      <w:r>
        <w:rPr>
          <w:rFonts w:hint="eastAsia" w:ascii="宋体" w:hAnsi="宋体" w:cs="宋体"/>
          <w:color w:val="000000"/>
          <w:szCs w:val="21"/>
          <w:highlight w:val="none"/>
        </w:rPr>
      </w:r>
      <w:r/>
    </w:p>
    <w:p>
      <w:pPr>
        <w:pStyle w:val="1288"/>
        <w:jc w:val="left"/>
        <w:spacing w:line="500" w:lineRule="exact"/>
        <w:widowControl/>
        <w:rPr>
          <w:rFonts w:hint="eastAsia" w:ascii="宋体" w:hAnsi="宋体" w:cs="宋体"/>
          <w:color w:val="000000"/>
          <w:szCs w:val="21"/>
          <w:highlight w:val="none"/>
        </w:rPr>
      </w:pPr>
      <w:r>
        <w:rPr>
          <w:rFonts w:hint="eastAsia" w:ascii="宋体" w:hAnsi="宋体" w:cs="宋体"/>
          <w:b/>
          <w:bCs/>
          <w:color w:val="000000"/>
          <w:szCs w:val="21"/>
          <w:highlight w:val="none"/>
        </w:rPr>
        <w:t xml:space="preserve">一、甲方的权利、责任和义务：</w:t>
      </w:r>
      <w:r>
        <w:rPr>
          <w:rFonts w:hint="eastAsia" w:ascii="宋体" w:hAnsi="宋体" w:cs="宋体"/>
          <w:color w:val="000000"/>
          <w:szCs w:val="21"/>
          <w:highlight w:val="none"/>
        </w:rPr>
      </w:r>
      <w:r/>
    </w:p>
    <w:p>
      <w:pPr>
        <w:pStyle w:val="1288"/>
        <w:jc w:val="left"/>
        <w:spacing w:line="50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贯彻落实国家有关施工现场安全生产、文明施工的法规和管理规定，对施工现场进行全面的安全生产管理和监督检查并对施工现场临时用电进行安全检查与指导。发现乙方在临时用电中存在隐患必须责成乙方以整改。并监督整改落实情况。</w:t>
      </w:r>
      <w:r>
        <w:rPr>
          <w:rFonts w:hint="eastAsia" w:ascii="宋体" w:hAnsi="宋体" w:cs="宋体"/>
          <w:color w:val="000000"/>
          <w:szCs w:val="21"/>
          <w:highlight w:val="none"/>
        </w:rPr>
      </w:r>
      <w:r/>
    </w:p>
    <w:p>
      <w:pPr>
        <w:pStyle w:val="1288"/>
        <w:jc w:val="left"/>
        <w:spacing w:line="50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2、对乙方施工区域进行安全生产和文明施工检查；及时纠正乙方施工人员违章指挥和违章作业行为，并按照有关规定予以查处。对乙方施工区域内的重大安全事故隐患，应开具隐患通知单。</w:t>
      </w:r>
      <w:r>
        <w:rPr>
          <w:rFonts w:hint="eastAsia" w:ascii="宋体" w:hAnsi="宋体" w:cs="宋体"/>
          <w:color w:val="000000"/>
          <w:szCs w:val="21"/>
          <w:highlight w:val="none"/>
        </w:rPr>
      </w:r>
      <w:r/>
    </w:p>
    <w:p>
      <w:pPr>
        <w:pStyle w:val="1288"/>
        <w:jc w:val="left"/>
        <w:spacing w:line="50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3、建立健全施工现场各项安全生产管理制度。</w:t>
      </w:r>
      <w:r>
        <w:rPr>
          <w:rFonts w:hint="eastAsia" w:ascii="宋体" w:hAnsi="宋体" w:cs="宋体"/>
          <w:color w:val="000000"/>
          <w:szCs w:val="21"/>
          <w:highlight w:val="none"/>
        </w:rPr>
      </w:r>
      <w:r/>
    </w:p>
    <w:p>
      <w:pPr>
        <w:pStyle w:val="1288"/>
        <w:jc w:val="left"/>
        <w:spacing w:line="50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4、对乙方的安全生产培训、劳动保护用品的使用和危险预知工作提出指导意见，并监督落实情况。</w:t>
      </w:r>
      <w:r>
        <w:rPr>
          <w:rFonts w:hint="eastAsia" w:ascii="宋体" w:hAnsi="宋体" w:cs="宋体"/>
          <w:color w:val="000000"/>
          <w:szCs w:val="21"/>
          <w:highlight w:val="none"/>
        </w:rPr>
      </w:r>
      <w:r/>
    </w:p>
    <w:p>
      <w:pPr>
        <w:pStyle w:val="1288"/>
        <w:jc w:val="left"/>
        <w:spacing w:line="50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5、对乙方提出的在甲方职责范围内的安全生产需求积极提供帮助。</w:t>
      </w:r>
      <w:r>
        <w:rPr>
          <w:rFonts w:hint="eastAsia" w:ascii="宋体" w:hAnsi="宋体" w:cs="宋体"/>
          <w:color w:val="000000"/>
          <w:szCs w:val="21"/>
          <w:highlight w:val="none"/>
        </w:rPr>
      </w:r>
      <w:r/>
    </w:p>
    <w:p>
      <w:pPr>
        <w:pStyle w:val="1288"/>
        <w:jc w:val="left"/>
        <w:spacing w:line="50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6、对乙方特种作业人员的名单、操作证复印件及培训记录进行存档备案。</w:t>
      </w:r>
      <w:r>
        <w:rPr>
          <w:rFonts w:hint="eastAsia" w:ascii="宋体" w:hAnsi="宋体" w:cs="宋体"/>
          <w:color w:val="000000"/>
          <w:szCs w:val="21"/>
          <w:highlight w:val="none"/>
        </w:rPr>
      </w:r>
      <w:r/>
    </w:p>
    <w:p>
      <w:pPr>
        <w:pStyle w:val="1288"/>
        <w:numPr>
          <w:ilvl w:val="0"/>
          <w:numId w:val="13"/>
        </w:numPr>
        <w:jc w:val="left"/>
        <w:spacing w:line="50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施工现场的安全监管由工程所在的属地公园负责。</w:t>
      </w:r>
      <w:r>
        <w:rPr>
          <w:rFonts w:hint="eastAsia" w:ascii="宋体" w:hAnsi="宋体" w:cs="宋体"/>
          <w:color w:val="000000"/>
          <w:szCs w:val="21"/>
          <w:highlight w:val="none"/>
        </w:rPr>
      </w:r>
      <w:r/>
    </w:p>
    <w:p>
      <w:pPr>
        <w:pStyle w:val="1288"/>
        <w:jc w:val="left"/>
        <w:spacing w:line="500" w:lineRule="exact"/>
        <w:widowControl/>
        <w:rPr>
          <w:rFonts w:hint="eastAsia" w:ascii="宋体" w:hAnsi="宋体" w:cs="宋体"/>
          <w:color w:val="000000"/>
          <w:szCs w:val="21"/>
          <w:highlight w:val="none"/>
        </w:rPr>
      </w:pPr>
      <w:r>
        <w:rPr>
          <w:rFonts w:hint="eastAsia" w:ascii="宋体" w:hAnsi="宋体" w:cs="宋体"/>
          <w:b/>
          <w:bCs/>
          <w:color w:val="000000"/>
          <w:szCs w:val="21"/>
          <w:highlight w:val="none"/>
        </w:rPr>
        <w:t xml:space="preserve">二、乙方的权利、责任和义务：</w:t>
      </w:r>
      <w:r>
        <w:rPr>
          <w:rFonts w:hint="eastAsia" w:ascii="宋体" w:hAnsi="宋体" w:cs="宋体"/>
          <w:color w:val="000000"/>
          <w:szCs w:val="21"/>
          <w:highlight w:val="none"/>
        </w:rPr>
      </w:r>
      <w:r/>
    </w:p>
    <w:p>
      <w:pPr>
        <w:pStyle w:val="1288"/>
        <w:jc w:val="left"/>
        <w:spacing w:line="50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遵守国家有关施工现场安全生产的法规和管理制度，建立健全安全生产责任制和安全生产管理制度。现场配备安全管理员。严格执行国家施工现场临时用电及机械设备使用有关技术规范和安全操作规程，对施工区域内自行管辖的临时用电负全面管理责任。</w:t>
      </w:r>
      <w:r>
        <w:rPr>
          <w:rFonts w:hint="eastAsia" w:ascii="宋体" w:hAnsi="宋体" w:cs="宋体"/>
          <w:color w:val="000000"/>
          <w:szCs w:val="21"/>
          <w:highlight w:val="none"/>
        </w:rPr>
      </w:r>
      <w:r/>
    </w:p>
    <w:p>
      <w:pPr>
        <w:pStyle w:val="1288"/>
        <w:jc w:val="left"/>
        <w:spacing w:line="50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2、服从甲方安全生产管理。 </w:t>
      </w:r>
      <w:r>
        <w:rPr>
          <w:rFonts w:hint="eastAsia" w:ascii="宋体" w:hAnsi="宋体" w:cs="宋体"/>
          <w:color w:val="000000"/>
          <w:szCs w:val="21"/>
          <w:highlight w:val="none"/>
        </w:rPr>
      </w:r>
      <w:r/>
    </w:p>
    <w:p>
      <w:pPr>
        <w:pStyle w:val="1288"/>
        <w:jc w:val="left"/>
        <w:spacing w:line="50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3、乙方必须为施工作业人员办理人身意外保险。</w:t>
      </w:r>
      <w:r>
        <w:rPr>
          <w:rFonts w:hint="eastAsia" w:ascii="宋体" w:hAnsi="宋体" w:cs="宋体"/>
          <w:color w:val="000000"/>
          <w:szCs w:val="21"/>
          <w:highlight w:val="none"/>
        </w:rPr>
      </w:r>
      <w:r/>
    </w:p>
    <w:p>
      <w:pPr>
        <w:pStyle w:val="1288"/>
        <w:jc w:val="left"/>
        <w:spacing w:line="50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4、因乙方原因引发安全生产事故，导致人员伤亡的，由乙方承担所有责任和经济损失。</w:t>
      </w:r>
      <w:r>
        <w:rPr>
          <w:rFonts w:hint="eastAsia" w:ascii="宋体" w:hAnsi="宋体" w:cs="宋体"/>
          <w:color w:val="000000"/>
          <w:szCs w:val="21"/>
          <w:highlight w:val="none"/>
        </w:rPr>
      </w:r>
      <w:r/>
    </w:p>
    <w:p>
      <w:pPr>
        <w:pStyle w:val="1288"/>
        <w:jc w:val="left"/>
        <w:spacing w:line="50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5、未经安全生产教育培训的人员和没有按国家规定持证上岗的无证人员，不得上岗作业。</w:t>
      </w:r>
      <w:r>
        <w:rPr>
          <w:rFonts w:hint="eastAsia" w:ascii="宋体" w:hAnsi="宋体" w:cs="宋体"/>
          <w:color w:val="000000"/>
          <w:szCs w:val="21"/>
          <w:highlight w:val="none"/>
        </w:rPr>
      </w:r>
      <w:r/>
    </w:p>
    <w:p>
      <w:pPr>
        <w:pStyle w:val="1350"/>
        <w:spacing w:line="50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6、现场施工涉及到焊接与热切割作业、有限空间作业，乙方应提前至甲方应急管理科办理相关审批手续；其他作业，乙方应提前到各公园办理审批手续。</w:t>
      </w:r>
      <w:r>
        <w:rPr>
          <w:rFonts w:hint="eastAsia" w:ascii="宋体" w:hAnsi="宋体" w:cs="宋体"/>
          <w:color w:val="000000"/>
          <w:sz w:val="21"/>
          <w:szCs w:val="21"/>
          <w:highlight w:val="none"/>
        </w:rPr>
      </w:r>
      <w:r/>
    </w:p>
    <w:p>
      <w:pPr>
        <w:pStyle w:val="1288"/>
        <w:jc w:val="left"/>
        <w:spacing w:line="500" w:lineRule="exact"/>
        <w:widowControl/>
        <w:rPr>
          <w:rFonts w:hint="eastAsia" w:ascii="宋体" w:hAnsi="宋体" w:cs="宋体"/>
          <w:color w:val="000000"/>
          <w:szCs w:val="21"/>
          <w:highlight w:val="none"/>
        </w:rPr>
      </w:pPr>
      <w:r>
        <w:rPr>
          <w:rFonts w:hint="eastAsia" w:ascii="宋体" w:hAnsi="宋体" w:cs="宋体"/>
          <w:b/>
          <w:color w:val="000000"/>
          <w:szCs w:val="21"/>
          <w:highlight w:val="none"/>
        </w:rPr>
        <w:t xml:space="preserve">三、甲乙双方驻工地代表</w:t>
      </w:r>
      <w:r>
        <w:rPr>
          <w:rFonts w:hint="eastAsia" w:ascii="宋体" w:hAnsi="宋体" w:cs="宋体"/>
          <w:color w:val="000000"/>
          <w:szCs w:val="21"/>
          <w:highlight w:val="none"/>
        </w:rPr>
      </w:r>
      <w:r/>
    </w:p>
    <w:p>
      <w:pPr>
        <w:pStyle w:val="1350"/>
        <w:spacing w:line="500" w:lineRule="exact"/>
        <w:rPr>
          <w:rFonts w:hint="eastAsia" w:ascii="宋体" w:hAnsi="宋体" w:cs="宋体"/>
          <w:color w:val="000000"/>
          <w:sz w:val="21"/>
          <w:szCs w:val="21"/>
          <w:highlight w:val="none"/>
          <w:u w:val="single"/>
        </w:rPr>
      </w:pPr>
      <w:r>
        <w:rPr>
          <w:rFonts w:hint="eastAsia" w:ascii="宋体" w:hAnsi="宋体" w:cs="宋体"/>
          <w:color w:val="000000"/>
          <w:sz w:val="21"/>
          <w:szCs w:val="21"/>
          <w:highlight w:val="none"/>
        </w:rPr>
        <w:t xml:space="preserve">甲方驻工地代表：</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u w:val="single"/>
          <w:lang w:val="en-US" w:eastAsia="zh-CN"/>
        </w:rPr>
        <w:t xml:space="preserve">          </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u w:val="single"/>
        </w:rPr>
      </w:r>
      <w:r/>
    </w:p>
    <w:p>
      <w:pPr>
        <w:pStyle w:val="1350"/>
        <w:spacing w:line="500" w:lineRule="exact"/>
        <w:rPr>
          <w:rFonts w:hint="eastAsia" w:ascii="宋体" w:hAnsi="宋体" w:cs="宋体"/>
          <w:color w:val="000000"/>
          <w:sz w:val="21"/>
          <w:szCs w:val="21"/>
          <w:highlight w:val="none"/>
          <w:u w:val="single"/>
        </w:rPr>
      </w:pPr>
      <w:r>
        <w:rPr>
          <w:rFonts w:hint="eastAsia" w:ascii="宋体" w:hAnsi="宋体" w:cs="宋体"/>
          <w:color w:val="000000"/>
          <w:sz w:val="21"/>
          <w:szCs w:val="21"/>
          <w:highlight w:val="none"/>
        </w:rPr>
        <w:t xml:space="preserve">乙方驻工地代表：</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u w:val="single"/>
        </w:rPr>
      </w:r>
      <w:r/>
    </w:p>
    <w:p>
      <w:pPr>
        <w:pStyle w:val="1288"/>
        <w:jc w:val="left"/>
        <w:spacing w:line="500" w:lineRule="exact"/>
        <w:widowControl/>
        <w:rPr>
          <w:rFonts w:hint="eastAsia" w:ascii="宋体" w:hAnsi="宋体" w:cs="宋体"/>
          <w:b/>
          <w:color w:val="000000"/>
          <w:szCs w:val="21"/>
          <w:highlight w:val="none"/>
        </w:rPr>
      </w:pPr>
      <w:r>
        <w:rPr>
          <w:rFonts w:hint="eastAsia" w:ascii="宋体" w:hAnsi="宋体" w:cs="宋体"/>
          <w:b/>
          <w:color w:val="000000"/>
          <w:szCs w:val="21"/>
          <w:highlight w:val="none"/>
        </w:rPr>
        <w:t xml:space="preserve">四、施工现场安全事项</w:t>
      </w:r>
      <w:r>
        <w:rPr>
          <w:rFonts w:hint="eastAsia" w:ascii="宋体" w:hAnsi="宋体" w:cs="宋体"/>
          <w:b/>
          <w:color w:val="000000"/>
          <w:szCs w:val="21"/>
          <w:highlight w:val="none"/>
        </w:rPr>
      </w:r>
      <w:r/>
    </w:p>
    <w:p>
      <w:pPr>
        <w:pStyle w:val="1288"/>
        <w:jc w:val="left"/>
        <w:spacing w:line="500" w:lineRule="exact"/>
        <w:widowControl/>
        <w:rPr>
          <w:rFonts w:hint="eastAsia" w:ascii="宋体" w:hAnsi="宋体" w:cs="宋体"/>
          <w:b/>
          <w:color w:val="000000"/>
          <w:szCs w:val="21"/>
          <w:highlight w:val="none"/>
        </w:rPr>
      </w:pPr>
      <w:r>
        <w:rPr>
          <w:rFonts w:hint="eastAsia" w:ascii="宋体" w:hAnsi="宋体" w:cs="宋体"/>
          <w:b/>
          <w:color w:val="000000"/>
          <w:szCs w:val="21"/>
          <w:highlight w:val="none"/>
        </w:rPr>
        <w:t xml:space="preserve">（1）安全用电事项</w:t>
      </w:r>
      <w:r>
        <w:rPr>
          <w:rFonts w:hint="eastAsia" w:ascii="宋体" w:hAnsi="宋体" w:cs="宋体"/>
          <w:b/>
          <w:color w:val="000000"/>
          <w:szCs w:val="21"/>
          <w:highlight w:val="none"/>
        </w:rPr>
      </w:r>
      <w:r/>
    </w:p>
    <w:p>
      <w:pPr>
        <w:pStyle w:val="1288"/>
        <w:jc w:val="left"/>
        <w:spacing w:line="50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1、乙方向甲方提供书面的临时用电申请。设备设施需要增容时，必须重新办理用电申请手续。</w:t>
      </w:r>
      <w:r>
        <w:rPr>
          <w:rFonts w:hint="eastAsia" w:ascii="宋体" w:hAnsi="宋体" w:cs="宋体"/>
          <w:color w:val="000000"/>
          <w:szCs w:val="21"/>
          <w:highlight w:val="none"/>
        </w:rPr>
      </w:r>
      <w:r/>
    </w:p>
    <w:p>
      <w:pPr>
        <w:pStyle w:val="1288"/>
        <w:jc w:val="left"/>
        <w:spacing w:line="50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乙方保证B级配电箱以下管辖区域内各种用电设备、设施完好，临时用电设施和器材必须使用正规厂家的合格产品，严禁使用假冒伪劣等不合格产品，加强维护保养工作，严禁各种机电设备带病运行。保证临时用电符合有关安全用电标准。</w:t>
      </w:r>
      <w:r>
        <w:rPr>
          <w:rFonts w:hint="eastAsia" w:ascii="宋体" w:hAnsi="宋体" w:cs="宋体"/>
          <w:color w:val="000000"/>
          <w:szCs w:val="21"/>
          <w:highlight w:val="none"/>
        </w:rPr>
      </w:r>
      <w:r/>
    </w:p>
    <w:p>
      <w:pPr>
        <w:pStyle w:val="1288"/>
        <w:jc w:val="left"/>
        <w:spacing w:line="50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3、执行临时用电安全技术交底制度，对施工区域内自行管辖的操作人员进行临时用电安全技术交底，避免违章指挥、违章操作和误操作，确保安全用电。</w:t>
      </w:r>
      <w:r>
        <w:rPr>
          <w:rFonts w:hint="eastAsia" w:ascii="宋体" w:hAnsi="宋体" w:cs="宋体"/>
          <w:color w:val="000000"/>
          <w:szCs w:val="21"/>
          <w:highlight w:val="none"/>
        </w:rPr>
      </w:r>
      <w:r/>
    </w:p>
    <w:p>
      <w:pPr>
        <w:pStyle w:val="1288"/>
        <w:jc w:val="left"/>
        <w:spacing w:line="50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4、甲方有权拒绝在不符合临时用电标准的电源上拉接电源。对甲方在安全检查中提出的关于临时用电方面存在的问题或隐患，乙方必须按要求认真落实整改。</w:t>
      </w:r>
      <w:r>
        <w:rPr>
          <w:rFonts w:hint="eastAsia" w:ascii="宋体" w:hAnsi="宋体" w:cs="宋体"/>
          <w:color w:val="000000"/>
          <w:szCs w:val="21"/>
          <w:highlight w:val="none"/>
        </w:rPr>
      </w:r>
      <w:r/>
    </w:p>
    <w:p>
      <w:pPr>
        <w:pStyle w:val="1288"/>
        <w:jc w:val="left"/>
        <w:spacing w:line="50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5、乙方对特种作业人员进行上岗前的职业技能、安全生产等方面的培训，未经安全生产教育培训及培训不合格和无证人员，不得上岗作业。特种作业人员必须依照有关规定持证上岗。向甲方提供特种作业人员花名册、操作证复印件和培训记录。</w:t>
      </w:r>
      <w:r>
        <w:rPr>
          <w:rFonts w:hint="eastAsia" w:ascii="宋体" w:hAnsi="宋体" w:cs="宋体"/>
          <w:color w:val="000000"/>
          <w:szCs w:val="21"/>
          <w:highlight w:val="none"/>
        </w:rPr>
      </w:r>
      <w:r/>
    </w:p>
    <w:p>
      <w:pPr>
        <w:pStyle w:val="1288"/>
        <w:jc w:val="left"/>
        <w:spacing w:line="500" w:lineRule="exact"/>
        <w:widowControl/>
        <w:rPr>
          <w:rFonts w:hint="eastAsia" w:ascii="宋体" w:hAnsi="宋体" w:cs="宋体"/>
          <w:b/>
          <w:color w:val="000000"/>
          <w:szCs w:val="21"/>
          <w:highlight w:val="none"/>
        </w:rPr>
      </w:pPr>
      <w:r>
        <w:rPr>
          <w:rFonts w:hint="eastAsia" w:ascii="宋体" w:hAnsi="宋体" w:cs="宋体"/>
          <w:b/>
          <w:color w:val="000000"/>
          <w:szCs w:val="21"/>
          <w:highlight w:val="none"/>
        </w:rPr>
        <w:t xml:space="preserve">（2）机电设备使用事项</w:t>
      </w:r>
      <w:r>
        <w:rPr>
          <w:rFonts w:hint="eastAsia" w:ascii="宋体" w:hAnsi="宋体" w:cs="宋体"/>
          <w:b/>
          <w:color w:val="000000"/>
          <w:szCs w:val="21"/>
          <w:highlight w:val="none"/>
        </w:rPr>
      </w:r>
      <w:r/>
    </w:p>
    <w:p>
      <w:pPr>
        <w:pStyle w:val="1288"/>
        <w:jc w:val="left"/>
        <w:spacing w:line="50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1、乙方应向甲方提供机械设备相关的技术文件和出厂说明书，必须提供具有专业资质的检测、检验单位出具的安全技术检测证明，否则，不得投入使用。</w:t>
      </w:r>
      <w:r>
        <w:rPr>
          <w:rFonts w:hint="eastAsia" w:ascii="宋体" w:hAnsi="宋体" w:cs="宋体"/>
          <w:color w:val="000000"/>
          <w:szCs w:val="21"/>
          <w:highlight w:val="none"/>
        </w:rPr>
      </w:r>
      <w:r/>
    </w:p>
    <w:p>
      <w:pPr>
        <w:pStyle w:val="1288"/>
        <w:jc w:val="left"/>
        <w:spacing w:line="50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2、起重机械设备等特种设备的安装和拆卸必须由有资格的单位和专业人员进行，并应有专人定期进行维修和保养，对达不到安全要求又不能修复的设备，必须立即停用，撤离施工现场。</w:t>
      </w:r>
      <w:r>
        <w:rPr>
          <w:rFonts w:hint="eastAsia" w:ascii="宋体" w:hAnsi="宋体" w:cs="宋体"/>
          <w:color w:val="000000"/>
          <w:szCs w:val="21"/>
          <w:highlight w:val="none"/>
        </w:rPr>
      </w:r>
      <w:r/>
    </w:p>
    <w:p>
      <w:pPr>
        <w:pStyle w:val="1288"/>
        <w:jc w:val="left"/>
        <w:spacing w:line="500" w:lineRule="exact"/>
        <w:widowControl/>
        <w:rPr>
          <w:rFonts w:hint="eastAsia" w:ascii="宋体" w:hAnsi="宋体" w:cs="宋体"/>
          <w:b/>
          <w:color w:val="000000"/>
          <w:szCs w:val="21"/>
          <w:highlight w:val="none"/>
        </w:rPr>
      </w:pPr>
      <w:r>
        <w:rPr>
          <w:rFonts w:hint="eastAsia" w:ascii="宋体" w:hAnsi="宋体" w:cs="宋体"/>
          <w:b/>
          <w:color w:val="000000"/>
          <w:szCs w:val="21"/>
          <w:highlight w:val="none"/>
        </w:rPr>
        <w:t xml:space="preserve">（3）人员安全注意事项</w:t>
      </w:r>
      <w:r>
        <w:rPr>
          <w:rFonts w:hint="eastAsia" w:ascii="宋体" w:hAnsi="宋体" w:cs="宋体"/>
          <w:b/>
          <w:color w:val="000000"/>
          <w:szCs w:val="21"/>
          <w:highlight w:val="none"/>
        </w:rPr>
      </w:r>
      <w:r/>
    </w:p>
    <w:p>
      <w:pPr>
        <w:pStyle w:val="1288"/>
        <w:jc w:val="left"/>
        <w:spacing w:line="50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参加施工作业的一切人员，必须遵守安全生产纪律，必须佩戴工作证（卡）并戴好安全帽进入施工现场，在作业中严格遵守本安全技术操作规程的有关规定，安全上岗，不违章作业，不擅离工作岗位，不乱串工作岗位，严禁酒后作业，并按规定穿衣着鞋，正确使用、保管个人安全防护用品。</w:t>
      </w:r>
      <w:r>
        <w:rPr>
          <w:rFonts w:hint="eastAsia" w:ascii="宋体" w:hAnsi="宋体" w:cs="宋体"/>
          <w:color w:val="000000"/>
          <w:szCs w:val="21"/>
          <w:highlight w:val="none"/>
        </w:rPr>
      </w:r>
      <w:r/>
    </w:p>
    <w:p>
      <w:pPr>
        <w:pStyle w:val="1288"/>
        <w:jc w:val="left"/>
        <w:spacing w:line="50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2、必须按规定使用安全带，安全带必须高挂低用，挂设点必须安全、可靠。</w:t>
      </w:r>
      <w:r>
        <w:rPr>
          <w:rFonts w:hint="eastAsia" w:ascii="宋体" w:hAnsi="宋体" w:cs="宋体"/>
          <w:color w:val="000000"/>
          <w:szCs w:val="21"/>
          <w:highlight w:val="none"/>
        </w:rPr>
      </w:r>
      <w:r/>
    </w:p>
    <w:p>
      <w:pPr>
        <w:pStyle w:val="1288"/>
        <w:jc w:val="left"/>
        <w:spacing w:line="500" w:lineRule="exact"/>
        <w:widowControl/>
        <w:rPr>
          <w:rFonts w:hint="eastAsia" w:ascii="宋体" w:hAnsi="宋体" w:cs="宋体"/>
          <w:color w:val="000000"/>
          <w:szCs w:val="21"/>
          <w:highlight w:val="none"/>
        </w:rPr>
      </w:pPr>
      <w:r>
        <w:rPr>
          <w:rFonts w:hint="eastAsia" w:ascii="宋体" w:hAnsi="宋体" w:cs="宋体"/>
          <w:b/>
          <w:bCs/>
          <w:color w:val="000000"/>
          <w:szCs w:val="21"/>
          <w:highlight w:val="none"/>
        </w:rPr>
        <w:t xml:space="preserve">五、乙方违反安全管理规定处罚办法</w:t>
      </w:r>
      <w:r>
        <w:rPr>
          <w:rFonts w:hint="eastAsia" w:ascii="宋体" w:hAnsi="宋体" w:cs="宋体"/>
          <w:color w:val="000000"/>
          <w:szCs w:val="21"/>
          <w:highlight w:val="none"/>
        </w:rPr>
      </w:r>
      <w:r/>
    </w:p>
    <w:p>
      <w:pPr>
        <w:pStyle w:val="1288"/>
        <w:ind w:left="105"/>
        <w:jc w:val="left"/>
        <w:spacing w:line="500" w:lineRule="exact"/>
        <w:widowControl/>
        <w:rPr>
          <w:rFonts w:hint="eastAsia" w:ascii="宋体" w:hAnsi="宋体" w:cs="宋体"/>
          <w:b/>
          <w:color w:val="000000"/>
          <w:szCs w:val="21"/>
          <w:highlight w:val="none"/>
        </w:rPr>
      </w:pPr>
      <w:r>
        <w:rPr>
          <w:rFonts w:hint="eastAsia" w:ascii="宋体" w:hAnsi="宋体" w:cs="宋体"/>
          <w:b/>
          <w:color w:val="000000"/>
          <w:szCs w:val="21"/>
          <w:highlight w:val="none"/>
        </w:rPr>
        <w:t xml:space="preserve">1、对严重违规操作规程或现场存在重大安全隐患，未造成损失和影响的，</w:t>
      </w:r>
      <w:bookmarkStart w:id="801" w:name="OLE_LINK3"/>
      <w:r>
        <w:rPr>
          <w:rFonts w:hint="eastAsia" w:ascii="宋体" w:hAnsi="宋体" w:cs="宋体"/>
          <w:b/>
          <w:color w:val="000000"/>
          <w:szCs w:val="21"/>
          <w:highlight w:val="none"/>
        </w:rPr>
        <w:t xml:space="preserve">甲方有权对乙方</w:t>
      </w:r>
      <w:bookmarkEnd w:id="801"/>
      <w:r>
        <w:rPr>
          <w:rFonts w:hint="eastAsia" w:ascii="宋体" w:hAnsi="宋体" w:cs="宋体"/>
          <w:b/>
          <w:color w:val="000000"/>
          <w:szCs w:val="21"/>
          <w:highlight w:val="none"/>
        </w:rPr>
        <w:t xml:space="preserve">处以罚款1000元/人/次，造成损失或影响的，乙方除承担所造成的全部经济损失及责任外，处以罚款5000元/人/次～10000元/人/次。</w:t>
      </w:r>
      <w:r>
        <w:rPr>
          <w:rFonts w:hint="eastAsia" w:ascii="宋体" w:hAnsi="宋体" w:cs="宋体"/>
          <w:b/>
          <w:color w:val="000000"/>
          <w:szCs w:val="21"/>
          <w:highlight w:val="none"/>
        </w:rPr>
      </w:r>
      <w:r/>
    </w:p>
    <w:p>
      <w:pPr>
        <w:pStyle w:val="1288"/>
        <w:jc w:val="left"/>
        <w:spacing w:line="500" w:lineRule="exact"/>
        <w:widowControl/>
        <w:rPr>
          <w:rFonts w:hint="eastAsia" w:ascii="宋体" w:hAnsi="宋体" w:cs="宋体"/>
          <w:b/>
          <w:color w:val="000000"/>
          <w:szCs w:val="21"/>
          <w:highlight w:val="none"/>
        </w:rPr>
      </w:pPr>
      <w:r>
        <w:rPr>
          <w:rFonts w:hint="eastAsia" w:ascii="宋体" w:hAnsi="宋体" w:cs="宋体"/>
          <w:b/>
          <w:color w:val="000000"/>
          <w:szCs w:val="21"/>
          <w:highlight w:val="none"/>
        </w:rPr>
        <w:t xml:space="preserve">2、乙方作业人员进入施工现场必须佩戴安全帽，未佩戴安全帽进入现场的，甲方有权对乙方罚款100元/人/次；乙方项目负责人监督不力的，甲方有权对乙方罚款500元/人/次。</w:t>
      </w:r>
      <w:r>
        <w:rPr>
          <w:rFonts w:hint="eastAsia" w:ascii="宋体" w:hAnsi="宋体" w:cs="宋体"/>
          <w:b/>
          <w:color w:val="000000"/>
          <w:szCs w:val="21"/>
          <w:highlight w:val="none"/>
        </w:rPr>
      </w:r>
      <w:r/>
    </w:p>
    <w:p>
      <w:pPr>
        <w:pStyle w:val="1288"/>
        <w:ind w:left="105"/>
        <w:jc w:val="left"/>
        <w:spacing w:line="500" w:lineRule="exact"/>
        <w:widowControl/>
        <w:rPr>
          <w:rFonts w:hint="eastAsia" w:ascii="宋体" w:hAnsi="宋体" w:cs="宋体"/>
          <w:b/>
          <w:color w:val="000000"/>
          <w:szCs w:val="21"/>
          <w:highlight w:val="none"/>
        </w:rPr>
      </w:pPr>
      <w:r>
        <w:rPr>
          <w:rFonts w:hint="eastAsia" w:ascii="宋体" w:hAnsi="宋体" w:cs="宋体"/>
          <w:b/>
          <w:color w:val="000000"/>
          <w:szCs w:val="21"/>
          <w:highlight w:val="none"/>
        </w:rPr>
        <w:t xml:space="preserve">3、乙方施工人员不得酒后作业，如若违反立即停工，甲方有权对乙方罚款300元/人/次。</w:t>
      </w:r>
      <w:r>
        <w:rPr>
          <w:rFonts w:hint="eastAsia" w:ascii="宋体" w:hAnsi="宋体" w:cs="宋体"/>
          <w:b/>
          <w:color w:val="000000"/>
          <w:szCs w:val="21"/>
          <w:highlight w:val="none"/>
        </w:rPr>
      </w:r>
      <w:r/>
    </w:p>
    <w:p>
      <w:pPr>
        <w:pStyle w:val="1288"/>
        <w:ind w:left="105"/>
        <w:jc w:val="left"/>
        <w:spacing w:line="500" w:lineRule="exact"/>
        <w:widowControl/>
        <w:rPr>
          <w:rFonts w:hint="eastAsia" w:ascii="宋体" w:hAnsi="宋体" w:cs="宋体"/>
          <w:b/>
          <w:color w:val="000000"/>
          <w:szCs w:val="21"/>
          <w:highlight w:val="none"/>
        </w:rPr>
      </w:pPr>
      <w:r>
        <w:rPr>
          <w:rFonts w:hint="eastAsia" w:ascii="宋体" w:hAnsi="宋体" w:cs="宋体"/>
          <w:b/>
          <w:color w:val="000000"/>
          <w:szCs w:val="21"/>
          <w:highlight w:val="none"/>
        </w:rPr>
        <w:t xml:space="preserve">4、乙方高空作业不按规定正确佩戴安全防护用具的，甲方有权对乙方罚款500元/人/次；乙方项目负责人监督不力的，甲方有权对乙方罚款1000元/人/次。</w:t>
      </w:r>
      <w:r>
        <w:rPr>
          <w:rFonts w:hint="eastAsia" w:ascii="宋体" w:hAnsi="宋体" w:cs="宋体"/>
          <w:b/>
          <w:color w:val="000000"/>
          <w:szCs w:val="21"/>
          <w:highlight w:val="none"/>
        </w:rPr>
      </w:r>
      <w:r/>
    </w:p>
    <w:p>
      <w:pPr>
        <w:pStyle w:val="1288"/>
        <w:ind w:left="105"/>
        <w:jc w:val="left"/>
        <w:spacing w:line="500" w:lineRule="exact"/>
        <w:widowControl/>
        <w:rPr>
          <w:rFonts w:hint="eastAsia" w:ascii="宋体" w:hAnsi="宋体" w:cs="宋体"/>
          <w:b/>
          <w:color w:val="000000"/>
          <w:szCs w:val="21"/>
          <w:highlight w:val="none"/>
        </w:rPr>
      </w:pPr>
      <w:r>
        <w:rPr>
          <w:rFonts w:hint="eastAsia" w:ascii="宋体" w:hAnsi="宋体" w:cs="宋体"/>
          <w:b/>
          <w:color w:val="000000"/>
          <w:szCs w:val="21"/>
          <w:highlight w:val="none"/>
        </w:rPr>
        <w:t xml:space="preserve">5、乙方特种作业人员须持证上岗，人证合一，无证操作，甲方有权对乙方罚3000元/人/次，违规操作，罚款500元/人/次。</w:t>
      </w:r>
      <w:r>
        <w:rPr>
          <w:rFonts w:hint="eastAsia" w:ascii="宋体" w:hAnsi="宋体" w:cs="宋体"/>
          <w:b/>
          <w:color w:val="000000"/>
          <w:szCs w:val="21"/>
          <w:highlight w:val="none"/>
        </w:rPr>
      </w:r>
      <w:r/>
    </w:p>
    <w:p>
      <w:pPr>
        <w:pStyle w:val="1288"/>
        <w:ind w:left="105"/>
        <w:jc w:val="left"/>
        <w:spacing w:line="500" w:lineRule="exact"/>
        <w:widowControl/>
        <w:rPr>
          <w:rFonts w:hint="eastAsia" w:ascii="宋体" w:hAnsi="宋体" w:cs="宋体"/>
          <w:b/>
          <w:color w:val="000000"/>
          <w:szCs w:val="21"/>
          <w:highlight w:val="none"/>
        </w:rPr>
      </w:pPr>
      <w:r>
        <w:rPr>
          <w:rFonts w:hint="eastAsia" w:ascii="宋体" w:hAnsi="宋体" w:cs="宋体"/>
          <w:b/>
          <w:color w:val="000000"/>
          <w:szCs w:val="21"/>
          <w:highlight w:val="none"/>
        </w:rPr>
        <w:t xml:space="preserve">6、乙方施工现场严禁打架斗殴、聚众赌博，如若违反，甲方有权对乙方罚款300元/人/次。</w:t>
      </w:r>
      <w:r>
        <w:rPr>
          <w:rFonts w:hint="eastAsia" w:ascii="宋体" w:hAnsi="宋体" w:cs="宋体"/>
          <w:b/>
          <w:color w:val="000000"/>
          <w:szCs w:val="21"/>
          <w:highlight w:val="none"/>
        </w:rPr>
      </w:r>
      <w:r/>
    </w:p>
    <w:p>
      <w:pPr>
        <w:pStyle w:val="1288"/>
        <w:ind w:left="105"/>
        <w:jc w:val="left"/>
        <w:spacing w:line="500" w:lineRule="exact"/>
        <w:widowControl/>
        <w:rPr>
          <w:rFonts w:hint="eastAsia" w:ascii="宋体" w:hAnsi="宋体" w:cs="宋体"/>
          <w:b/>
          <w:color w:val="000000"/>
          <w:szCs w:val="21"/>
          <w:highlight w:val="none"/>
        </w:rPr>
      </w:pPr>
      <w:r>
        <w:rPr>
          <w:rFonts w:hint="eastAsia" w:ascii="宋体" w:hAnsi="宋体" w:cs="宋体"/>
          <w:b/>
          <w:color w:val="000000"/>
          <w:szCs w:val="21"/>
          <w:highlight w:val="none"/>
        </w:rPr>
        <w:t xml:space="preserve">7、施工现场必须按规定设置安全围挡，张贴“五牌一图”（即工程概况牌、管理人员名单及监督电话牌、消防保卫牌、安全生产牌、文明施工牌和</w:t>
      </w:r>
      <w:r>
        <w:rPr>
          <w:rFonts w:hint="eastAsia" w:ascii="宋体" w:hAnsi="宋体" w:cs="宋体"/>
          <w:b/>
          <w:color w:val="000000"/>
          <w:szCs w:val="21"/>
          <w:highlight w:val="none"/>
        </w:rPr>
        <w:fldChar w:fldCharType="begin"/>
      </w:r>
      <w:r>
        <w:rPr>
          <w:rFonts w:hint="eastAsia" w:ascii="宋体" w:hAnsi="宋体" w:cs="宋体"/>
          <w:b/>
          <w:color w:val="000000"/>
          <w:szCs w:val="21"/>
          <w:highlight w:val="none"/>
        </w:rPr>
        <w:instrText xml:space="preserve"> HYPERLINK "https://baike.baidu.com/item/%E6%96%BD%E5%B7%A5%E7%8E%B0%E5%9C%BA/2373699?fromModule=lemma_inlink" \t "https://baike.baidu.com/item/%E4%BA%94%E7%89%8C%E4%B8%80%E5%9B%BE/_blank" </w:instrText>
      </w:r>
      <w:r>
        <w:rPr>
          <w:rFonts w:hint="eastAsia" w:ascii="宋体" w:hAnsi="宋体" w:cs="宋体"/>
          <w:b/>
          <w:color w:val="000000"/>
          <w:szCs w:val="21"/>
          <w:highlight w:val="none"/>
        </w:rPr>
        <w:fldChar w:fldCharType="separate"/>
      </w:r>
      <w:r>
        <w:rPr>
          <w:rFonts w:hint="eastAsia" w:ascii="宋体" w:hAnsi="宋体" w:cs="宋体"/>
          <w:b/>
          <w:color w:val="000000"/>
          <w:szCs w:val="21"/>
          <w:highlight w:val="none"/>
        </w:rPr>
        <w:t xml:space="preserve">施工现场</w:t>
      </w:r>
      <w:r>
        <w:rPr>
          <w:rFonts w:hint="eastAsia" w:ascii="宋体" w:hAnsi="宋体" w:cs="宋体"/>
          <w:b/>
          <w:color w:val="000000"/>
          <w:szCs w:val="21"/>
          <w:highlight w:val="none"/>
        </w:rPr>
        <w:fldChar w:fldCharType="end"/>
      </w:r>
      <w:r>
        <w:rPr>
          <w:rFonts w:hint="eastAsia" w:ascii="宋体" w:hAnsi="宋体" w:cs="宋体"/>
          <w:b/>
          <w:color w:val="000000"/>
          <w:szCs w:val="21"/>
          <w:highlight w:val="none"/>
        </w:rPr>
        <w:t xml:space="preserve">总平面图），达不到要求的甲方有权要求乙方停工整改，且乙方应承担工期延误的全部责任。</w:t>
      </w:r>
      <w:r>
        <w:rPr>
          <w:rFonts w:hint="eastAsia" w:ascii="宋体" w:hAnsi="宋体" w:cs="宋体"/>
          <w:b/>
          <w:color w:val="000000"/>
          <w:szCs w:val="21"/>
          <w:highlight w:val="none"/>
        </w:rPr>
      </w:r>
      <w:r/>
    </w:p>
    <w:p>
      <w:pPr>
        <w:pStyle w:val="1288"/>
        <w:ind w:left="105"/>
        <w:jc w:val="left"/>
        <w:spacing w:line="500" w:lineRule="exact"/>
        <w:widowControl/>
        <w:rPr>
          <w:rFonts w:hint="eastAsia" w:ascii="宋体" w:hAnsi="宋体" w:cs="宋体"/>
          <w:b/>
          <w:color w:val="000000"/>
          <w:szCs w:val="21"/>
          <w:highlight w:val="none"/>
        </w:rPr>
      </w:pPr>
      <w:r>
        <w:rPr>
          <w:rFonts w:hint="eastAsia" w:ascii="宋体" w:hAnsi="宋体" w:cs="宋体"/>
          <w:b/>
          <w:color w:val="000000"/>
          <w:szCs w:val="21"/>
          <w:highlight w:val="none"/>
        </w:rPr>
        <w:t xml:space="preserve">8、乙方人员进入施工工地后，吸烟必须在指定的吸烟区，不得在非吸烟区吸烟或乱丢烟头，如有违反，甲方有权对乙方罚款200元/人/次;如果因乙方过失造成的火灾，乙方承担造成的全部经济损失及责任，甲方有权对乙方处以10000元/人/次以上罚款。</w:t>
      </w:r>
      <w:r>
        <w:rPr>
          <w:rFonts w:hint="eastAsia" w:ascii="宋体" w:hAnsi="宋体" w:cs="宋体"/>
          <w:b/>
          <w:color w:val="000000"/>
          <w:szCs w:val="21"/>
          <w:highlight w:val="none"/>
        </w:rPr>
      </w:r>
      <w:r/>
    </w:p>
    <w:p>
      <w:pPr>
        <w:pStyle w:val="1288"/>
        <w:ind w:left="105"/>
        <w:jc w:val="left"/>
        <w:spacing w:line="500" w:lineRule="exact"/>
        <w:widowControl/>
        <w:rPr>
          <w:rFonts w:hint="eastAsia" w:ascii="宋体" w:hAnsi="宋体" w:cs="宋体"/>
          <w:b/>
          <w:color w:val="000000"/>
          <w:szCs w:val="21"/>
          <w:highlight w:val="none"/>
        </w:rPr>
      </w:pPr>
      <w:r>
        <w:rPr>
          <w:rFonts w:hint="eastAsia" w:ascii="宋体" w:hAnsi="宋体" w:cs="宋体"/>
          <w:b/>
          <w:color w:val="000000"/>
          <w:szCs w:val="21"/>
          <w:highlight w:val="none"/>
        </w:rPr>
        <w:t xml:space="preserve">9、施工现场临时用电须按规定进行申请，甲方批准后，由专职电工进行接电，严禁私拉乱接，违规用电，如有发生甲方有权对乙方罚款500元/人/次。</w:t>
      </w:r>
      <w:r>
        <w:rPr>
          <w:rFonts w:hint="eastAsia" w:ascii="宋体" w:hAnsi="宋体" w:cs="宋体"/>
          <w:b/>
          <w:color w:val="000000"/>
          <w:szCs w:val="21"/>
          <w:highlight w:val="none"/>
        </w:rPr>
      </w:r>
      <w:r/>
    </w:p>
    <w:p>
      <w:pPr>
        <w:pStyle w:val="1288"/>
        <w:ind w:left="105"/>
        <w:jc w:val="left"/>
        <w:spacing w:line="500" w:lineRule="exact"/>
        <w:widowControl/>
        <w:rPr>
          <w:rFonts w:hint="eastAsia" w:ascii="宋体" w:hAnsi="宋体" w:cs="宋体"/>
          <w:b/>
          <w:color w:val="000000"/>
          <w:szCs w:val="21"/>
          <w:highlight w:val="none"/>
        </w:rPr>
      </w:pPr>
      <w:r>
        <w:rPr>
          <w:rFonts w:hint="eastAsia" w:ascii="宋体" w:hAnsi="宋体" w:cs="宋体"/>
          <w:b/>
          <w:color w:val="000000"/>
          <w:szCs w:val="21"/>
          <w:highlight w:val="none"/>
        </w:rPr>
        <w:t xml:space="preserve">10、罚款发生后，在项目保证金或下一次拨付工程款时，甲方有权全额扣除。</w:t>
      </w:r>
      <w:r>
        <w:rPr>
          <w:rFonts w:hint="eastAsia" w:ascii="宋体" w:hAnsi="宋体" w:cs="宋体"/>
          <w:b/>
          <w:color w:val="000000"/>
          <w:szCs w:val="21"/>
          <w:highlight w:val="none"/>
        </w:rPr>
      </w:r>
      <w:r/>
    </w:p>
    <w:p>
      <w:pPr>
        <w:pStyle w:val="1288"/>
        <w:ind w:left="105"/>
        <w:jc w:val="left"/>
        <w:spacing w:line="500" w:lineRule="exact"/>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11、对于乙方存在严重违反安全管理规定</w:t>
      </w:r>
      <w:r>
        <w:rPr>
          <w:rFonts w:ascii="宋体" w:hAnsi="宋体" w:cs="宋体"/>
          <w:b/>
          <w:bCs/>
          <w:color w:val="000000"/>
          <w:szCs w:val="21"/>
          <w:highlight w:val="none"/>
          <w:u w:val="single"/>
        </w:rPr>
        <w:t xml:space="preserve">3</w:t>
      </w:r>
      <w:r>
        <w:rPr>
          <w:rFonts w:hint="eastAsia" w:ascii="宋体" w:hAnsi="宋体" w:cs="宋体"/>
          <w:b/>
          <w:bCs/>
          <w:color w:val="000000"/>
          <w:szCs w:val="21"/>
          <w:highlight w:val="none"/>
        </w:rPr>
        <w:t xml:space="preserve">次以上或者造成较大不良社会影响的情况，甲方有权立即解除与乙方的合作或合同关系，责令乙方退出施工现场。</w:t>
      </w:r>
      <w:r>
        <w:rPr>
          <w:rFonts w:hint="eastAsia" w:ascii="宋体" w:hAnsi="宋体" w:cs="宋体"/>
          <w:b/>
          <w:bCs/>
          <w:color w:val="000000"/>
          <w:szCs w:val="21"/>
          <w:highlight w:val="none"/>
        </w:rPr>
      </w:r>
      <w:r/>
    </w:p>
    <w:p>
      <w:pPr>
        <w:pStyle w:val="1288"/>
        <w:jc w:val="left"/>
        <w:spacing w:line="500" w:lineRule="exact"/>
        <w:widowControl/>
        <w:rPr>
          <w:rFonts w:hint="eastAsia" w:ascii="宋体" w:hAnsi="宋体" w:cs="宋体"/>
          <w:b/>
          <w:bCs/>
          <w:color w:val="000000"/>
          <w:szCs w:val="21"/>
          <w:highlight w:val="none"/>
        </w:rPr>
      </w:pPr>
      <w:r>
        <w:rPr>
          <w:rFonts w:hint="eastAsia" w:ascii="宋体" w:hAnsi="宋体" w:cs="宋体"/>
          <w:b/>
          <w:bCs/>
          <w:color w:val="000000"/>
          <w:szCs w:val="21"/>
          <w:highlight w:val="none"/>
          <w:lang w:bidi="ar"/>
        </w:rPr>
        <w:t xml:space="preserve">六、因本协议引起的或与本协议有关的任何争议，双方应协商解决，协商不成的，可将争议提交项目所在地人民法院解决。</w:t>
      </w:r>
      <w:r>
        <w:rPr>
          <w:rFonts w:hint="eastAsia" w:ascii="宋体" w:hAnsi="宋体" w:cs="宋体"/>
          <w:b/>
          <w:bCs/>
          <w:color w:val="000000"/>
          <w:szCs w:val="21"/>
          <w:highlight w:val="none"/>
        </w:rPr>
      </w:r>
      <w:r/>
    </w:p>
    <w:p>
      <w:pPr>
        <w:pStyle w:val="1288"/>
        <w:jc w:val="left"/>
        <w:spacing w:line="500" w:lineRule="exact"/>
        <w:widowControl/>
        <w:rPr>
          <w:rFonts w:hint="eastAsia" w:ascii="宋体" w:hAnsi="宋体" w:cs="宋体"/>
          <w:color w:val="000000"/>
          <w:szCs w:val="21"/>
          <w:highlight w:val="none"/>
        </w:rPr>
      </w:pPr>
      <w:r>
        <w:rPr>
          <w:rFonts w:hint="eastAsia" w:ascii="宋体" w:hAnsi="宋体" w:cs="宋体"/>
          <w:b/>
          <w:bCs/>
          <w:color w:val="000000"/>
          <w:szCs w:val="21"/>
          <w:highlight w:val="none"/>
        </w:rPr>
        <w:t xml:space="preserve">七、本协议与双方签订的施工合同时效相同。签订施工合同的同时，签订本协议。施工合同到期后，本协议同时终止。</w:t>
      </w:r>
      <w:r>
        <w:rPr>
          <w:rFonts w:hint="eastAsia" w:ascii="宋体" w:hAnsi="宋体" w:cs="宋体"/>
          <w:color w:val="000000"/>
          <w:szCs w:val="21"/>
          <w:highlight w:val="none"/>
        </w:rPr>
      </w:r>
      <w:r/>
    </w:p>
    <w:p>
      <w:pPr>
        <w:pStyle w:val="1288"/>
        <w:widowControl/>
        <w:rPr>
          <w:b/>
          <w:color w:val="000000"/>
          <w:sz w:val="36"/>
          <w:szCs w:val="36"/>
          <w:highlight w:val="none"/>
        </w:rPr>
        <w:outlineLvl w:val="0"/>
      </w:pPr>
      <w:r/>
      <w:bookmarkStart w:id="802" w:name="_Toc195013383"/>
      <w:r>
        <w:rPr>
          <w:b/>
          <w:color w:val="000000"/>
          <w:sz w:val="36"/>
          <w:szCs w:val="36"/>
          <w:highlight w:val="none"/>
        </w:rPr>
      </w:r>
      <w:r/>
    </w:p>
    <w:p>
      <w:pPr>
        <w:pStyle w:val="1288"/>
        <w:jc w:val="center"/>
        <w:widowControl/>
        <w:rPr>
          <w:b/>
          <w:color w:val="000000"/>
          <w:sz w:val="36"/>
          <w:szCs w:val="36"/>
          <w:highlight w:val="none"/>
        </w:rPr>
        <w:outlineLvl w:val="0"/>
      </w:pPr>
      <w:r>
        <w:rPr>
          <w:b/>
          <w:color w:val="000000"/>
          <w:sz w:val="36"/>
          <w:szCs w:val="36"/>
          <w:highlight w:val="none"/>
        </w:rPr>
      </w:r>
      <w:r/>
    </w:p>
    <w:p>
      <w:pPr>
        <w:pStyle w:val="1288"/>
        <w:spacing w:line="720" w:lineRule="auto"/>
        <w:rPr>
          <w:rFonts w:hint="eastAsia" w:ascii="宋体" w:hAnsi="宋体" w:cs="宋体"/>
          <w:color w:val="000000"/>
          <w:sz w:val="24"/>
          <w:highlight w:val="none"/>
        </w:rPr>
      </w:pPr>
      <w:r>
        <w:rPr>
          <w:rFonts w:hint="eastAsia" w:ascii="宋体" w:hAnsi="宋体" w:cs="宋体"/>
          <w:color w:val="000000"/>
          <w:sz w:val="24"/>
          <w:highlight w:val="none"/>
        </w:rPr>
        <w:t xml:space="preserve">甲  方：常州市公园管理中心              乙 方：</w:t>
      </w:r>
      <w:r>
        <w:rPr>
          <w:rFonts w:hint="eastAsia" w:ascii="宋体" w:hAnsi="宋体" w:cs="宋体"/>
          <w:color w:val="000000"/>
          <w:sz w:val="24"/>
          <w:highlight w:val="none"/>
        </w:rPr>
      </w:r>
      <w:r/>
    </w:p>
    <w:p>
      <w:pPr>
        <w:pStyle w:val="1288"/>
        <w:spacing w:line="720" w:lineRule="auto"/>
        <w:rPr>
          <w:rFonts w:hint="eastAsia" w:ascii="宋体" w:hAnsi="宋体" w:cs="宋体"/>
          <w:color w:val="000000"/>
          <w:sz w:val="24"/>
          <w:highlight w:val="none"/>
        </w:rPr>
      </w:pPr>
      <w:r>
        <w:rPr>
          <w:rFonts w:hint="eastAsia" w:ascii="宋体" w:hAnsi="宋体" w:cs="宋体"/>
          <w:color w:val="000000"/>
          <w:sz w:val="24"/>
          <w:highlight w:val="none"/>
        </w:rPr>
        <w:t xml:space="preserve">单位名称(章)：                          单位名称(章)： </w:t>
      </w:r>
      <w:r>
        <w:rPr>
          <w:rFonts w:hint="eastAsia" w:ascii="宋体" w:hAnsi="宋体" w:cs="宋体"/>
          <w:color w:val="000000"/>
          <w:sz w:val="24"/>
          <w:highlight w:val="none"/>
        </w:rPr>
      </w:r>
      <w:r/>
    </w:p>
    <w:p>
      <w:pPr>
        <w:pStyle w:val="1288"/>
        <w:spacing w:line="720" w:lineRule="auto"/>
        <w:rPr>
          <w:rFonts w:hint="eastAsia" w:ascii="宋体" w:hAnsi="宋体" w:cs="宋体"/>
          <w:color w:val="000000"/>
          <w:sz w:val="24"/>
          <w:highlight w:val="none"/>
        </w:rPr>
      </w:pPr>
      <w:r>
        <w:rPr>
          <w:rFonts w:hint="eastAsia" w:ascii="宋体" w:hAnsi="宋体" w:cs="宋体"/>
          <w:color w:val="000000"/>
          <w:sz w:val="24"/>
          <w:highlight w:val="none"/>
        </w:rPr>
        <w:t xml:space="preserve">日期：　     年   月   日               日期：　     年   月   日  </w:t>
      </w:r>
      <w:r>
        <w:rPr>
          <w:rFonts w:hint="eastAsia" w:ascii="宋体" w:hAnsi="宋体" w:cs="宋体"/>
          <w:color w:val="000000"/>
          <w:sz w:val="24"/>
          <w:highlight w:val="none"/>
        </w:rPr>
      </w:r>
      <w:r/>
    </w:p>
    <w:p>
      <w:pPr>
        <w:pStyle w:val="1288"/>
        <w:jc w:val="center"/>
        <w:widowControl/>
        <w:rPr>
          <w:b/>
          <w:color w:val="000000"/>
          <w:sz w:val="36"/>
          <w:szCs w:val="36"/>
          <w:highlight w:val="none"/>
        </w:rPr>
        <w:outlineLvl w:val="0"/>
      </w:pPr>
      <w:r>
        <w:rPr>
          <w:b/>
          <w:color w:val="000000"/>
          <w:sz w:val="36"/>
          <w:szCs w:val="36"/>
          <w:highlight w:val="none"/>
        </w:rPr>
      </w:r>
      <w:r/>
    </w:p>
    <w:p>
      <w:pPr>
        <w:pStyle w:val="1288"/>
        <w:jc w:val="center"/>
        <w:widowControl/>
        <w:rPr>
          <w:b/>
          <w:color w:val="000000"/>
          <w:sz w:val="36"/>
          <w:szCs w:val="36"/>
          <w:highlight w:val="none"/>
        </w:rPr>
        <w:outlineLvl w:val="0"/>
      </w:pPr>
      <w:r>
        <w:rPr>
          <w:b/>
          <w:color w:val="000000"/>
          <w:sz w:val="36"/>
          <w:szCs w:val="36"/>
          <w:highlight w:val="none"/>
        </w:rPr>
      </w:r>
      <w:r/>
    </w:p>
    <w:p>
      <w:pPr>
        <w:pStyle w:val="1288"/>
        <w:jc w:val="center"/>
        <w:widowControl/>
        <w:rPr>
          <w:b/>
          <w:color w:val="000000"/>
          <w:sz w:val="36"/>
          <w:szCs w:val="36"/>
          <w:highlight w:val="none"/>
        </w:rPr>
        <w:outlineLvl w:val="0"/>
      </w:pPr>
      <w:r>
        <w:rPr>
          <w:b/>
          <w:color w:val="000000"/>
          <w:sz w:val="36"/>
          <w:szCs w:val="36"/>
          <w:highlight w:val="none"/>
        </w:rPr>
      </w:r>
      <w:r/>
    </w:p>
    <w:p>
      <w:pPr>
        <w:pStyle w:val="1288"/>
        <w:jc w:val="center"/>
        <w:widowControl/>
        <w:rPr>
          <w:b/>
          <w:color w:val="000000"/>
          <w:sz w:val="36"/>
          <w:szCs w:val="36"/>
          <w:highlight w:val="none"/>
        </w:rPr>
        <w:outlineLvl w:val="0"/>
      </w:pPr>
      <w:r>
        <w:rPr>
          <w:b/>
          <w:color w:val="000000"/>
          <w:sz w:val="36"/>
          <w:szCs w:val="36"/>
          <w:highlight w:val="none"/>
        </w:rPr>
      </w:r>
      <w:r/>
    </w:p>
    <w:p>
      <w:pPr>
        <w:pStyle w:val="1288"/>
        <w:jc w:val="center"/>
        <w:widowControl/>
        <w:rPr>
          <w:b/>
          <w:color w:val="000000"/>
          <w:sz w:val="36"/>
          <w:szCs w:val="36"/>
          <w:highlight w:val="none"/>
        </w:rPr>
        <w:outlineLvl w:val="0"/>
      </w:pPr>
      <w:r>
        <w:rPr>
          <w:b/>
          <w:color w:val="000000"/>
          <w:sz w:val="36"/>
          <w:szCs w:val="36"/>
          <w:highlight w:val="none"/>
        </w:rPr>
      </w:r>
      <w:r/>
    </w:p>
    <w:p>
      <w:pPr>
        <w:pStyle w:val="1288"/>
        <w:jc w:val="center"/>
        <w:widowControl/>
        <w:rPr>
          <w:b/>
          <w:color w:val="000000"/>
          <w:sz w:val="36"/>
          <w:szCs w:val="36"/>
          <w:highlight w:val="none"/>
        </w:rPr>
        <w:outlineLvl w:val="0"/>
      </w:pPr>
      <w:r>
        <w:rPr>
          <w:b/>
          <w:color w:val="000000"/>
          <w:sz w:val="36"/>
          <w:szCs w:val="36"/>
          <w:highlight w:val="none"/>
        </w:rPr>
      </w:r>
      <w:r/>
    </w:p>
    <w:p>
      <w:pPr>
        <w:pStyle w:val="1288"/>
        <w:jc w:val="center"/>
        <w:widowControl/>
        <w:rPr>
          <w:b/>
          <w:color w:val="000000"/>
          <w:sz w:val="36"/>
          <w:szCs w:val="36"/>
          <w:highlight w:val="none"/>
        </w:rPr>
        <w:outlineLvl w:val="0"/>
      </w:pPr>
      <w:r>
        <w:rPr>
          <w:b/>
          <w:color w:val="000000"/>
          <w:sz w:val="36"/>
          <w:szCs w:val="36"/>
          <w:highlight w:val="none"/>
        </w:rPr>
      </w:r>
      <w:r/>
    </w:p>
    <w:p>
      <w:pPr>
        <w:pStyle w:val="1288"/>
        <w:jc w:val="center"/>
        <w:widowControl/>
        <w:rPr>
          <w:b/>
          <w:color w:val="000000"/>
          <w:sz w:val="36"/>
          <w:szCs w:val="36"/>
          <w:highlight w:val="none"/>
        </w:rPr>
        <w:outlineLvl w:val="0"/>
      </w:pPr>
      <w:r>
        <w:rPr>
          <w:b/>
          <w:color w:val="000000"/>
          <w:sz w:val="36"/>
          <w:szCs w:val="36"/>
          <w:highlight w:val="none"/>
        </w:rPr>
      </w:r>
      <w:r/>
    </w:p>
    <w:p>
      <w:pPr>
        <w:pStyle w:val="1288"/>
        <w:jc w:val="center"/>
        <w:widowControl/>
        <w:rPr>
          <w:b/>
          <w:color w:val="000000"/>
          <w:sz w:val="36"/>
          <w:szCs w:val="36"/>
          <w:highlight w:val="none"/>
        </w:rPr>
        <w:outlineLvl w:val="0"/>
      </w:pPr>
      <w:r>
        <w:rPr>
          <w:b/>
          <w:color w:val="000000"/>
          <w:sz w:val="36"/>
          <w:szCs w:val="36"/>
          <w:highlight w:val="none"/>
        </w:rPr>
      </w:r>
      <w:r/>
    </w:p>
    <w:p>
      <w:pPr>
        <w:pStyle w:val="1288"/>
        <w:jc w:val="center"/>
        <w:widowControl/>
        <w:rPr>
          <w:b/>
          <w:color w:val="000000"/>
          <w:sz w:val="36"/>
          <w:szCs w:val="36"/>
          <w:highlight w:val="none"/>
        </w:rPr>
        <w:outlineLvl w:val="0"/>
      </w:pPr>
      <w:r>
        <w:rPr>
          <w:b/>
          <w:color w:val="000000"/>
          <w:sz w:val="36"/>
          <w:szCs w:val="36"/>
          <w:highlight w:val="none"/>
        </w:rPr>
      </w:r>
      <w:r/>
    </w:p>
    <w:p>
      <w:pPr>
        <w:pStyle w:val="1288"/>
        <w:jc w:val="center"/>
        <w:widowControl/>
        <w:rPr>
          <w:b/>
          <w:color w:val="000000"/>
          <w:sz w:val="36"/>
          <w:szCs w:val="36"/>
          <w:highlight w:val="none"/>
        </w:rPr>
        <w:outlineLvl w:val="0"/>
      </w:pPr>
      <w:r>
        <w:rPr>
          <w:b/>
          <w:color w:val="000000"/>
          <w:sz w:val="36"/>
          <w:szCs w:val="36"/>
          <w:highlight w:val="none"/>
        </w:rPr>
      </w:r>
      <w:r/>
    </w:p>
    <w:p>
      <w:pPr>
        <w:pStyle w:val="1288"/>
        <w:jc w:val="center"/>
        <w:widowControl/>
        <w:rPr>
          <w:b/>
          <w:color w:val="000000"/>
          <w:sz w:val="36"/>
          <w:szCs w:val="36"/>
          <w:highlight w:val="none"/>
        </w:rPr>
        <w:outlineLvl w:val="0"/>
      </w:pPr>
      <w:r>
        <w:rPr>
          <w:b/>
          <w:color w:val="000000"/>
          <w:sz w:val="36"/>
          <w:szCs w:val="36"/>
          <w:highlight w:val="none"/>
        </w:rPr>
      </w:r>
      <w:r/>
    </w:p>
    <w:p>
      <w:pPr>
        <w:pStyle w:val="1288"/>
        <w:jc w:val="center"/>
        <w:widowControl/>
        <w:rPr>
          <w:b/>
          <w:color w:val="000000"/>
          <w:sz w:val="36"/>
          <w:szCs w:val="36"/>
          <w:highlight w:val="none"/>
        </w:rPr>
        <w:outlineLvl w:val="0"/>
      </w:pPr>
      <w:r>
        <w:rPr>
          <w:b/>
          <w:color w:val="000000"/>
          <w:sz w:val="36"/>
          <w:szCs w:val="36"/>
          <w:highlight w:val="none"/>
        </w:rPr>
      </w:r>
      <w:r/>
    </w:p>
    <w:p>
      <w:pPr>
        <w:pStyle w:val="1288"/>
        <w:jc w:val="center"/>
        <w:widowControl/>
        <w:rPr>
          <w:b/>
          <w:color w:val="000000"/>
          <w:sz w:val="36"/>
          <w:szCs w:val="36"/>
          <w:highlight w:val="none"/>
        </w:rPr>
        <w:outlineLvl w:val="0"/>
      </w:pPr>
      <w:r>
        <w:rPr>
          <w:b/>
          <w:color w:val="000000"/>
          <w:sz w:val="36"/>
          <w:szCs w:val="36"/>
          <w:highlight w:val="none"/>
        </w:rPr>
      </w:r>
      <w:r/>
    </w:p>
    <w:p>
      <w:pPr>
        <w:pStyle w:val="1288"/>
        <w:jc w:val="center"/>
        <w:widowControl/>
        <w:rPr>
          <w:b/>
          <w:color w:val="000000"/>
          <w:sz w:val="36"/>
          <w:szCs w:val="36"/>
          <w:highlight w:val="none"/>
        </w:rPr>
        <w:outlineLvl w:val="0"/>
      </w:pPr>
      <w:r>
        <w:rPr>
          <w:b/>
          <w:color w:val="000000"/>
          <w:sz w:val="36"/>
          <w:szCs w:val="36"/>
          <w:highlight w:val="none"/>
        </w:rPr>
      </w:r>
      <w:r/>
    </w:p>
    <w:p>
      <w:pPr>
        <w:pStyle w:val="1288"/>
        <w:jc w:val="center"/>
        <w:widowControl/>
        <w:rPr>
          <w:b/>
          <w:color w:val="000000"/>
          <w:sz w:val="36"/>
          <w:szCs w:val="36"/>
          <w:highlight w:val="none"/>
        </w:rPr>
        <w:outlineLvl w:val="0"/>
      </w:pPr>
      <w:r>
        <w:rPr>
          <w:b/>
          <w:color w:val="000000"/>
          <w:sz w:val="36"/>
          <w:szCs w:val="36"/>
          <w:highlight w:val="none"/>
        </w:rPr>
      </w:r>
      <w:r/>
    </w:p>
    <w:p>
      <w:pPr>
        <w:pStyle w:val="1288"/>
        <w:jc w:val="center"/>
        <w:widowControl/>
        <w:rPr>
          <w:b/>
          <w:color w:val="000000"/>
          <w:sz w:val="36"/>
          <w:szCs w:val="36"/>
          <w:highlight w:val="none"/>
        </w:rPr>
        <w:outlineLvl w:val="0"/>
      </w:pPr>
      <w:r>
        <w:rPr>
          <w:b/>
          <w:color w:val="000000"/>
          <w:sz w:val="36"/>
          <w:szCs w:val="36"/>
          <w:highlight w:val="none"/>
        </w:rPr>
      </w:r>
      <w:r/>
    </w:p>
    <w:p>
      <w:pPr>
        <w:pStyle w:val="1288"/>
        <w:jc w:val="center"/>
        <w:widowControl/>
        <w:rPr>
          <w:b/>
          <w:color w:val="000000"/>
          <w:sz w:val="36"/>
          <w:szCs w:val="36"/>
          <w:highlight w:val="none"/>
        </w:rPr>
        <w:outlineLvl w:val="0"/>
      </w:pPr>
      <w:r>
        <w:rPr>
          <w:b/>
          <w:color w:val="000000"/>
          <w:sz w:val="36"/>
          <w:szCs w:val="36"/>
          <w:highlight w:val="none"/>
        </w:rPr>
      </w:r>
      <w:r/>
    </w:p>
    <w:p>
      <w:pPr>
        <w:pStyle w:val="1288"/>
        <w:jc w:val="center"/>
        <w:widowControl/>
        <w:rPr>
          <w:b/>
          <w:color w:val="000000"/>
          <w:sz w:val="36"/>
          <w:szCs w:val="36"/>
          <w:highlight w:val="none"/>
        </w:rPr>
        <w:outlineLvl w:val="0"/>
      </w:pPr>
      <w:r>
        <w:rPr>
          <w:b/>
          <w:color w:val="000000"/>
          <w:sz w:val="36"/>
          <w:szCs w:val="36"/>
          <w:highlight w:val="none"/>
        </w:rPr>
      </w:r>
      <w:r/>
    </w:p>
    <w:p>
      <w:pPr>
        <w:pStyle w:val="1288"/>
        <w:jc w:val="center"/>
        <w:widowControl/>
        <w:rPr>
          <w:b/>
          <w:color w:val="000000"/>
          <w:sz w:val="36"/>
          <w:szCs w:val="36"/>
          <w:highlight w:val="none"/>
        </w:rPr>
        <w:outlineLvl w:val="0"/>
      </w:pPr>
      <w:r>
        <w:rPr>
          <w:b/>
          <w:color w:val="000000"/>
          <w:sz w:val="36"/>
          <w:szCs w:val="36"/>
          <w:highlight w:val="none"/>
        </w:rPr>
      </w:r>
      <w:r/>
    </w:p>
    <w:p>
      <w:pPr>
        <w:pStyle w:val="1288"/>
        <w:jc w:val="center"/>
        <w:widowControl/>
        <w:rPr>
          <w:b/>
          <w:color w:val="000000"/>
          <w:sz w:val="36"/>
          <w:szCs w:val="36"/>
          <w:highlight w:val="none"/>
        </w:rPr>
        <w:outlineLvl w:val="0"/>
      </w:pPr>
      <w:r>
        <w:rPr>
          <w:b/>
          <w:color w:val="000000"/>
          <w:sz w:val="36"/>
          <w:szCs w:val="36"/>
          <w:highlight w:val="none"/>
        </w:rPr>
      </w:r>
      <w:r/>
    </w:p>
    <w:p>
      <w:pPr>
        <w:pStyle w:val="1288"/>
        <w:jc w:val="center"/>
        <w:widowControl/>
        <w:rPr>
          <w:b/>
          <w:color w:val="000000"/>
          <w:sz w:val="36"/>
          <w:szCs w:val="36"/>
          <w:highlight w:val="none"/>
        </w:rPr>
        <w:outlineLvl w:val="0"/>
      </w:pPr>
      <w:r>
        <w:rPr>
          <w:b/>
          <w:color w:val="000000"/>
          <w:sz w:val="36"/>
          <w:szCs w:val="36"/>
          <w:highlight w:val="none"/>
        </w:rPr>
        <w:t xml:space="preserve">第六章   响应文件格式</w:t>
      </w:r>
      <w:bookmarkEnd w:id="802"/>
      <w:r>
        <w:rPr>
          <w:b/>
          <w:color w:val="000000"/>
          <w:sz w:val="36"/>
          <w:szCs w:val="36"/>
          <w:highlight w:val="none"/>
        </w:rPr>
      </w:r>
      <w:r/>
    </w:p>
    <w:p>
      <w:pPr>
        <w:pStyle w:val="1288"/>
        <w:jc w:val="left"/>
        <w:spacing w:line="360" w:lineRule="auto"/>
        <w:widowControl/>
        <w:rPr>
          <w:b/>
          <w:color w:val="000000"/>
          <w:sz w:val="24"/>
          <w:highlight w:val="none"/>
        </w:rPr>
      </w:pPr>
      <w:r>
        <w:rPr>
          <w:b/>
          <w:color w:val="000000"/>
          <w:sz w:val="24"/>
          <w:highlight w:val="none"/>
        </w:rPr>
      </w:r>
      <w:r/>
    </w:p>
    <w:p>
      <w:pPr>
        <w:pStyle w:val="1288"/>
        <w:jc w:val="left"/>
        <w:spacing w:line="360" w:lineRule="auto"/>
        <w:widowControl/>
        <w:rPr>
          <w:b/>
          <w:color w:val="000000"/>
          <w:sz w:val="24"/>
          <w:highlight w:val="none"/>
        </w:rPr>
      </w:pPr>
      <w:r>
        <w:rPr>
          <w:b/>
          <w:color w:val="000000"/>
          <w:sz w:val="24"/>
          <w:highlight w:val="none"/>
        </w:rPr>
      </w:r>
      <w:r/>
    </w:p>
    <w:p>
      <w:pPr>
        <w:pStyle w:val="1288"/>
        <w:ind w:left="142"/>
        <w:spacing w:line="360" w:lineRule="auto"/>
        <w:tabs>
          <w:tab w:val="left" w:pos="900" w:leader="none"/>
          <w:tab w:val="left" w:pos="1980" w:leader="none"/>
        </w:tabs>
        <w:rPr>
          <w:color w:val="000000"/>
          <w:sz w:val="24"/>
          <w:highlight w:val="none"/>
        </w:rPr>
      </w:pPr>
      <w:r>
        <w:rPr>
          <w:b/>
          <w:color w:val="000000"/>
          <w:sz w:val="24"/>
          <w:highlight w:val="none"/>
        </w:rPr>
        <w:t xml:space="preserve">供应商编制文件须知</w:t>
      </w:r>
      <w:r>
        <w:rPr>
          <w:color w:val="000000"/>
          <w:sz w:val="24"/>
          <w:highlight w:val="none"/>
        </w:rPr>
      </w:r>
      <w:r/>
    </w:p>
    <w:p>
      <w:pPr>
        <w:pStyle w:val="1288"/>
        <w:ind w:left="142"/>
        <w:spacing w:line="360" w:lineRule="auto"/>
        <w:tabs>
          <w:tab w:val="left" w:pos="900" w:leader="none"/>
          <w:tab w:val="left" w:pos="1980" w:leader="none"/>
        </w:tabs>
        <w:rPr>
          <w:color w:val="000000"/>
          <w:sz w:val="24"/>
          <w:highlight w:val="none"/>
        </w:rPr>
      </w:pPr>
      <w:r>
        <w:rPr>
          <w:color w:val="000000"/>
          <w:sz w:val="24"/>
          <w:highlight w:val="none"/>
        </w:rPr>
        <w:t xml:space="preserve">1、供应商按照本部分的顺序编制响应文件，编制中涉及格式资料的，应按照本部分提供的内容和格式（所有表格的格式可扩展）填写提交。</w:t>
      </w:r>
      <w:r>
        <w:rPr>
          <w:color w:val="000000"/>
          <w:sz w:val="24"/>
          <w:highlight w:val="none"/>
        </w:rPr>
      </w:r>
      <w:r/>
    </w:p>
    <w:p>
      <w:pPr>
        <w:pStyle w:val="1288"/>
        <w:ind w:left="142"/>
        <w:spacing w:line="360" w:lineRule="auto"/>
        <w:tabs>
          <w:tab w:val="left" w:pos="900" w:leader="none"/>
          <w:tab w:val="left" w:pos="1980" w:leader="none"/>
        </w:tabs>
        <w:rPr>
          <w:color w:val="000000"/>
          <w:sz w:val="24"/>
          <w:highlight w:val="none"/>
        </w:rPr>
      </w:pPr>
      <w:r>
        <w:rPr>
          <w:color w:val="000000"/>
          <w:sz w:val="24"/>
          <w:highlight w:val="none"/>
        </w:rPr>
        <w:t xml:space="preserve">2、</w:t>
      </w:r>
      <w:r>
        <w:rPr>
          <w:color w:val="000000"/>
          <w:sz w:val="24"/>
          <w:highlight w:val="none"/>
        </w:rPr>
        <w:t xml:space="preserve">对于</w:t>
      </w:r>
      <w:r>
        <w:rPr>
          <w:rFonts w:hint="eastAsia"/>
          <w:color w:val="000000"/>
          <w:sz w:val="24"/>
          <w:highlight w:val="none"/>
        </w:rPr>
        <w:t xml:space="preserve">谈判</w:t>
      </w:r>
      <w:r>
        <w:rPr>
          <w:color w:val="000000"/>
          <w:sz w:val="24"/>
          <w:highlight w:val="none"/>
        </w:rPr>
        <w:t xml:space="preserve">文件中标记了“实质性格式”文件的，</w:t>
      </w:r>
      <w:r>
        <w:rPr>
          <w:color w:val="000000"/>
          <w:sz w:val="24"/>
          <w:highlight w:val="none"/>
        </w:rPr>
        <w:t xml:space="preserve">供应商不得改变格式中给定的文字所表达的含义，不得删减格式中的实质性内容，不得自行添加与格式中给定的文字内容相矛盾的内容，不得对应当填写的空格不填写或不实质性响应，</w:t>
      </w:r>
      <w:r>
        <w:rPr>
          <w:color w:val="000000"/>
          <w:sz w:val="24"/>
          <w:highlight w:val="none"/>
        </w:rPr>
        <w:t xml:space="preserve">否则</w:t>
      </w:r>
      <w:r>
        <w:rPr>
          <w:b/>
          <w:color w:val="000000"/>
          <w:sz w:val="24"/>
          <w:highlight w:val="none"/>
        </w:rPr>
        <w:t xml:space="preserve">响应无效</w:t>
      </w:r>
      <w:r>
        <w:rPr>
          <w:color w:val="000000"/>
          <w:sz w:val="24"/>
          <w:highlight w:val="none"/>
        </w:rPr>
        <w:t xml:space="preserve">。未标记“实质性格式”的文件和</w:t>
      </w:r>
      <w:r>
        <w:rPr>
          <w:rFonts w:hint="eastAsia"/>
          <w:color w:val="000000"/>
          <w:sz w:val="24"/>
          <w:highlight w:val="none"/>
        </w:rPr>
        <w:t xml:space="preserve">谈判</w:t>
      </w:r>
      <w:r>
        <w:rPr>
          <w:color w:val="000000"/>
          <w:sz w:val="24"/>
          <w:highlight w:val="none"/>
        </w:rPr>
        <w:t xml:space="preserve">文件未提供格式的内容，可由供应商自行编写。</w:t>
      </w:r>
      <w:r>
        <w:rPr>
          <w:color w:val="000000"/>
          <w:sz w:val="24"/>
          <w:highlight w:val="none"/>
        </w:rPr>
      </w:r>
      <w:r/>
    </w:p>
    <w:p>
      <w:pPr>
        <w:pStyle w:val="1288"/>
        <w:ind w:left="142"/>
        <w:spacing w:line="360" w:lineRule="auto"/>
        <w:tabs>
          <w:tab w:val="left" w:pos="900" w:leader="none"/>
          <w:tab w:val="left" w:pos="1980" w:leader="none"/>
        </w:tabs>
        <w:rPr>
          <w:rFonts w:hint="eastAsia"/>
          <w:color w:val="000000"/>
          <w:sz w:val="24"/>
          <w:highlight w:val="none"/>
        </w:rPr>
      </w:pPr>
      <w:r>
        <w:rPr>
          <w:color w:val="000000"/>
          <w:sz w:val="24"/>
          <w:highlight w:val="none"/>
        </w:rPr>
        <w:t xml:space="preserve">3、全部声明和问题的回答及所附材料必须是真实的、准确的和完整的。</w:t>
      </w:r>
      <w:r>
        <w:rPr>
          <w:rFonts w:hint="eastAsia"/>
          <w:color w:val="000000"/>
          <w:sz w:val="24"/>
          <w:highlight w:val="none"/>
        </w:rPr>
      </w:r>
      <w:r/>
    </w:p>
    <w:p>
      <w:pPr>
        <w:pStyle w:val="1288"/>
        <w:ind w:left="142"/>
        <w:spacing w:line="360" w:lineRule="auto"/>
        <w:tabs>
          <w:tab w:val="left" w:pos="900" w:leader="none"/>
          <w:tab w:val="left" w:pos="1980" w:leader="none"/>
        </w:tabs>
        <w:rPr>
          <w:color w:val="000000"/>
          <w:sz w:val="24"/>
          <w:highlight w:val="none"/>
        </w:rPr>
      </w:pPr>
      <w:r>
        <w:rPr>
          <w:rFonts w:hint="eastAsia"/>
          <w:color w:val="000000"/>
          <w:sz w:val="24"/>
          <w:highlight w:val="none"/>
        </w:rPr>
        <w:t xml:space="preserve">4、实行电子化不见面交易方式的，加盖公章、签名等均通过</w:t>
      </w:r>
      <w:r>
        <w:rPr>
          <w:color w:val="000000"/>
          <w:sz w:val="24"/>
          <w:highlight w:val="none"/>
        </w:rPr>
        <w:t xml:space="preserve">响应文件编制工具</w:t>
      </w:r>
      <w:r>
        <w:rPr>
          <w:rFonts w:hint="eastAsia"/>
          <w:color w:val="000000"/>
          <w:sz w:val="24"/>
          <w:highlight w:val="none"/>
        </w:rPr>
        <w:t xml:space="preserve">加盖电子公章、</w:t>
      </w:r>
      <w:r>
        <w:rPr>
          <w:rFonts w:ascii="宋体" w:hAnsi="宋体"/>
          <w:color w:val="000000"/>
          <w:sz w:val="24"/>
          <w:szCs w:val="20"/>
          <w:highlight w:val="none"/>
        </w:rPr>
        <w:t xml:space="preserve">签字</w:t>
      </w:r>
      <w:r>
        <w:rPr>
          <w:rFonts w:hint="eastAsia" w:ascii="宋体" w:hAnsi="宋体"/>
          <w:color w:val="000000"/>
          <w:sz w:val="24"/>
          <w:szCs w:val="20"/>
          <w:highlight w:val="none"/>
        </w:rPr>
        <w:t xml:space="preserve">、签章</w:t>
      </w:r>
      <w:r>
        <w:rPr>
          <w:rFonts w:ascii="宋体" w:hAnsi="宋体"/>
          <w:color w:val="000000"/>
          <w:sz w:val="24"/>
          <w:szCs w:val="20"/>
          <w:highlight w:val="none"/>
        </w:rPr>
        <w:t xml:space="preserve">或</w:t>
      </w:r>
      <w:r>
        <w:rPr>
          <w:rFonts w:hint="eastAsia" w:ascii="宋体" w:hAnsi="宋体"/>
          <w:color w:val="000000"/>
          <w:sz w:val="24"/>
          <w:szCs w:val="20"/>
          <w:highlight w:val="none"/>
        </w:rPr>
        <w:t xml:space="preserve">印鉴</w:t>
      </w:r>
      <w:r>
        <w:rPr>
          <w:rFonts w:hint="eastAsia"/>
          <w:color w:val="000000"/>
          <w:sz w:val="24"/>
          <w:highlight w:val="none"/>
        </w:rPr>
        <w:t xml:space="preserve">。</w:t>
      </w:r>
      <w:r>
        <w:rPr>
          <w:color w:val="000000"/>
          <w:sz w:val="24"/>
          <w:highlight w:val="none"/>
        </w:rPr>
      </w:r>
      <w:r/>
    </w:p>
    <w:p>
      <w:pPr>
        <w:pStyle w:val="1288"/>
        <w:ind w:left="142"/>
        <w:spacing w:line="360" w:lineRule="auto"/>
        <w:tabs>
          <w:tab w:val="left" w:pos="900" w:leader="none"/>
          <w:tab w:val="left" w:pos="1980" w:leader="none"/>
        </w:tabs>
        <w:rPr>
          <w:color w:val="000000"/>
          <w:sz w:val="24"/>
          <w:highlight w:val="none"/>
        </w:rPr>
      </w:pPr>
      <w:r>
        <w:rPr>
          <w:color w:val="000000"/>
          <w:sz w:val="24"/>
          <w:highlight w:val="none"/>
        </w:rPr>
      </w:r>
      <w:r/>
    </w:p>
    <w:p>
      <w:pPr>
        <w:pStyle w:val="1288"/>
        <w:jc w:val="left"/>
        <w:widowControl/>
        <w:rPr>
          <w:rFonts w:hint="eastAsia"/>
          <w:color w:val="000000"/>
          <w:sz w:val="24"/>
          <w:highlight w:val="none"/>
        </w:rPr>
      </w:pPr>
      <w:r>
        <w:rPr>
          <w:color w:val="000000"/>
          <w:sz w:val="24"/>
          <w:highlight w:val="none"/>
        </w:rPr>
        <w:br w:type="page" w:clear="all"/>
      </w:r>
      <w:bookmarkEnd w:id="769"/>
      <w:r/>
      <w:bookmarkEnd w:id="770"/>
      <w:r/>
      <w:bookmarkEnd w:id="771"/>
      <w:r/>
      <w:bookmarkEnd w:id="772"/>
      <w:r/>
      <w:bookmarkEnd w:id="773"/>
      <w:r/>
      <w:bookmarkEnd w:id="774"/>
      <w:r/>
      <w:bookmarkEnd w:id="775"/>
      <w:r/>
      <w:bookmarkEnd w:id="776"/>
      <w:r/>
      <w:bookmarkEnd w:id="777"/>
      <w:r/>
      <w:bookmarkEnd w:id="778"/>
      <w:r/>
      <w:bookmarkEnd w:id="779"/>
      <w:r/>
      <w:bookmarkEnd w:id="780"/>
      <w:r/>
      <w:bookmarkEnd w:id="781"/>
      <w:r/>
      <w:bookmarkEnd w:id="782"/>
      <w:r>
        <w:rPr>
          <w:rFonts w:hint="eastAsia"/>
          <w:color w:val="000000"/>
          <w:sz w:val="24"/>
          <w:highlight w:val="none"/>
        </w:rPr>
      </w:r>
      <w:r/>
    </w:p>
    <w:p>
      <w:pPr>
        <w:pStyle w:val="1288"/>
        <w:jc w:val="left"/>
        <w:widowControl/>
        <w:rPr>
          <w:b/>
          <w:color w:val="000000"/>
          <w:sz w:val="24"/>
          <w:highlight w:val="none"/>
        </w:rPr>
      </w:pPr>
      <w:r>
        <w:rPr>
          <w:b/>
          <w:color w:val="000000"/>
          <w:spacing w:val="20"/>
          <w:sz w:val="24"/>
          <w:highlight w:val="none"/>
        </w:rPr>
        <w:t xml:space="preserve">响应文件</w:t>
      </w:r>
      <w:r>
        <w:rPr>
          <w:b/>
          <w:color w:val="000000"/>
          <w:sz w:val="24"/>
          <w:highlight w:val="none"/>
        </w:rPr>
        <w:t xml:space="preserve">封面（非实质性格式）</w:t>
      </w:r>
      <w:r>
        <w:rPr>
          <w:b/>
          <w:color w:val="000000"/>
          <w:sz w:val="24"/>
          <w:highlight w:val="none"/>
        </w:rPr>
      </w:r>
      <w:r/>
    </w:p>
    <w:p>
      <w:pPr>
        <w:pStyle w:val="1288"/>
        <w:jc w:val="center"/>
        <w:rPr>
          <w:color w:val="000000"/>
          <w:szCs w:val="21"/>
          <w:highlight w:val="none"/>
        </w:rPr>
      </w:pPr>
      <w:r>
        <w:rPr>
          <w:color w:val="000000"/>
          <w:szCs w:val="21"/>
          <w:highlight w:val="none"/>
        </w:rPr>
      </w:r>
      <w:r/>
    </w:p>
    <w:p>
      <w:pPr>
        <w:pStyle w:val="1288"/>
        <w:jc w:val="center"/>
        <w:rPr>
          <w:rFonts w:hint="eastAsia"/>
          <w:b/>
          <w:color w:val="000000"/>
          <w:spacing w:val="60"/>
          <w:sz w:val="84"/>
          <w:szCs w:val="84"/>
          <w:highlight w:val="none"/>
        </w:rPr>
      </w:pPr>
      <w:r>
        <w:rPr>
          <w:rFonts w:hint="eastAsia"/>
          <w:b/>
          <w:color w:val="000000"/>
          <w:spacing w:val="60"/>
          <w:sz w:val="84"/>
          <w:szCs w:val="84"/>
          <w:highlight w:val="none"/>
        </w:rPr>
      </w:r>
      <w:r/>
    </w:p>
    <w:p>
      <w:pPr>
        <w:pStyle w:val="1288"/>
        <w:jc w:val="center"/>
        <w:rPr>
          <w:rFonts w:hint="eastAsia"/>
          <w:b/>
          <w:color w:val="000000"/>
          <w:spacing w:val="60"/>
          <w:sz w:val="84"/>
          <w:szCs w:val="84"/>
          <w:highlight w:val="none"/>
        </w:rPr>
      </w:pPr>
      <w:r>
        <w:rPr>
          <w:rFonts w:hint="eastAsia"/>
          <w:b/>
          <w:color w:val="000000"/>
          <w:spacing w:val="60"/>
          <w:sz w:val="84"/>
          <w:szCs w:val="84"/>
          <w:highlight w:val="none"/>
        </w:rPr>
      </w:r>
      <w:r/>
    </w:p>
    <w:p>
      <w:pPr>
        <w:pStyle w:val="1288"/>
        <w:jc w:val="center"/>
        <w:rPr>
          <w:rFonts w:hint="eastAsia"/>
          <w:b/>
          <w:color w:val="000000"/>
          <w:spacing w:val="60"/>
          <w:sz w:val="84"/>
          <w:szCs w:val="84"/>
          <w:highlight w:val="none"/>
        </w:rPr>
      </w:pPr>
      <w:r>
        <w:rPr>
          <w:rFonts w:hint="eastAsia"/>
          <w:b/>
          <w:color w:val="000000"/>
          <w:spacing w:val="60"/>
          <w:sz w:val="84"/>
          <w:szCs w:val="84"/>
          <w:highlight w:val="none"/>
        </w:rPr>
      </w:r>
      <w:r/>
    </w:p>
    <w:p>
      <w:pPr>
        <w:pStyle w:val="1288"/>
        <w:jc w:val="center"/>
        <w:rPr>
          <w:b/>
          <w:color w:val="000000"/>
          <w:spacing w:val="60"/>
          <w:sz w:val="84"/>
          <w:szCs w:val="84"/>
          <w:highlight w:val="none"/>
        </w:rPr>
      </w:pPr>
      <w:r>
        <w:rPr>
          <w:b/>
          <w:color w:val="000000"/>
          <w:spacing w:val="60"/>
          <w:sz w:val="84"/>
          <w:szCs w:val="84"/>
          <w:highlight w:val="none"/>
        </w:rPr>
        <w:t xml:space="preserve">响  应 文 件</w:t>
      </w:r>
      <w:r>
        <w:rPr>
          <w:b/>
          <w:color w:val="000000"/>
          <w:spacing w:val="60"/>
          <w:sz w:val="84"/>
          <w:szCs w:val="84"/>
          <w:highlight w:val="none"/>
        </w:rPr>
      </w:r>
      <w:r/>
    </w:p>
    <w:p>
      <w:pPr>
        <w:pStyle w:val="1288"/>
        <w:ind w:firstLine="542"/>
        <w:rPr>
          <w:b/>
          <w:color w:val="000000"/>
          <w:spacing w:val="20"/>
          <w:sz w:val="32"/>
          <w:szCs w:val="32"/>
          <w:highlight w:val="none"/>
        </w:rPr>
      </w:pPr>
      <w:r>
        <w:rPr>
          <w:b/>
          <w:color w:val="000000"/>
          <w:spacing w:val="20"/>
          <w:sz w:val="32"/>
          <w:szCs w:val="32"/>
          <w:highlight w:val="none"/>
        </w:rPr>
      </w:r>
      <w:r/>
    </w:p>
    <w:p>
      <w:pPr>
        <w:pStyle w:val="1288"/>
        <w:ind w:firstLine="542"/>
        <w:rPr>
          <w:b/>
          <w:color w:val="000000"/>
          <w:spacing w:val="20"/>
          <w:sz w:val="32"/>
          <w:szCs w:val="32"/>
          <w:highlight w:val="none"/>
        </w:rPr>
      </w:pPr>
      <w:r>
        <w:rPr>
          <w:b/>
          <w:color w:val="000000"/>
          <w:spacing w:val="20"/>
          <w:sz w:val="32"/>
          <w:szCs w:val="32"/>
          <w:highlight w:val="none"/>
        </w:rPr>
      </w:r>
      <w:r/>
    </w:p>
    <w:p>
      <w:pPr>
        <w:pStyle w:val="1288"/>
        <w:ind w:firstLine="542"/>
        <w:rPr>
          <w:b/>
          <w:color w:val="000000"/>
          <w:spacing w:val="20"/>
          <w:sz w:val="32"/>
          <w:szCs w:val="32"/>
          <w:highlight w:val="none"/>
        </w:rPr>
      </w:pPr>
      <w:r>
        <w:rPr>
          <w:b/>
          <w:color w:val="000000"/>
          <w:spacing w:val="20"/>
          <w:sz w:val="32"/>
          <w:szCs w:val="32"/>
          <w:highlight w:val="none"/>
        </w:rPr>
      </w:r>
      <w:r/>
    </w:p>
    <w:p>
      <w:pPr>
        <w:pStyle w:val="1288"/>
        <w:ind w:firstLine="542"/>
        <w:rPr>
          <w:b/>
          <w:color w:val="000000"/>
          <w:spacing w:val="20"/>
          <w:sz w:val="32"/>
          <w:szCs w:val="32"/>
          <w:highlight w:val="none"/>
        </w:rPr>
      </w:pPr>
      <w:r>
        <w:rPr>
          <w:b/>
          <w:color w:val="000000"/>
          <w:spacing w:val="20"/>
          <w:sz w:val="32"/>
          <w:szCs w:val="32"/>
          <w:highlight w:val="none"/>
        </w:rPr>
      </w:r>
      <w:r/>
    </w:p>
    <w:p>
      <w:pPr>
        <w:pStyle w:val="1288"/>
        <w:ind w:firstLine="1084"/>
        <w:rPr>
          <w:rFonts w:ascii="宋体" w:hAnsi="宋体"/>
          <w:b/>
          <w:color w:val="000000"/>
          <w:sz w:val="36"/>
          <w:highlight w:val="none"/>
        </w:rPr>
      </w:pPr>
      <w:r>
        <w:rPr>
          <w:rFonts w:hint="eastAsia" w:ascii="宋体" w:hAnsi="宋体"/>
          <w:b/>
          <w:color w:val="000000"/>
          <w:sz w:val="36"/>
          <w:highlight w:val="none"/>
        </w:rPr>
        <w:t xml:space="preserve">项 目 名 称：</w:t>
      </w:r>
      <w:r>
        <w:rPr>
          <w:rFonts w:hint="eastAsia" w:ascii="宋体" w:hAnsi="宋体"/>
          <w:b/>
          <w:color w:val="000000"/>
          <w:sz w:val="36"/>
          <w:highlight w:val="none"/>
          <w:u w:val="single"/>
        </w:rPr>
        <w:t xml:space="preserve">               </w:t>
      </w:r>
      <w:r>
        <w:rPr>
          <w:rFonts w:ascii="宋体" w:hAnsi="宋体"/>
          <w:b/>
          <w:color w:val="000000"/>
          <w:sz w:val="36"/>
          <w:highlight w:val="none"/>
        </w:rPr>
      </w:r>
      <w:r/>
    </w:p>
    <w:p>
      <w:pPr>
        <w:pStyle w:val="1288"/>
        <w:ind w:firstLine="1084"/>
        <w:rPr>
          <w:rFonts w:ascii="宋体" w:hAnsi="宋体"/>
          <w:b/>
          <w:color w:val="000000"/>
          <w:sz w:val="36"/>
          <w:highlight w:val="none"/>
          <w:u w:val="single"/>
        </w:rPr>
      </w:pPr>
      <w:r>
        <w:rPr>
          <w:rFonts w:hint="eastAsia" w:ascii="宋体" w:hAnsi="宋体"/>
          <w:b/>
          <w:color w:val="000000"/>
          <w:sz w:val="36"/>
          <w:highlight w:val="none"/>
        </w:rPr>
        <w:t xml:space="preserve">项 目 编 号：</w:t>
      </w:r>
      <w:r>
        <w:rPr>
          <w:rFonts w:hint="eastAsia" w:ascii="宋体" w:hAnsi="宋体"/>
          <w:b/>
          <w:color w:val="000000"/>
          <w:sz w:val="36"/>
          <w:highlight w:val="none"/>
          <w:u w:val="single"/>
        </w:rPr>
        <w:t xml:space="preserve">               </w:t>
      </w:r>
      <w:r>
        <w:rPr>
          <w:rFonts w:ascii="宋体" w:hAnsi="宋体"/>
          <w:b/>
          <w:color w:val="000000"/>
          <w:sz w:val="36"/>
          <w:highlight w:val="none"/>
          <w:u w:val="single"/>
        </w:rPr>
      </w:r>
      <w:r/>
    </w:p>
    <w:p>
      <w:pPr>
        <w:pStyle w:val="1288"/>
        <w:ind w:firstLine="1084"/>
        <w:rPr>
          <w:rFonts w:ascii="宋体" w:hAnsi="宋体"/>
          <w:b/>
          <w:color w:val="000000"/>
          <w:sz w:val="36"/>
          <w:highlight w:val="none"/>
          <w:u w:val="single"/>
        </w:rPr>
      </w:pPr>
      <w:r>
        <w:rPr>
          <w:rFonts w:hint="eastAsia" w:ascii="宋体" w:hAnsi="宋体"/>
          <w:b/>
          <w:color w:val="000000"/>
          <w:sz w:val="36"/>
          <w:highlight w:val="none"/>
        </w:rPr>
        <w:t xml:space="preserve">供应商名称 ：</w:t>
      </w:r>
      <w:r>
        <w:rPr>
          <w:rFonts w:hint="eastAsia" w:ascii="宋体" w:hAnsi="宋体"/>
          <w:b/>
          <w:color w:val="000000"/>
          <w:sz w:val="36"/>
          <w:highlight w:val="none"/>
          <w:u w:val="single"/>
        </w:rPr>
        <w:t xml:space="preserve">               </w:t>
      </w:r>
      <w:r>
        <w:rPr>
          <w:rFonts w:ascii="宋体" w:hAnsi="宋体"/>
          <w:b/>
          <w:color w:val="000000"/>
          <w:sz w:val="36"/>
          <w:highlight w:val="none"/>
          <w:u w:val="single"/>
        </w:rPr>
      </w:r>
      <w:r/>
    </w:p>
    <w:p>
      <w:pPr>
        <w:pStyle w:val="1288"/>
        <w:ind w:firstLine="1084"/>
        <w:rPr>
          <w:rFonts w:ascii="宋体" w:hAnsi="宋体"/>
          <w:b/>
          <w:color w:val="000000"/>
          <w:sz w:val="36"/>
          <w:highlight w:val="none"/>
        </w:rPr>
      </w:pPr>
      <w:r>
        <w:rPr>
          <w:rFonts w:hint="eastAsia" w:ascii="宋体" w:hAnsi="宋体"/>
          <w:b/>
          <w:color w:val="000000"/>
          <w:sz w:val="36"/>
          <w:highlight w:val="none"/>
        </w:rPr>
        <w:t xml:space="preserve">日      期 ：</w:t>
      </w:r>
      <w:r>
        <w:rPr>
          <w:rFonts w:hint="eastAsia" w:ascii="宋体" w:hAnsi="宋体"/>
          <w:b/>
          <w:color w:val="000000"/>
          <w:sz w:val="36"/>
          <w:highlight w:val="none"/>
          <w:u w:val="single"/>
        </w:rPr>
        <w:t xml:space="preserve">               </w:t>
      </w:r>
      <w:r>
        <w:rPr>
          <w:rFonts w:ascii="宋体" w:hAnsi="宋体"/>
          <w:b/>
          <w:color w:val="000000"/>
          <w:sz w:val="36"/>
          <w:highlight w:val="none"/>
        </w:rPr>
      </w:r>
      <w:r/>
    </w:p>
    <w:p>
      <w:pPr>
        <w:pStyle w:val="1288"/>
        <w:jc w:val="center"/>
        <w:rPr>
          <w:b/>
          <w:color w:val="000000"/>
          <w:sz w:val="32"/>
          <w:szCs w:val="32"/>
          <w:highlight w:val="none"/>
        </w:rPr>
      </w:pPr>
      <w:r>
        <w:rPr>
          <w:b/>
          <w:color w:val="000000"/>
          <w:sz w:val="32"/>
          <w:szCs w:val="32"/>
          <w:highlight w:val="none"/>
        </w:rPr>
      </w:r>
      <w:r/>
    </w:p>
    <w:p>
      <w:pPr>
        <w:pStyle w:val="1288"/>
        <w:rPr>
          <w:b/>
          <w:color w:val="000000"/>
          <w:highlight w:val="none"/>
        </w:rPr>
      </w:pPr>
      <w:r>
        <w:rPr>
          <w:b/>
          <w:color w:val="000000"/>
          <w:spacing w:val="20"/>
          <w:sz w:val="32"/>
          <w:szCs w:val="32"/>
          <w:highlight w:val="none"/>
        </w:rPr>
        <w:br w:type="page" w:clear="all"/>
      </w:r>
      <w:r>
        <w:rPr>
          <w:b/>
          <w:color w:val="000000"/>
          <w:highlight w:val="none"/>
        </w:rPr>
      </w:r>
      <w:r/>
    </w:p>
    <w:p>
      <w:pPr>
        <w:pStyle w:val="1288"/>
        <w:spacing w:line="360" w:lineRule="auto"/>
        <w:rPr>
          <w:color w:val="000000"/>
          <w:sz w:val="24"/>
          <w:szCs w:val="20"/>
          <w:highlight w:val="none"/>
        </w:rPr>
        <w:outlineLvl w:val="1"/>
      </w:pPr>
      <w:r>
        <w:rPr>
          <w:color w:val="000000"/>
          <w:sz w:val="24"/>
          <w:szCs w:val="20"/>
          <w:highlight w:val="none"/>
        </w:rPr>
        <w:t xml:space="preserve">1</w:t>
      </w:r>
      <w:r>
        <w:rPr>
          <w:color w:val="000000"/>
          <w:sz w:val="24"/>
          <w:highlight w:val="none"/>
        </w:rPr>
        <w:t xml:space="preserve">满足《中华人民共和国政府采购法》第二十二条规定及法律法规的其他规定</w:t>
      </w:r>
      <w:r>
        <w:rPr>
          <w:color w:val="000000"/>
          <w:sz w:val="24"/>
          <w:szCs w:val="20"/>
          <w:highlight w:val="none"/>
        </w:rPr>
      </w:r>
      <w:r/>
    </w:p>
    <w:p>
      <w:pPr>
        <w:pStyle w:val="1291"/>
        <w:rPr>
          <w:rFonts w:ascii="Times New Roman"/>
          <w:b w:val="0"/>
          <w:bCs/>
          <w:color w:val="000000"/>
          <w:highlight w:val="none"/>
          <w:u w:val="none"/>
        </w:rPr>
      </w:pPr>
      <w:r>
        <w:rPr>
          <w:rFonts w:ascii="Times New Roman"/>
          <w:b w:val="0"/>
          <w:color w:val="000000"/>
          <w:highlight w:val="none"/>
          <w:u w:val="none"/>
        </w:rPr>
        <w:t xml:space="preserve">1-</w:t>
      </w:r>
      <w:r>
        <w:rPr>
          <w:rFonts w:hint="eastAsia" w:ascii="Times New Roman"/>
          <w:b w:val="0"/>
          <w:color w:val="000000"/>
          <w:highlight w:val="none"/>
          <w:u w:val="none"/>
        </w:rPr>
        <w:t xml:space="preserve">1</w:t>
      </w:r>
      <w:r>
        <w:rPr>
          <w:rFonts w:ascii="Times New Roman"/>
          <w:b w:val="0"/>
          <w:color w:val="000000"/>
          <w:highlight w:val="none"/>
          <w:u w:val="none"/>
        </w:rPr>
        <w:t xml:space="preserve"> 供应商资格声明</w:t>
      </w:r>
      <w:r>
        <w:rPr>
          <w:rFonts w:hint="eastAsia" w:ascii="Times New Roman"/>
          <w:b w:val="0"/>
          <w:color w:val="000000"/>
          <w:highlight w:val="none"/>
          <w:u w:val="none"/>
        </w:rPr>
        <w:t xml:space="preserve">函</w:t>
      </w:r>
      <w:r>
        <w:rPr>
          <w:rFonts w:ascii="Times New Roman"/>
          <w:b w:val="0"/>
          <w:color w:val="000000"/>
          <w:highlight w:val="none"/>
          <w:u w:val="none"/>
        </w:rPr>
        <w:t xml:space="preserve">（实质性格式）</w:t>
      </w:r>
      <w:r>
        <w:rPr>
          <w:rFonts w:ascii="Times New Roman"/>
          <w:b w:val="0"/>
          <w:bCs/>
          <w:color w:val="000000"/>
          <w:highlight w:val="none"/>
          <w:u w:val="none"/>
        </w:rPr>
      </w:r>
      <w:r/>
    </w:p>
    <w:p>
      <w:pPr>
        <w:pStyle w:val="1288"/>
        <w:jc w:val="center"/>
        <w:spacing w:before="120" w:line="360" w:lineRule="auto"/>
        <w:widowControl/>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pStyle w:val="1288"/>
        <w:jc w:val="center"/>
        <w:spacing w:before="120" w:line="360" w:lineRule="auto"/>
        <w:widowControl/>
        <w:rPr>
          <w:rFonts w:ascii="宋体" w:hAnsi="宋体" w:cs="宋体"/>
          <w:color w:val="000000"/>
          <w:szCs w:val="21"/>
          <w:highlight w:val="none"/>
        </w:rPr>
      </w:pPr>
      <w:r>
        <w:rPr>
          <w:rFonts w:hint="eastAsia" w:ascii="宋体" w:hAnsi="宋体" w:cs="宋体"/>
          <w:b/>
          <w:color w:val="000000"/>
          <w:sz w:val="28"/>
          <w:szCs w:val="28"/>
          <w:highlight w:val="none"/>
        </w:rPr>
        <w:t xml:space="preserve">供应商资格声明函</w:t>
      </w:r>
      <w:r>
        <w:rPr>
          <w:rFonts w:ascii="宋体" w:hAnsi="宋体" w:cs="宋体"/>
          <w:color w:val="000000"/>
          <w:szCs w:val="21"/>
          <w:highlight w:val="none"/>
        </w:rPr>
      </w:r>
      <w:r/>
    </w:p>
    <w:p>
      <w:pPr>
        <w:pStyle w:val="1296"/>
        <w:ind w:firstLine="480"/>
        <w:spacing w:line="460" w:lineRule="exact"/>
        <w:rPr>
          <w:color w:val="000000"/>
          <w:highlight w:val="none"/>
        </w:rPr>
      </w:pPr>
      <w:r>
        <w:rPr>
          <w:color w:val="000000"/>
          <w:highlight w:val="none"/>
        </w:rPr>
      </w:r>
      <w:r/>
    </w:p>
    <w:p>
      <w:pPr>
        <w:pStyle w:val="1296"/>
        <w:ind w:firstLine="480"/>
        <w:spacing w:line="460" w:lineRule="exact"/>
        <w:rPr>
          <w:color w:val="000000"/>
          <w:highlight w:val="none"/>
        </w:rPr>
      </w:pPr>
      <w:r>
        <w:rPr>
          <w:rFonts w:hint="eastAsia"/>
          <w:color w:val="000000"/>
          <w:highlight w:val="none"/>
        </w:rPr>
        <w:t xml:space="preserve">致：</w:t>
      </w:r>
      <w:r>
        <w:rPr>
          <w:color w:val="000000"/>
          <w:highlight w:val="none"/>
        </w:rPr>
        <w:t xml:space="preserve"> </w:t>
      </w:r>
      <w:r>
        <w:rPr>
          <w:rFonts w:hint="eastAsia" w:hAnsi="宋体"/>
          <w:bCs/>
          <w:color w:val="000000"/>
          <w:highlight w:val="none"/>
        </w:rPr>
        <w:t xml:space="preserve">常州中采招投标有限公司</w:t>
      </w:r>
      <w:r>
        <w:rPr>
          <w:color w:val="000000"/>
          <w:highlight w:val="none"/>
        </w:rPr>
      </w:r>
      <w:r/>
    </w:p>
    <w:p>
      <w:pPr>
        <w:pStyle w:val="1296"/>
        <w:ind w:firstLine="960"/>
        <w:spacing w:line="460" w:lineRule="exact"/>
        <w:rPr>
          <w:color w:val="000000"/>
          <w:highlight w:val="none"/>
          <w:u w:val="single"/>
        </w:rPr>
      </w:pPr>
      <w:r>
        <w:rPr>
          <w:rFonts w:hint="eastAsia"/>
          <w:color w:val="000000"/>
          <w:highlight w:val="none"/>
          <w:u w:val="single"/>
        </w:rPr>
        <w:t xml:space="preserve">（采购人名称）</w:t>
      </w:r>
      <w:r>
        <w:rPr>
          <w:color w:val="000000"/>
          <w:highlight w:val="none"/>
          <w:u w:val="single"/>
        </w:rPr>
      </w:r>
      <w:r/>
    </w:p>
    <w:p>
      <w:pPr>
        <w:pStyle w:val="1296"/>
        <w:ind w:firstLine="480"/>
        <w:spacing w:line="460" w:lineRule="exact"/>
        <w:rPr>
          <w:color w:val="000000"/>
          <w:highlight w:val="none"/>
        </w:rPr>
      </w:pPr>
      <w:r>
        <w:rPr>
          <w:color w:val="000000"/>
          <w:highlight w:val="none"/>
        </w:rPr>
      </w:r>
      <w:r/>
    </w:p>
    <w:p>
      <w:pPr>
        <w:pStyle w:val="1296"/>
        <w:ind w:firstLine="480"/>
        <w:spacing w:line="460" w:lineRule="exact"/>
        <w:rPr>
          <w:color w:val="000000"/>
          <w:highlight w:val="none"/>
        </w:rPr>
      </w:pPr>
      <w:r>
        <w:rPr>
          <w:rFonts w:hint="eastAsia"/>
          <w:color w:val="000000"/>
          <w:highlight w:val="none"/>
        </w:rPr>
        <w:t xml:space="preserve">按照《中华人民共和国政府采购法》第二十二条和采购文件的规定，我单位郑重声明如下：</w:t>
      </w:r>
      <w:r>
        <w:rPr>
          <w:color w:val="000000"/>
          <w:highlight w:val="none"/>
        </w:rPr>
      </w:r>
      <w:r/>
    </w:p>
    <w:p>
      <w:pPr>
        <w:pStyle w:val="1296"/>
        <w:ind w:firstLine="480"/>
        <w:spacing w:line="460" w:lineRule="exact"/>
        <w:rPr>
          <w:color w:val="000000"/>
          <w:highlight w:val="none"/>
        </w:rPr>
      </w:pPr>
      <w:r>
        <w:rPr>
          <w:rFonts w:hint="eastAsia"/>
          <w:color w:val="000000"/>
          <w:highlight w:val="none"/>
        </w:rPr>
        <w:t xml:space="preserve">一、我单位是按照中华人民共和国法律规定登记注册的，注册地点为</w:t>
      </w:r>
      <w:r>
        <w:rPr>
          <w:rFonts w:hint="eastAsia"/>
          <w:color w:val="000000"/>
          <w:highlight w:val="none"/>
          <w:u w:val="single"/>
        </w:rPr>
        <w:t xml:space="preserve">         </w:t>
      </w:r>
      <w:r>
        <w:rPr>
          <w:rFonts w:hint="eastAsia"/>
          <w:color w:val="000000"/>
          <w:highlight w:val="none"/>
        </w:rPr>
        <w:t xml:space="preserve">，全称为</w:t>
      </w:r>
      <w:r>
        <w:rPr>
          <w:rFonts w:hint="eastAsia"/>
          <w:color w:val="000000"/>
          <w:highlight w:val="none"/>
          <w:u w:val="single"/>
        </w:rPr>
        <w:t xml:space="preserve">        </w:t>
      </w:r>
      <w:r>
        <w:rPr>
          <w:rFonts w:hint="eastAsia"/>
          <w:color w:val="000000"/>
          <w:highlight w:val="none"/>
        </w:rPr>
        <w:t xml:space="preserve">，统一社会信用代码为</w:t>
      </w:r>
      <w:r>
        <w:rPr>
          <w:rFonts w:hint="eastAsia"/>
          <w:color w:val="000000"/>
          <w:highlight w:val="none"/>
          <w:u w:val="single"/>
        </w:rPr>
        <w:t xml:space="preserve">           </w:t>
      </w:r>
      <w:r>
        <w:rPr>
          <w:rFonts w:hint="eastAsia"/>
          <w:color w:val="000000"/>
          <w:highlight w:val="none"/>
        </w:rPr>
        <w:t xml:space="preserve"> ，法定代表人（单位负责人）为</w:t>
      </w:r>
      <w:r>
        <w:rPr>
          <w:rFonts w:hint="eastAsia"/>
          <w:color w:val="000000"/>
          <w:highlight w:val="none"/>
          <w:u w:val="single"/>
        </w:rPr>
        <w:t xml:space="preserve">         </w:t>
      </w:r>
      <w:r>
        <w:rPr>
          <w:rFonts w:hint="eastAsia"/>
          <w:color w:val="000000"/>
          <w:highlight w:val="none"/>
        </w:rPr>
        <w:t xml:space="preserve">，具有独立承担民事责任的能力</w:t>
      </w:r>
      <w:r>
        <w:rPr>
          <w:rFonts w:hint="eastAsia"/>
          <w:b/>
          <w:color w:val="000000"/>
          <w:highlight w:val="none"/>
        </w:rPr>
        <w:t xml:space="preserve">（如属于分公司经总公司授权参与项目，由总公司承担民事责任的，需提供总公司项目授权书）</w:t>
      </w:r>
      <w:r>
        <w:rPr>
          <w:rFonts w:hint="eastAsia"/>
          <w:color w:val="000000"/>
          <w:highlight w:val="none"/>
        </w:rPr>
        <w:t xml:space="preserve">。</w:t>
      </w:r>
      <w:r>
        <w:rPr>
          <w:color w:val="000000"/>
          <w:highlight w:val="none"/>
        </w:rPr>
      </w:r>
      <w:r/>
    </w:p>
    <w:p>
      <w:pPr>
        <w:pStyle w:val="1296"/>
        <w:ind w:firstLine="480"/>
        <w:spacing w:line="460" w:lineRule="exact"/>
        <w:rPr>
          <w:color w:val="000000"/>
          <w:highlight w:val="none"/>
        </w:rPr>
      </w:pPr>
      <w:r>
        <w:rPr>
          <w:rFonts w:hint="eastAsia"/>
          <w:color w:val="000000"/>
          <w:highlight w:val="none"/>
        </w:rPr>
        <w:t xml:space="preserve">二、我单位具有良好的商业信誉（指供应商经营状况良好，无本资格声明第十条情形）和健全的财务会计制度。</w:t>
      </w:r>
      <w:r>
        <w:rPr>
          <w:color w:val="000000"/>
          <w:highlight w:val="none"/>
        </w:rPr>
      </w:r>
      <w:r/>
    </w:p>
    <w:p>
      <w:pPr>
        <w:pStyle w:val="1296"/>
        <w:ind w:firstLine="480"/>
        <w:spacing w:line="460" w:lineRule="exact"/>
        <w:rPr>
          <w:color w:val="000000"/>
          <w:highlight w:val="none"/>
        </w:rPr>
      </w:pPr>
      <w:r>
        <w:rPr>
          <w:rFonts w:hint="eastAsia"/>
          <w:color w:val="000000"/>
          <w:highlight w:val="none"/>
        </w:rPr>
        <w:t xml:space="preserve">三、我单位依法进行纳税和社会保险申报并实际履行了义务。</w:t>
      </w:r>
      <w:r>
        <w:rPr>
          <w:color w:val="000000"/>
          <w:highlight w:val="none"/>
        </w:rPr>
      </w:r>
      <w:r/>
    </w:p>
    <w:p>
      <w:pPr>
        <w:pStyle w:val="1296"/>
        <w:ind w:firstLine="480"/>
        <w:spacing w:line="460" w:lineRule="exact"/>
        <w:rPr>
          <w:color w:val="000000"/>
          <w:highlight w:val="none"/>
        </w:rPr>
      </w:pPr>
      <w:r>
        <w:rPr>
          <w:rFonts w:hint="eastAsia"/>
          <w:color w:val="000000"/>
          <w:highlight w:val="none"/>
        </w:rPr>
        <w:t xml:space="preserve">四、我单位具有履行本项目采购合同所必需的设备和专业技术能力，并具有履行合同的良好</w:t>
      </w:r>
      <w:r>
        <w:rPr>
          <w:color w:val="000000"/>
          <w:highlight w:val="none"/>
        </w:rPr>
        <w:t xml:space="preserve">记录</w:t>
      </w:r>
      <w:r>
        <w:rPr>
          <w:rFonts w:hint="eastAsia"/>
          <w:color w:val="000000"/>
          <w:highlight w:val="none"/>
        </w:rPr>
        <w:t xml:space="preserve">。为履行本项采购合同我单位具备如下主要设备和主要专业技术能力:</w:t>
      </w:r>
      <w:r>
        <w:rPr>
          <w:color w:val="000000"/>
          <w:highlight w:val="none"/>
        </w:rPr>
      </w:r>
      <w:r/>
    </w:p>
    <w:p>
      <w:pPr>
        <w:pStyle w:val="1296"/>
        <w:ind w:firstLine="480"/>
        <w:spacing w:line="460" w:lineRule="exact"/>
        <w:rPr>
          <w:color w:val="000000"/>
          <w:highlight w:val="none"/>
        </w:rPr>
      </w:pPr>
      <w:r>
        <w:rPr>
          <w:rFonts w:hint="eastAsia"/>
          <w:color w:val="000000"/>
          <w:highlight w:val="none"/>
        </w:rPr>
        <w:t xml:space="preserve">主要设备有：</w:t>
      </w:r>
      <w:r>
        <w:rPr>
          <w:color w:val="000000"/>
          <w:highlight w:val="none"/>
          <w:u w:val="single"/>
        </w:rPr>
        <w:t xml:space="preserve">            </w:t>
      </w:r>
      <w:r>
        <w:rPr>
          <w:color w:val="000000"/>
          <w:highlight w:val="none"/>
        </w:rPr>
      </w:r>
      <w:r/>
    </w:p>
    <w:p>
      <w:pPr>
        <w:pStyle w:val="1296"/>
        <w:ind w:firstLine="480"/>
        <w:spacing w:line="460" w:lineRule="exact"/>
        <w:rPr>
          <w:color w:val="000000"/>
          <w:highlight w:val="none"/>
        </w:rPr>
      </w:pPr>
      <w:r>
        <w:rPr>
          <w:rFonts w:hint="eastAsia"/>
          <w:color w:val="000000"/>
          <w:highlight w:val="none"/>
        </w:rPr>
        <w:t xml:space="preserve">主要专业技术能力有</w:t>
      </w:r>
      <w:r>
        <w:rPr>
          <w:rFonts w:hint="eastAsia"/>
          <w:color w:val="000000"/>
          <w:highlight w:val="none"/>
          <w:u w:val="single"/>
        </w:rPr>
        <w:t xml:space="preserve">                 </w:t>
      </w:r>
      <w:r>
        <w:rPr>
          <w:color w:val="000000"/>
          <w:highlight w:val="none"/>
        </w:rPr>
      </w:r>
      <w:r/>
    </w:p>
    <w:p>
      <w:pPr>
        <w:pStyle w:val="1296"/>
        <w:ind w:firstLine="480"/>
        <w:spacing w:line="460" w:lineRule="exact"/>
        <w:rPr>
          <w:color w:val="000000"/>
          <w:highlight w:val="none"/>
        </w:rPr>
      </w:pPr>
      <w:r>
        <w:rPr>
          <w:rFonts w:hint="eastAsia"/>
          <w:color w:val="000000"/>
          <w:highlight w:val="none"/>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rPr>
          <w:color w:val="000000"/>
          <w:highlight w:val="none"/>
        </w:rPr>
      </w:r>
      <w:r/>
    </w:p>
    <w:p>
      <w:pPr>
        <w:pStyle w:val="1296"/>
        <w:ind w:firstLine="480"/>
        <w:spacing w:line="460" w:lineRule="exact"/>
        <w:rPr>
          <w:color w:val="000000"/>
          <w:highlight w:val="none"/>
        </w:rPr>
      </w:pPr>
      <w:r>
        <w:rPr>
          <w:rFonts w:hint="eastAsia"/>
          <w:color w:val="000000"/>
          <w:highlight w:val="none"/>
        </w:rPr>
        <w:t xml:space="preserve">六、我单位具备法律、行政法规规定的其他条件。</w:t>
      </w:r>
      <w:r>
        <w:rPr>
          <w:color w:val="000000"/>
          <w:highlight w:val="none"/>
        </w:rPr>
      </w:r>
      <w:r/>
    </w:p>
    <w:p>
      <w:pPr>
        <w:pStyle w:val="1296"/>
        <w:ind w:firstLine="480"/>
        <w:spacing w:line="460" w:lineRule="exact"/>
        <w:rPr>
          <w:color w:val="000000"/>
          <w:highlight w:val="none"/>
        </w:rPr>
      </w:pPr>
      <w:r>
        <w:rPr>
          <w:rFonts w:hint="eastAsia"/>
          <w:color w:val="000000"/>
          <w:highlight w:val="none"/>
        </w:rPr>
        <w:t xml:space="preserve">七、与我单位存在“单位负责人为同一人或者存在直接控股、管理关系”的其他单位信息如下（如无此情形的，填写“无”）：</w:t>
      </w:r>
      <w:r>
        <w:rPr>
          <w:color w:val="000000"/>
          <w:highlight w:val="none"/>
        </w:rPr>
      </w:r>
      <w:r/>
    </w:p>
    <w:p>
      <w:pPr>
        <w:pStyle w:val="1296"/>
        <w:ind w:firstLine="480"/>
        <w:spacing w:line="460" w:lineRule="exact"/>
        <w:rPr>
          <w:color w:val="000000"/>
          <w:highlight w:val="none"/>
        </w:rPr>
      </w:pPr>
      <w:r>
        <w:rPr>
          <w:rFonts w:hint="eastAsia"/>
          <w:color w:val="000000"/>
          <w:highlight w:val="none"/>
        </w:rPr>
        <w:t xml:space="preserve">1、与我单位的法定代表人（单位负责人）为同一人的其他单位如下：</w:t>
      </w:r>
      <w:r>
        <w:rPr>
          <w:rFonts w:hint="eastAsia"/>
          <w:color w:val="000000"/>
          <w:highlight w:val="none"/>
          <w:u w:val="single"/>
        </w:rPr>
        <w:t xml:space="preserve">     </w:t>
      </w:r>
      <w:r>
        <w:rPr>
          <w:rFonts w:hint="eastAsia"/>
          <w:color w:val="000000"/>
          <w:highlight w:val="none"/>
        </w:rPr>
        <w:t xml:space="preserve"> </w:t>
      </w:r>
      <w:r>
        <w:rPr>
          <w:color w:val="000000"/>
          <w:highlight w:val="none"/>
        </w:rPr>
      </w:r>
      <w:r/>
    </w:p>
    <w:p>
      <w:pPr>
        <w:pStyle w:val="1296"/>
        <w:ind w:firstLine="480"/>
        <w:spacing w:line="460" w:lineRule="exact"/>
        <w:rPr>
          <w:color w:val="000000"/>
          <w:highlight w:val="none"/>
        </w:rPr>
      </w:pPr>
      <w:r>
        <w:rPr>
          <w:rFonts w:hint="eastAsia"/>
          <w:color w:val="000000"/>
          <w:highlight w:val="none"/>
        </w:rPr>
        <w:t xml:space="preserve">2、我单位直接控股的其他单位如下：</w:t>
      </w:r>
      <w:r>
        <w:rPr>
          <w:rFonts w:hint="eastAsia"/>
          <w:color w:val="000000"/>
          <w:highlight w:val="none"/>
          <w:u w:val="single"/>
        </w:rPr>
        <w:t xml:space="preserve">                    </w:t>
      </w:r>
      <w:r>
        <w:rPr>
          <w:rFonts w:hint="eastAsia"/>
          <w:color w:val="000000"/>
          <w:highlight w:val="none"/>
        </w:rPr>
        <w:t xml:space="preserve"> </w:t>
      </w:r>
      <w:r>
        <w:rPr>
          <w:color w:val="000000"/>
          <w:highlight w:val="none"/>
        </w:rPr>
      </w:r>
      <w:r/>
    </w:p>
    <w:p>
      <w:pPr>
        <w:pStyle w:val="1296"/>
        <w:ind w:firstLine="480"/>
        <w:spacing w:line="460" w:lineRule="exact"/>
        <w:rPr>
          <w:color w:val="000000"/>
          <w:highlight w:val="none"/>
        </w:rPr>
      </w:pPr>
      <w:r>
        <w:rPr>
          <w:rFonts w:hint="eastAsia"/>
          <w:color w:val="000000"/>
          <w:highlight w:val="none"/>
        </w:rPr>
        <w:t xml:space="preserve">3、与我单位存在管理关系的其他单位如下：</w:t>
      </w:r>
      <w:r>
        <w:rPr>
          <w:rFonts w:hint="eastAsia"/>
          <w:color w:val="000000"/>
          <w:highlight w:val="none"/>
          <w:u w:val="single"/>
        </w:rPr>
        <w:t xml:space="preserve">              </w:t>
      </w:r>
      <w:r>
        <w:rPr>
          <w:rFonts w:hint="eastAsia"/>
          <w:color w:val="000000"/>
          <w:highlight w:val="none"/>
        </w:rPr>
        <w:t xml:space="preserve"> </w:t>
      </w:r>
      <w:r>
        <w:rPr>
          <w:color w:val="000000"/>
          <w:highlight w:val="none"/>
        </w:rPr>
      </w:r>
      <w:r/>
    </w:p>
    <w:p>
      <w:pPr>
        <w:pStyle w:val="1296"/>
        <w:ind w:firstLine="480"/>
        <w:spacing w:line="460" w:lineRule="exact"/>
        <w:rPr>
          <w:color w:val="000000"/>
          <w:highlight w:val="none"/>
        </w:rPr>
      </w:pPr>
      <w:r>
        <w:rPr>
          <w:rFonts w:hint="eastAsia"/>
          <w:color w:val="000000"/>
          <w:highlight w:val="none"/>
        </w:rPr>
        <w:t xml:space="preserve">八、</w:t>
      </w:r>
      <w:r>
        <w:rPr>
          <w:color w:val="000000"/>
          <w:highlight w:val="none"/>
        </w:rPr>
        <w:t xml:space="preserve">我</w:t>
      </w:r>
      <w:r>
        <w:rPr>
          <w:rFonts w:hint="eastAsia"/>
          <w:color w:val="000000"/>
          <w:highlight w:val="none"/>
        </w:rPr>
        <w:t xml:space="preserve">单位</w:t>
      </w:r>
      <w:r>
        <w:rPr>
          <w:color w:val="000000"/>
          <w:highlight w:val="none"/>
        </w:rPr>
        <w:t xml:space="preserve">不属于为本项目提供整体设计、规范编制或者项目管理、监理、检测等服务的供应商。</w:t>
      </w:r>
      <w:r>
        <w:rPr>
          <w:color w:val="000000"/>
          <w:highlight w:val="none"/>
        </w:rPr>
      </w:r>
      <w:r/>
    </w:p>
    <w:p>
      <w:pPr>
        <w:pStyle w:val="1296"/>
        <w:ind w:firstLine="480"/>
        <w:spacing w:line="460" w:lineRule="exact"/>
        <w:rPr>
          <w:color w:val="000000"/>
          <w:highlight w:val="none"/>
        </w:rPr>
      </w:pPr>
      <w:r>
        <w:rPr>
          <w:rFonts w:hint="eastAsia"/>
          <w:color w:val="000000"/>
          <w:highlight w:val="none"/>
        </w:rPr>
        <w:t xml:space="preserve">九、</w:t>
      </w:r>
      <w:r>
        <w:rPr>
          <w:color w:val="000000"/>
          <w:highlight w:val="none"/>
        </w:rPr>
        <w:t xml:space="preserve">我单位无以下不良信用记录情形：</w:t>
      </w:r>
      <w:r>
        <w:rPr>
          <w:color w:val="000000"/>
          <w:highlight w:val="none"/>
        </w:rPr>
      </w:r>
      <w:r/>
    </w:p>
    <w:p>
      <w:pPr>
        <w:pStyle w:val="1296"/>
        <w:ind w:firstLine="480"/>
        <w:spacing w:line="460" w:lineRule="exact"/>
        <w:rPr>
          <w:color w:val="000000"/>
          <w:highlight w:val="none"/>
        </w:rPr>
      </w:pPr>
      <w:r>
        <w:rPr>
          <w:color w:val="000000"/>
          <w:highlight w:val="none"/>
        </w:rPr>
        <w:t xml:space="preserve">1</w:t>
      </w:r>
      <w:r>
        <w:rPr>
          <w:rFonts w:hint="eastAsia"/>
          <w:color w:val="000000"/>
          <w:highlight w:val="none"/>
        </w:rPr>
        <w:t xml:space="preserve">、在“信用中国”网站被列入失信被执行人和重大税收违法案件当事人名单；</w:t>
      </w:r>
      <w:r>
        <w:rPr>
          <w:color w:val="000000"/>
          <w:highlight w:val="none"/>
        </w:rPr>
      </w:r>
      <w:r/>
    </w:p>
    <w:p>
      <w:pPr>
        <w:pStyle w:val="1296"/>
        <w:ind w:firstLine="480"/>
        <w:spacing w:line="460" w:lineRule="exact"/>
        <w:rPr>
          <w:color w:val="000000"/>
          <w:highlight w:val="none"/>
        </w:rPr>
      </w:pPr>
      <w:r>
        <w:rPr>
          <w:color w:val="000000"/>
          <w:highlight w:val="none"/>
        </w:rPr>
        <w:t xml:space="preserve">2</w:t>
      </w:r>
      <w:r>
        <w:rPr>
          <w:rFonts w:hint="eastAsia"/>
          <w:color w:val="000000"/>
          <w:highlight w:val="none"/>
        </w:rPr>
        <w:t xml:space="preserve">、在“中国政府采购网”网站被列入政府采购严重违法失信行为记录名单；</w:t>
      </w:r>
      <w:r>
        <w:rPr>
          <w:color w:val="000000"/>
          <w:highlight w:val="none"/>
        </w:rPr>
      </w:r>
      <w:r/>
    </w:p>
    <w:p>
      <w:pPr>
        <w:pStyle w:val="1296"/>
        <w:ind w:firstLine="480"/>
        <w:spacing w:line="460" w:lineRule="exact"/>
        <w:rPr>
          <w:color w:val="000000"/>
          <w:highlight w:val="none"/>
        </w:rPr>
      </w:pPr>
      <w:r>
        <w:rPr>
          <w:color w:val="000000"/>
          <w:highlight w:val="none"/>
        </w:rPr>
        <w:t xml:space="preserve">3</w:t>
      </w:r>
      <w:r>
        <w:rPr>
          <w:rFonts w:hint="eastAsia"/>
          <w:color w:val="000000"/>
          <w:highlight w:val="none"/>
        </w:rPr>
        <w:t xml:space="preserve">、</w:t>
      </w:r>
      <w:r>
        <w:rPr>
          <w:color w:val="000000"/>
          <w:highlight w:val="none"/>
        </w:rPr>
        <w:t xml:space="preserve">不符合《政府采购法》第二十二条规定的条件。</w:t>
      </w:r>
      <w:r>
        <w:rPr>
          <w:color w:val="000000"/>
          <w:highlight w:val="none"/>
        </w:rPr>
      </w:r>
      <w:r/>
    </w:p>
    <w:p>
      <w:pPr>
        <w:pStyle w:val="1296"/>
        <w:ind w:firstLine="480"/>
        <w:spacing w:line="460" w:lineRule="exact"/>
        <w:rPr>
          <w:color w:val="000000"/>
          <w:highlight w:val="none"/>
        </w:rPr>
      </w:pPr>
      <w:r>
        <w:rPr>
          <w:color w:val="000000"/>
          <w:highlight w:val="none"/>
        </w:rPr>
      </w:r>
      <w:r/>
    </w:p>
    <w:p>
      <w:pPr>
        <w:pStyle w:val="1296"/>
        <w:ind w:firstLine="480"/>
        <w:spacing w:line="460" w:lineRule="exact"/>
        <w:rPr>
          <w:color w:val="000000"/>
          <w:highlight w:val="none"/>
        </w:rPr>
      </w:pPr>
      <w:r>
        <w:rPr>
          <w:rFonts w:hint="eastAsia"/>
          <w:color w:val="000000"/>
          <w:highlight w:val="none"/>
        </w:rPr>
        <w:t xml:space="preserve">我单位保证上述声明的事项都是真实的，如有虚假，我单位愿意承担相应的法律责任，并承担因此所造成的一切损失。</w:t>
      </w:r>
      <w:r>
        <w:rPr>
          <w:color w:val="000000"/>
          <w:highlight w:val="none"/>
        </w:rPr>
      </w:r>
      <w:r/>
    </w:p>
    <w:p>
      <w:pPr>
        <w:pStyle w:val="1296"/>
        <w:ind w:firstLine="480"/>
        <w:spacing w:line="460" w:lineRule="exact"/>
        <w:rPr>
          <w:color w:val="000000"/>
          <w:highlight w:val="none"/>
        </w:rPr>
      </w:pPr>
      <w:r>
        <w:rPr>
          <w:color w:val="000000"/>
          <w:highlight w:val="none"/>
        </w:rPr>
      </w:r>
      <w:r/>
    </w:p>
    <w:p>
      <w:pPr>
        <w:pStyle w:val="1296"/>
        <w:ind w:firstLine="480"/>
        <w:spacing w:line="460" w:lineRule="exact"/>
        <w:rPr>
          <w:color w:val="000000"/>
          <w:highlight w:val="none"/>
        </w:rPr>
      </w:pPr>
      <w:r>
        <w:rPr>
          <w:color w:val="000000"/>
          <w:highlight w:val="none"/>
        </w:rPr>
      </w:r>
      <w:r/>
    </w:p>
    <w:p>
      <w:pPr>
        <w:pStyle w:val="1296"/>
        <w:ind w:firstLine="480"/>
        <w:jc w:val="right"/>
        <w:spacing w:line="460" w:lineRule="exact"/>
        <w:rPr>
          <w:color w:val="000000"/>
          <w:highlight w:val="none"/>
        </w:rPr>
      </w:pPr>
      <w:r>
        <w:rPr>
          <w:rFonts w:hint="eastAsia"/>
          <w:color w:val="000000"/>
          <w:highlight w:val="none"/>
        </w:rPr>
        <w:t xml:space="preserve">供应商：（加盖公章）</w:t>
      </w:r>
      <w:r>
        <w:rPr>
          <w:color w:val="000000"/>
          <w:highlight w:val="none"/>
        </w:rPr>
      </w:r>
      <w:r/>
    </w:p>
    <w:p>
      <w:pPr>
        <w:pStyle w:val="1296"/>
        <w:ind w:firstLine="480"/>
        <w:jc w:val="right"/>
        <w:spacing w:line="460" w:lineRule="exact"/>
        <w:rPr>
          <w:color w:val="000000"/>
          <w:highlight w:val="none"/>
        </w:rPr>
      </w:pPr>
      <w:r>
        <w:rPr>
          <w:rFonts w:hint="eastAsia"/>
          <w:color w:val="000000"/>
          <w:highlight w:val="none"/>
        </w:rPr>
        <w:t xml:space="preserve">法定代表人（或单位负责人）签字或盖章：</w:t>
      </w:r>
      <w:r>
        <w:rPr>
          <w:color w:val="000000"/>
          <w:highlight w:val="none"/>
        </w:rPr>
      </w:r>
      <w:r/>
    </w:p>
    <w:p>
      <w:pPr>
        <w:pStyle w:val="1296"/>
        <w:jc w:val="right"/>
        <w:spacing w:line="460" w:lineRule="exact"/>
        <w:rPr>
          <w:rFonts w:hint="eastAsia"/>
          <w:color w:val="000000"/>
          <w:highlight w:val="none"/>
        </w:rPr>
      </w:pPr>
      <w:r>
        <w:rPr>
          <w:rFonts w:hint="eastAsia"/>
          <w:color w:val="000000"/>
          <w:highlight w:val="none"/>
        </w:rPr>
        <w:t xml:space="preserve">日期：    年    月    日</w:t>
      </w:r>
      <w:r>
        <w:rPr>
          <w:rFonts w:hint="eastAsia"/>
          <w:color w:val="000000"/>
          <w:highlight w:val="none"/>
        </w:rPr>
      </w:r>
      <w:r/>
    </w:p>
    <w:p>
      <w:pPr>
        <w:pStyle w:val="1288"/>
        <w:spacing w:line="360" w:lineRule="auto"/>
        <w:rPr>
          <w:rFonts w:hint="eastAsia"/>
          <w:color w:val="000000"/>
          <w:sz w:val="24"/>
          <w:highlight w:val="none"/>
        </w:rPr>
      </w:pPr>
      <w:r>
        <w:rPr>
          <w:rFonts w:hint="eastAsia"/>
          <w:color w:val="000000"/>
          <w:sz w:val="24"/>
          <w:highlight w:val="none"/>
        </w:rPr>
      </w:r>
      <w:r/>
    </w:p>
    <w:p>
      <w:pPr>
        <w:pStyle w:val="1288"/>
        <w:spacing w:line="360" w:lineRule="auto"/>
        <w:rPr>
          <w:rFonts w:hint="eastAsia"/>
          <w:color w:val="000000"/>
          <w:sz w:val="24"/>
          <w:highlight w:val="none"/>
        </w:rPr>
      </w:pPr>
      <w:r>
        <w:rPr>
          <w:rFonts w:hint="eastAsia"/>
          <w:color w:val="000000"/>
          <w:sz w:val="24"/>
          <w:highlight w:val="none"/>
        </w:rPr>
      </w:r>
      <w:r/>
    </w:p>
    <w:p>
      <w:pPr>
        <w:pStyle w:val="1288"/>
        <w:spacing w:line="360" w:lineRule="auto"/>
        <w:rPr>
          <w:rFonts w:hint="eastAsia"/>
          <w:color w:val="000000"/>
          <w:sz w:val="24"/>
          <w:highlight w:val="none"/>
        </w:rPr>
      </w:pPr>
      <w:r>
        <w:rPr>
          <w:rFonts w:hint="eastAsia"/>
          <w:color w:val="000000"/>
          <w:sz w:val="24"/>
          <w:highlight w:val="none"/>
        </w:rPr>
      </w:r>
      <w:r/>
    </w:p>
    <w:p>
      <w:pPr>
        <w:pStyle w:val="1288"/>
        <w:spacing w:line="360" w:lineRule="auto"/>
        <w:rPr>
          <w:color w:val="000000"/>
          <w:sz w:val="24"/>
          <w:highlight w:val="none"/>
        </w:rPr>
      </w:pPr>
      <w:r>
        <w:rPr>
          <w:color w:val="000000"/>
          <w:sz w:val="24"/>
          <w:highlight w:val="none"/>
        </w:rPr>
        <w:t xml:space="preserve">说明：</w:t>
      </w:r>
      <w:r>
        <w:rPr>
          <w:rFonts w:hint="eastAsia"/>
          <w:color w:val="000000"/>
          <w:sz w:val="24"/>
          <w:highlight w:val="none"/>
        </w:rPr>
        <w:t xml:space="preserve">供应商承诺不实的，依据《政府采购法》第七十七条“提供虚假材料谋取中标、成交的”有关规定予以处理</w:t>
      </w:r>
      <w:r>
        <w:rPr>
          <w:color w:val="000000"/>
          <w:sz w:val="24"/>
          <w:highlight w:val="none"/>
        </w:rPr>
        <w:t xml:space="preserve">。</w:t>
      </w:r>
      <w:r>
        <w:rPr>
          <w:color w:val="000000"/>
          <w:sz w:val="24"/>
          <w:highlight w:val="none"/>
        </w:rPr>
      </w:r>
      <w:r/>
    </w:p>
    <w:p>
      <w:pPr>
        <w:pStyle w:val="1288"/>
        <w:spacing w:line="360" w:lineRule="auto"/>
        <w:tabs>
          <w:tab w:val="left" w:pos="5580" w:leader="none"/>
        </w:tabs>
        <w:rPr>
          <w:color w:val="000000"/>
          <w:sz w:val="24"/>
          <w:highlight w:val="none"/>
        </w:rPr>
        <w:sectPr>
          <w:footerReference w:type="default" r:id="rId24"/>
          <w:footnotePr/>
          <w:endnotePr/>
          <w:type w:val="nextPage"/>
          <w:pgSz w:w="11907" w:h="16840" w:orient="portrait"/>
          <w:pgMar w:top="1418" w:right="1134" w:bottom="1418" w:left="1701" w:header="851" w:footer="851" w:gutter="0"/>
          <w:cols w:num="1" w:sep="0" w:space="1701" w:equalWidth="1"/>
          <w:docGrid w:linePitch="360"/>
        </w:sectPr>
      </w:pPr>
      <w:r>
        <w:rPr>
          <w:color w:val="000000"/>
          <w:sz w:val="24"/>
          <w:highlight w:val="none"/>
        </w:rPr>
      </w:r>
      <w:r/>
    </w:p>
    <w:p>
      <w:pPr>
        <w:pStyle w:val="1291"/>
        <w:rPr>
          <w:rFonts w:hint="eastAsia" w:ascii="Times New Roman"/>
          <w:b w:val="0"/>
          <w:color w:val="000000"/>
          <w:highlight w:val="none"/>
          <w:u w:val="none"/>
        </w:rPr>
      </w:pPr>
      <w:r>
        <w:rPr>
          <w:rFonts w:hint="eastAsia" w:ascii="Times New Roman"/>
          <w:b w:val="0"/>
          <w:color w:val="000000"/>
          <w:highlight w:val="none"/>
          <w:u w:val="none"/>
        </w:rPr>
        <w:t xml:space="preserve">1-2企业营业执照或事业单位法人证书或自然人身份证明文件</w:t>
      </w:r>
      <w:r>
        <w:rPr>
          <w:rFonts w:hint="eastAsia" w:ascii="Times New Roman"/>
          <w:b w:val="0"/>
          <w:color w:val="000000"/>
          <w:highlight w:val="none"/>
          <w:u w:val="none"/>
        </w:rPr>
      </w:r>
      <w:r/>
    </w:p>
    <w:p>
      <w:pPr>
        <w:pStyle w:val="1288"/>
        <w:spacing w:line="360" w:lineRule="auto"/>
        <w:rPr>
          <w:rFonts w:hint="eastAsia"/>
          <w:color w:val="000000"/>
          <w:sz w:val="24"/>
          <w:szCs w:val="20"/>
          <w:highlight w:val="none"/>
        </w:rPr>
        <w:outlineLvl w:val="1"/>
      </w:pPr>
      <w:r>
        <w:rPr>
          <w:color w:val="000000"/>
          <w:sz w:val="24"/>
          <w:szCs w:val="20"/>
          <w:highlight w:val="none"/>
        </w:rPr>
        <w:t xml:space="preserve">2 落实政府采购政策需满足的资格要求：本项目不涉及</w:t>
      </w:r>
      <w:r>
        <w:rPr>
          <w:rFonts w:hint="eastAsia"/>
          <w:color w:val="000000"/>
          <w:sz w:val="24"/>
          <w:szCs w:val="20"/>
          <w:highlight w:val="none"/>
        </w:rPr>
      </w:r>
      <w:r/>
    </w:p>
    <w:p>
      <w:pPr>
        <w:pStyle w:val="1288"/>
        <w:spacing w:line="360" w:lineRule="auto"/>
        <w:rPr>
          <w:rFonts w:hint="eastAsia"/>
          <w:color w:val="000000"/>
          <w:sz w:val="24"/>
          <w:szCs w:val="20"/>
          <w:highlight w:val="none"/>
        </w:rPr>
        <w:outlineLvl w:val="2"/>
      </w:pPr>
      <w:r/>
      <w:bookmarkStart w:id="803" w:name="_Hlt520343392"/>
      <w:r/>
      <w:bookmarkEnd w:id="803"/>
      <w:r/>
      <w:bookmarkStart w:id="804" w:name="_Hlt520343000"/>
      <w:r/>
      <w:bookmarkEnd w:id="804"/>
      <w:r/>
      <w:bookmarkStart w:id="805" w:name="_Hlt520271212"/>
      <w:r/>
      <w:bookmarkEnd w:id="805"/>
      <w:r/>
      <w:bookmarkStart w:id="806" w:name="_Hlt520355504"/>
      <w:r/>
      <w:bookmarkEnd w:id="806"/>
      <w:r/>
      <w:bookmarkStart w:id="807" w:name="_Hlt520274065"/>
      <w:r/>
      <w:bookmarkEnd w:id="807"/>
      <w:r/>
      <w:bookmarkStart w:id="808" w:name="_Hlt520274393"/>
      <w:r/>
      <w:bookmarkEnd w:id="808"/>
      <w:r/>
      <w:bookmarkStart w:id="809" w:name="_Hlt520274407"/>
      <w:r/>
      <w:bookmarkEnd w:id="809"/>
      <w:r/>
      <w:bookmarkStart w:id="810" w:name="_Hlt520350918"/>
      <w:r/>
      <w:bookmarkEnd w:id="810"/>
      <w:r/>
      <w:bookmarkStart w:id="811" w:name="_Hlt520274121"/>
      <w:r/>
      <w:bookmarkEnd w:id="811"/>
      <w:r/>
      <w:bookmarkStart w:id="812" w:name="_Hlt520273711"/>
      <w:r/>
      <w:bookmarkEnd w:id="812"/>
      <w:r/>
      <w:bookmarkStart w:id="813" w:name="_Toc127151556"/>
      <w:r/>
      <w:bookmarkStart w:id="814" w:name="_Toc520356217"/>
      <w:r/>
      <w:bookmarkStart w:id="815" w:name="_Toc195842921"/>
      <w:r/>
      <w:bookmarkStart w:id="816" w:name="_Toc150480794"/>
      <w:r/>
      <w:bookmarkStart w:id="817" w:name="_Toc226309800"/>
      <w:r/>
      <w:bookmarkStart w:id="818" w:name="_Toc142311058"/>
      <w:r/>
      <w:bookmarkStart w:id="819" w:name="_Toc226337252"/>
      <w:r/>
      <w:bookmarkStart w:id="820" w:name="_Toc226965829"/>
      <w:r/>
      <w:bookmarkStart w:id="821" w:name="_Toc226965746"/>
      <w:r/>
      <w:bookmarkStart w:id="822" w:name="_Toc150774761"/>
      <w:r>
        <w:rPr>
          <w:rFonts w:hint="eastAsia"/>
          <w:color w:val="000000"/>
          <w:sz w:val="24"/>
          <w:szCs w:val="20"/>
          <w:highlight w:val="none"/>
        </w:rPr>
        <w:t xml:space="preserve">2-1</w:t>
      </w:r>
      <w:r>
        <w:rPr>
          <w:color w:val="000000"/>
          <w:sz w:val="24"/>
          <w:szCs w:val="20"/>
          <w:highlight w:val="none"/>
        </w:rPr>
        <w:t xml:space="preserve">本项目专门面向中小企业。</w:t>
      </w:r>
      <w:r>
        <w:rPr>
          <w:rFonts w:hint="eastAsia"/>
          <w:color w:val="000000"/>
          <w:sz w:val="24"/>
          <w:szCs w:val="20"/>
          <w:highlight w:val="none"/>
        </w:rPr>
      </w:r>
      <w:r/>
    </w:p>
    <w:p>
      <w:pPr>
        <w:pStyle w:val="1288"/>
        <w:spacing w:line="360" w:lineRule="auto"/>
        <w:rPr>
          <w:color w:val="000000"/>
          <w:sz w:val="24"/>
          <w:szCs w:val="20"/>
          <w:highlight w:val="none"/>
        </w:rPr>
        <w:outlineLvl w:val="2"/>
      </w:pPr>
      <w:r>
        <w:rPr>
          <w:color w:val="000000"/>
          <w:sz w:val="24"/>
          <w:szCs w:val="20"/>
          <w:highlight w:val="none"/>
        </w:rPr>
        <w:t xml:space="preserve">2-</w:t>
      </w:r>
      <w:r>
        <w:rPr>
          <w:rFonts w:hint="eastAsia"/>
          <w:color w:val="000000"/>
          <w:sz w:val="24"/>
          <w:szCs w:val="20"/>
          <w:highlight w:val="none"/>
        </w:rPr>
        <w:t xml:space="preserve">2</w:t>
      </w:r>
      <w:r>
        <w:rPr>
          <w:color w:val="000000"/>
          <w:sz w:val="24"/>
          <w:szCs w:val="20"/>
          <w:highlight w:val="none"/>
        </w:rPr>
        <w:t xml:space="preserve"> </w:t>
      </w:r>
      <w:r>
        <w:rPr>
          <w:color w:val="000000"/>
          <w:sz w:val="24"/>
          <w:highlight w:val="none"/>
        </w:rPr>
        <w:t xml:space="preserve">其它落实政府采购政策的资格要求</w:t>
      </w:r>
      <w:r>
        <w:rPr>
          <w:rFonts w:hint="eastAsia"/>
          <w:color w:val="000000"/>
          <w:sz w:val="24"/>
          <w:szCs w:val="20"/>
          <w:highlight w:val="none"/>
        </w:rPr>
        <w:t xml:space="preserve">：</w:t>
      </w:r>
      <w:r>
        <w:rPr>
          <w:color w:val="000000"/>
          <w:sz w:val="24"/>
          <w:szCs w:val="20"/>
          <w:highlight w:val="none"/>
        </w:rPr>
        <w:t xml:space="preserve">无</w:t>
      </w:r>
      <w:r>
        <w:rPr>
          <w:rFonts w:hint="eastAsia"/>
          <w:color w:val="000000"/>
          <w:sz w:val="24"/>
          <w:szCs w:val="20"/>
          <w:highlight w:val="none"/>
        </w:rPr>
        <w:t xml:space="preserve">。</w:t>
      </w:r>
      <w:r>
        <w:rPr>
          <w:color w:val="000000"/>
          <w:sz w:val="24"/>
          <w:szCs w:val="20"/>
          <w:highlight w:val="none"/>
        </w:rPr>
      </w:r>
      <w:r/>
    </w:p>
    <w:p>
      <w:pPr>
        <w:pStyle w:val="1288"/>
        <w:jc w:val="left"/>
        <w:widowControl/>
        <w:rPr>
          <w:color w:val="000000"/>
          <w:sz w:val="24"/>
          <w:highlight w:val="none"/>
        </w:rPr>
      </w:pPr>
      <w:r>
        <w:rPr>
          <w:color w:val="000000"/>
          <w:sz w:val="24"/>
          <w:highlight w:val="none"/>
        </w:rPr>
      </w:r>
      <w:r/>
    </w:p>
    <w:p>
      <w:pPr>
        <w:pStyle w:val="1288"/>
        <w:spacing w:line="360" w:lineRule="auto"/>
        <w:rPr>
          <w:color w:val="000000"/>
          <w:sz w:val="24"/>
          <w:szCs w:val="20"/>
          <w:highlight w:val="none"/>
        </w:rPr>
        <w:outlineLvl w:val="1"/>
      </w:pPr>
      <w:r>
        <w:rPr>
          <w:color w:val="000000"/>
          <w:sz w:val="24"/>
          <w:szCs w:val="20"/>
          <w:highlight w:val="none"/>
        </w:rPr>
        <w:t xml:space="preserve">3 本项目的特定资格要求</w:t>
      </w:r>
      <w:r>
        <w:rPr>
          <w:rFonts w:hint="eastAsia"/>
          <w:color w:val="000000"/>
          <w:sz w:val="24"/>
          <w:szCs w:val="20"/>
          <w:highlight w:val="none"/>
        </w:rPr>
        <w:t xml:space="preserve">：</w:t>
      </w:r>
      <w:r>
        <w:rPr>
          <w:color w:val="000000"/>
          <w:sz w:val="24"/>
          <w:szCs w:val="20"/>
          <w:highlight w:val="none"/>
        </w:rPr>
      </w:r>
      <w:r/>
    </w:p>
    <w:p>
      <w:pPr>
        <w:pStyle w:val="1288"/>
        <w:spacing w:line="360" w:lineRule="auto"/>
        <w:rPr>
          <w:rFonts w:hint="eastAsia"/>
          <w:color w:val="000000"/>
          <w:sz w:val="24"/>
          <w:szCs w:val="20"/>
          <w:highlight w:val="none"/>
        </w:rPr>
        <w:outlineLvl w:val="2"/>
      </w:pPr>
      <w:r>
        <w:rPr>
          <w:color w:val="000000"/>
          <w:sz w:val="24"/>
          <w:szCs w:val="20"/>
          <w:highlight w:val="none"/>
        </w:rPr>
        <w:t xml:space="preserve">3-1联合协议</w:t>
      </w:r>
      <w:r>
        <w:rPr>
          <w:rFonts w:hint="eastAsia"/>
          <w:color w:val="000000"/>
          <w:sz w:val="24"/>
          <w:szCs w:val="20"/>
          <w:highlight w:val="none"/>
        </w:rPr>
        <w:t xml:space="preserve">：</w:t>
      </w:r>
      <w:r>
        <w:rPr>
          <w:color w:val="000000"/>
          <w:sz w:val="24"/>
          <w:szCs w:val="20"/>
          <w:highlight w:val="none"/>
        </w:rPr>
        <w:t xml:space="preserve">本项目不接受联合体投标</w:t>
      </w:r>
      <w:r>
        <w:rPr>
          <w:rFonts w:hint="eastAsia"/>
          <w:color w:val="000000"/>
          <w:sz w:val="24"/>
          <w:szCs w:val="20"/>
          <w:highlight w:val="none"/>
        </w:rPr>
        <w:t xml:space="preserve">。</w:t>
      </w:r>
      <w:r>
        <w:rPr>
          <w:rFonts w:hint="eastAsia"/>
          <w:color w:val="000000"/>
          <w:sz w:val="24"/>
          <w:szCs w:val="20"/>
          <w:highlight w:val="none"/>
        </w:rPr>
      </w:r>
      <w:r/>
    </w:p>
    <w:p>
      <w:pPr>
        <w:pStyle w:val="1288"/>
        <w:spacing w:line="360" w:lineRule="auto"/>
        <w:rPr>
          <w:color w:val="000000"/>
          <w:sz w:val="24"/>
          <w:szCs w:val="20"/>
          <w:highlight w:val="none"/>
        </w:rPr>
        <w:outlineLvl w:val="2"/>
      </w:pPr>
      <w:r>
        <w:rPr>
          <w:color w:val="000000"/>
          <w:sz w:val="24"/>
          <w:szCs w:val="20"/>
          <w:highlight w:val="none"/>
        </w:rPr>
        <w:t xml:space="preserve">3-2其他特定资格要求</w:t>
      </w:r>
      <w:r>
        <w:rPr>
          <w:rFonts w:hint="eastAsia"/>
          <w:color w:val="000000"/>
          <w:sz w:val="24"/>
          <w:szCs w:val="20"/>
          <w:highlight w:val="none"/>
        </w:rPr>
        <w:t xml:space="preserve">：详见采购文件</w:t>
      </w:r>
      <w:r>
        <w:rPr>
          <w:color w:val="000000"/>
          <w:sz w:val="24"/>
          <w:szCs w:val="20"/>
          <w:highlight w:val="none"/>
        </w:rPr>
      </w:r>
      <w:r/>
    </w:p>
    <w:p>
      <w:pPr>
        <w:pStyle w:val="1288"/>
        <w:spacing w:line="360" w:lineRule="auto"/>
        <w:rPr>
          <w:color w:val="000000"/>
          <w:sz w:val="24"/>
          <w:szCs w:val="20"/>
          <w:highlight w:val="none"/>
        </w:rPr>
        <w:outlineLvl w:val="1"/>
      </w:pPr>
      <w:r>
        <w:rPr>
          <w:color w:val="000000"/>
          <w:sz w:val="24"/>
          <w:highlight w:val="none"/>
        </w:rPr>
        <w:br w:type="page" w:clear="all"/>
      </w:r>
      <w:r>
        <w:rPr>
          <w:rFonts w:hint="eastAsia"/>
          <w:color w:val="000000"/>
          <w:sz w:val="24"/>
          <w:highlight w:val="none"/>
        </w:rPr>
        <w:t xml:space="preserve">4</w:t>
      </w:r>
      <w:r>
        <w:rPr>
          <w:color w:val="000000"/>
          <w:sz w:val="24"/>
          <w:highlight w:val="none"/>
        </w:rPr>
        <w:t xml:space="preserve"> </w:t>
      </w:r>
      <w:r>
        <w:rPr>
          <w:rFonts w:hint="eastAsia"/>
          <w:color w:val="000000"/>
          <w:sz w:val="24"/>
          <w:highlight w:val="none"/>
        </w:rPr>
        <w:t xml:space="preserve">竞争性谈判</w:t>
      </w:r>
      <w:r>
        <w:rPr>
          <w:color w:val="000000"/>
          <w:sz w:val="24"/>
          <w:highlight w:val="none"/>
        </w:rPr>
        <w:t xml:space="preserve">响应</w:t>
      </w:r>
      <w:bookmarkEnd w:id="813"/>
      <w:r/>
      <w:bookmarkEnd w:id="814"/>
      <w:r/>
      <w:bookmarkEnd w:id="815"/>
      <w:r/>
      <w:bookmarkEnd w:id="816"/>
      <w:r/>
      <w:bookmarkEnd w:id="817"/>
      <w:r/>
      <w:bookmarkEnd w:id="818"/>
      <w:r/>
      <w:bookmarkEnd w:id="819"/>
      <w:r/>
      <w:bookmarkEnd w:id="820"/>
      <w:r/>
      <w:bookmarkEnd w:id="821"/>
      <w:r/>
      <w:bookmarkEnd w:id="822"/>
      <w:r>
        <w:rPr>
          <w:rFonts w:hint="eastAsia"/>
          <w:color w:val="000000"/>
          <w:sz w:val="24"/>
          <w:highlight w:val="none"/>
        </w:rPr>
        <w:t xml:space="preserve">函</w:t>
      </w:r>
      <w:r>
        <w:rPr>
          <w:color w:val="000000"/>
          <w:sz w:val="24"/>
          <w:szCs w:val="20"/>
          <w:highlight w:val="none"/>
        </w:rPr>
        <w:t xml:space="preserve">（实质性格式）</w:t>
      </w:r>
      <w:r>
        <w:rPr>
          <w:color w:val="000000"/>
          <w:sz w:val="24"/>
          <w:szCs w:val="20"/>
          <w:highlight w:val="none"/>
        </w:rPr>
      </w:r>
      <w:r/>
    </w:p>
    <w:p>
      <w:pPr>
        <w:pStyle w:val="1288"/>
        <w:spacing w:line="360" w:lineRule="auto"/>
        <w:tabs>
          <w:tab w:val="left" w:pos="5580" w:leader="none"/>
        </w:tabs>
        <w:rPr>
          <w:color w:val="000000"/>
          <w:sz w:val="24"/>
          <w:highlight w:val="none"/>
        </w:rPr>
      </w:pPr>
      <w:r>
        <w:rPr>
          <w:color w:val="000000"/>
          <w:sz w:val="24"/>
          <w:highlight w:val="none"/>
        </w:rPr>
      </w:r>
      <w:r/>
    </w:p>
    <w:p>
      <w:pPr>
        <w:pStyle w:val="1288"/>
        <w:jc w:val="center"/>
        <w:spacing w:line="360" w:lineRule="auto"/>
        <w:rPr>
          <w:b/>
          <w:color w:val="000000"/>
          <w:sz w:val="36"/>
          <w:szCs w:val="36"/>
          <w:highlight w:val="none"/>
        </w:rPr>
      </w:pPr>
      <w:r>
        <w:rPr>
          <w:rFonts w:hint="eastAsia"/>
          <w:b/>
          <w:color w:val="000000"/>
          <w:sz w:val="36"/>
          <w:szCs w:val="36"/>
          <w:highlight w:val="none"/>
        </w:rPr>
        <w:t xml:space="preserve">竞争性谈判</w:t>
      </w:r>
      <w:r>
        <w:rPr>
          <w:b/>
          <w:color w:val="000000"/>
          <w:sz w:val="36"/>
          <w:szCs w:val="36"/>
          <w:highlight w:val="none"/>
        </w:rPr>
        <w:t xml:space="preserve">响应</w:t>
      </w:r>
      <w:r>
        <w:rPr>
          <w:rFonts w:hint="eastAsia"/>
          <w:b/>
          <w:color w:val="000000"/>
          <w:sz w:val="36"/>
          <w:szCs w:val="36"/>
          <w:highlight w:val="none"/>
        </w:rPr>
        <w:t xml:space="preserve">函</w:t>
      </w:r>
      <w:r>
        <w:rPr>
          <w:b/>
          <w:color w:val="000000"/>
          <w:sz w:val="36"/>
          <w:szCs w:val="36"/>
          <w:highlight w:val="none"/>
        </w:rPr>
      </w:r>
      <w:r/>
    </w:p>
    <w:p>
      <w:pPr>
        <w:pStyle w:val="1288"/>
        <w:spacing w:line="360" w:lineRule="auto"/>
        <w:tabs>
          <w:tab w:val="left" w:pos="5580" w:leader="none"/>
        </w:tabs>
        <w:rPr>
          <w:color w:val="000000"/>
          <w:sz w:val="24"/>
          <w:highlight w:val="none"/>
        </w:rPr>
      </w:pPr>
      <w:r>
        <w:rPr>
          <w:color w:val="000000"/>
          <w:sz w:val="24"/>
          <w:highlight w:val="none"/>
        </w:rPr>
        <w:t xml:space="preserve">致：</w:t>
      </w:r>
      <w:r>
        <w:rPr>
          <w:color w:val="000000"/>
          <w:sz w:val="24"/>
          <w:highlight w:val="none"/>
          <w:u w:val="single"/>
        </w:rPr>
        <w:t xml:space="preserve">（采购人或采购代理机构）</w:t>
      </w:r>
      <w:r>
        <w:rPr>
          <w:color w:val="000000"/>
          <w:sz w:val="24"/>
          <w:highlight w:val="none"/>
        </w:rPr>
      </w:r>
      <w:r/>
    </w:p>
    <w:p>
      <w:pPr>
        <w:pStyle w:val="1288"/>
        <w:spacing w:line="360" w:lineRule="auto"/>
        <w:tabs>
          <w:tab w:val="left" w:pos="5580" w:leader="none"/>
        </w:tabs>
        <w:rPr>
          <w:color w:val="000000"/>
          <w:sz w:val="24"/>
          <w:szCs w:val="20"/>
          <w:highlight w:val="none"/>
        </w:rPr>
      </w:pPr>
      <w:r>
        <w:rPr>
          <w:color w:val="000000"/>
          <w:sz w:val="24"/>
          <w:szCs w:val="20"/>
          <w:highlight w:val="none"/>
        </w:rPr>
      </w:r>
      <w:r/>
    </w:p>
    <w:p>
      <w:pPr>
        <w:pStyle w:val="1288"/>
        <w:ind w:firstLine="480"/>
        <w:jc w:val="left"/>
        <w:spacing w:line="420" w:lineRule="exact"/>
        <w:rPr>
          <w:rFonts w:ascii="宋体" w:hAnsi="宋体"/>
          <w:color w:val="000000"/>
          <w:sz w:val="24"/>
          <w:szCs w:val="21"/>
          <w:highlight w:val="none"/>
        </w:rPr>
      </w:pPr>
      <w:r/>
      <w:bookmarkStart w:id="823" w:name="OLE_LINK96"/>
      <w:r/>
      <w:bookmarkStart w:id="824" w:name="OLE_LINK95"/>
      <w:r>
        <w:rPr>
          <w:rFonts w:hint="eastAsia" w:ascii="宋体" w:hAnsi="宋体"/>
          <w:color w:val="000000"/>
          <w:sz w:val="24"/>
          <w:szCs w:val="21"/>
          <w:highlight w:val="none"/>
        </w:rPr>
        <w:t xml:space="preserve">根据贵方的JSZC-</w:t>
      </w:r>
      <w:r>
        <w:rPr>
          <w:rFonts w:hint="eastAsia" w:ascii="宋体" w:hAnsi="宋体"/>
          <w:b/>
          <w:color w:val="000000"/>
          <w:sz w:val="36"/>
          <w:highlight w:val="none"/>
          <w:u w:val="single"/>
        </w:rPr>
        <w:t xml:space="preserve">    </w:t>
      </w:r>
      <w:r>
        <w:rPr>
          <w:rFonts w:hint="eastAsia" w:ascii="宋体" w:hAnsi="宋体"/>
          <w:color w:val="000000"/>
          <w:sz w:val="24"/>
          <w:szCs w:val="21"/>
          <w:highlight w:val="none"/>
        </w:rPr>
        <w:t xml:space="preserve">号采购文件，正式授权下述签字人______(姓名)代表我方______________（供应商的名称），全权处理本次项目</w:t>
      </w:r>
      <w:bookmarkStart w:id="825" w:name="OLE_LINK91"/>
      <w:r>
        <w:rPr>
          <w:rFonts w:hint="eastAsia" w:ascii="宋体" w:hAnsi="宋体"/>
          <w:color w:val="000000"/>
          <w:sz w:val="24"/>
          <w:szCs w:val="21"/>
          <w:highlight w:val="none"/>
        </w:rPr>
        <w:t xml:space="preserve">竞争性谈判</w:t>
      </w:r>
      <w:bookmarkEnd w:id="825"/>
      <w:r>
        <w:rPr>
          <w:rFonts w:hint="eastAsia" w:ascii="宋体" w:hAnsi="宋体"/>
          <w:color w:val="000000"/>
          <w:sz w:val="24"/>
          <w:szCs w:val="21"/>
          <w:highlight w:val="none"/>
        </w:rPr>
        <w:t xml:space="preserve">采购的有关事宜。</w:t>
      </w:r>
      <w:r>
        <w:rPr>
          <w:rFonts w:ascii="宋体" w:hAnsi="宋体"/>
          <w:color w:val="000000"/>
          <w:sz w:val="24"/>
          <w:szCs w:val="21"/>
          <w:highlight w:val="none"/>
        </w:rPr>
      </w:r>
      <w:r/>
    </w:p>
    <w:p>
      <w:pPr>
        <w:pStyle w:val="1288"/>
        <w:ind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据此函，__________签字人兹宣布同意如下：</w:t>
      </w:r>
      <w:r>
        <w:rPr>
          <w:rFonts w:hint="eastAsia" w:ascii="宋体" w:hAnsi="宋体"/>
          <w:color w:val="000000"/>
          <w:sz w:val="24"/>
          <w:szCs w:val="21"/>
          <w:highlight w:val="none"/>
        </w:rPr>
      </w:r>
      <w:r/>
    </w:p>
    <w:p>
      <w:pPr>
        <w:pStyle w:val="1288"/>
        <w:ind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1.按采购文件规定的各项要求，向买方提供所需货物、服务（包含与货物相关的服务及与服务相关的货物）。</w:t>
      </w:r>
      <w:r>
        <w:rPr>
          <w:rFonts w:hint="eastAsia" w:ascii="宋体" w:hAnsi="宋体"/>
          <w:color w:val="000000"/>
          <w:sz w:val="24"/>
          <w:szCs w:val="21"/>
          <w:highlight w:val="none"/>
        </w:rPr>
      </w:r>
      <w:r/>
    </w:p>
    <w:p>
      <w:pPr>
        <w:pStyle w:val="1288"/>
        <w:ind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2.我们已详细审核全部采购文件及其有效补充文件，我们知道必须放弃提出含糊不清或误解问题的权利。</w:t>
      </w:r>
      <w:r>
        <w:rPr>
          <w:rFonts w:hint="eastAsia" w:ascii="宋体" w:hAnsi="宋体"/>
          <w:color w:val="000000"/>
          <w:sz w:val="24"/>
          <w:szCs w:val="21"/>
          <w:highlight w:val="none"/>
        </w:rPr>
      </w:r>
      <w:r/>
    </w:p>
    <w:p>
      <w:pPr>
        <w:pStyle w:val="1288"/>
        <w:ind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3.我们同意从规定的竞争性谈判时间起遵循本响应文件，并在规定的竞争性谈判有效期期满之前均具有约束力。</w:t>
      </w:r>
      <w:r>
        <w:rPr>
          <w:rFonts w:hint="eastAsia" w:ascii="宋体" w:hAnsi="宋体"/>
          <w:color w:val="000000"/>
          <w:sz w:val="24"/>
          <w:szCs w:val="21"/>
          <w:highlight w:val="none"/>
        </w:rPr>
      </w:r>
      <w:r/>
    </w:p>
    <w:p>
      <w:pPr>
        <w:pStyle w:val="1288"/>
        <w:ind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4.同意向贵方提供贵方可能另外要求的与竞争性谈判采购有关的任何证据或资料，并保证我方已提供和将要提供的文件是真实的、准确的。</w:t>
      </w:r>
      <w:r>
        <w:rPr>
          <w:rFonts w:hint="eastAsia" w:ascii="宋体" w:hAnsi="宋体"/>
          <w:color w:val="000000"/>
          <w:sz w:val="24"/>
          <w:szCs w:val="21"/>
          <w:highlight w:val="none"/>
        </w:rPr>
      </w:r>
      <w:r/>
    </w:p>
    <w:p>
      <w:pPr>
        <w:pStyle w:val="1288"/>
        <w:ind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5.一旦我方成交,我方将根据采购文件的规定，严格履行合同的责任和义务,并保证在采购文件规定的时间完成项目，交付买方验收、使用。</w:t>
      </w:r>
      <w:r>
        <w:rPr>
          <w:rFonts w:hint="eastAsia" w:ascii="宋体" w:hAnsi="宋体"/>
          <w:color w:val="000000"/>
          <w:sz w:val="24"/>
          <w:szCs w:val="21"/>
          <w:highlight w:val="none"/>
        </w:rPr>
      </w:r>
      <w:r/>
    </w:p>
    <w:p>
      <w:pPr>
        <w:pStyle w:val="1288"/>
        <w:ind w:left="425"/>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6.我方与本次竞争性谈判采购有关的正式通讯地址为：</w:t>
      </w:r>
      <w:r>
        <w:rPr>
          <w:rFonts w:hint="eastAsia" w:ascii="宋体" w:hAnsi="宋体"/>
          <w:color w:val="000000"/>
          <w:sz w:val="24"/>
          <w:szCs w:val="21"/>
          <w:highlight w:val="none"/>
        </w:rPr>
      </w:r>
      <w:r/>
    </w:p>
    <w:p>
      <w:pPr>
        <w:pStyle w:val="1288"/>
        <w:ind w:left="420"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地          址：</w:t>
      </w:r>
      <w:r>
        <w:rPr>
          <w:rFonts w:hint="eastAsia" w:ascii="宋体" w:hAnsi="宋体"/>
          <w:color w:val="000000"/>
          <w:sz w:val="24"/>
          <w:szCs w:val="21"/>
          <w:highlight w:val="none"/>
        </w:rPr>
      </w:r>
      <w:r/>
    </w:p>
    <w:p>
      <w:pPr>
        <w:pStyle w:val="1288"/>
        <w:ind w:left="420"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邮          编：</w:t>
      </w:r>
      <w:r>
        <w:rPr>
          <w:rFonts w:hint="eastAsia" w:ascii="宋体" w:hAnsi="宋体"/>
          <w:color w:val="000000"/>
          <w:sz w:val="24"/>
          <w:szCs w:val="21"/>
          <w:highlight w:val="none"/>
        </w:rPr>
      </w:r>
      <w:r/>
    </w:p>
    <w:p>
      <w:pPr>
        <w:pStyle w:val="1288"/>
        <w:ind w:left="420"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电          话：</w:t>
      </w:r>
      <w:r>
        <w:rPr>
          <w:rFonts w:hint="eastAsia" w:ascii="宋体" w:hAnsi="宋体"/>
          <w:color w:val="000000"/>
          <w:sz w:val="24"/>
          <w:szCs w:val="21"/>
          <w:highlight w:val="none"/>
        </w:rPr>
      </w:r>
      <w:r/>
    </w:p>
    <w:p>
      <w:pPr>
        <w:pStyle w:val="1288"/>
        <w:ind w:left="420"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传          真：</w:t>
      </w:r>
      <w:r>
        <w:rPr>
          <w:rFonts w:hint="eastAsia" w:ascii="宋体" w:hAnsi="宋体"/>
          <w:color w:val="000000"/>
          <w:sz w:val="24"/>
          <w:szCs w:val="21"/>
          <w:highlight w:val="none"/>
        </w:rPr>
      </w:r>
      <w:r/>
    </w:p>
    <w:p>
      <w:pPr>
        <w:pStyle w:val="1288"/>
        <w:ind w:left="420"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供应商开户行：</w:t>
      </w:r>
      <w:r>
        <w:rPr>
          <w:rFonts w:hint="eastAsia" w:ascii="宋体" w:hAnsi="宋体"/>
          <w:color w:val="000000"/>
          <w:sz w:val="24"/>
          <w:szCs w:val="21"/>
          <w:highlight w:val="none"/>
        </w:rPr>
      </w:r>
      <w:r/>
    </w:p>
    <w:p>
      <w:pPr>
        <w:pStyle w:val="1288"/>
        <w:ind w:left="420"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账          号： </w:t>
      </w:r>
      <w:r>
        <w:rPr>
          <w:rFonts w:hint="eastAsia" w:ascii="宋体" w:hAnsi="宋体"/>
          <w:color w:val="000000"/>
          <w:sz w:val="24"/>
          <w:szCs w:val="21"/>
          <w:highlight w:val="none"/>
        </w:rPr>
      </w:r>
      <w:r/>
    </w:p>
    <w:p>
      <w:pPr>
        <w:pStyle w:val="1288"/>
        <w:ind w:left="420" w:firstLine="480"/>
        <w:spacing w:line="360" w:lineRule="auto"/>
        <w:tabs>
          <w:tab w:val="left" w:pos="5580" w:leader="none"/>
        </w:tabs>
        <w:rPr>
          <w:color w:val="000000"/>
          <w:sz w:val="24"/>
          <w:szCs w:val="20"/>
          <w:highlight w:val="none"/>
          <w:u w:val="single"/>
        </w:rPr>
      </w:pPr>
      <w:r>
        <w:rPr>
          <w:rFonts w:hint="eastAsia" w:ascii="宋体" w:hAnsi="宋体"/>
          <w:color w:val="000000"/>
          <w:sz w:val="24"/>
          <w:szCs w:val="21"/>
          <w:highlight w:val="none"/>
        </w:rPr>
        <w:t xml:space="preserve">日           期：________年____月____日</w:t>
      </w:r>
      <w:bookmarkEnd w:id="823"/>
      <w:r/>
      <w:bookmarkEnd w:id="824"/>
      <w:r>
        <w:rPr>
          <w:color w:val="000000"/>
          <w:sz w:val="24"/>
          <w:szCs w:val="20"/>
          <w:highlight w:val="none"/>
        </w:rPr>
        <w:t xml:space="preserve">  </w:t>
      </w:r>
      <w:r>
        <w:rPr>
          <w:color w:val="000000"/>
          <w:sz w:val="24"/>
          <w:szCs w:val="20"/>
          <w:highlight w:val="none"/>
          <w:u w:val="single"/>
        </w:rPr>
      </w:r>
      <w:r/>
    </w:p>
    <w:p>
      <w:pPr>
        <w:pStyle w:val="1288"/>
        <w:spacing w:line="360" w:lineRule="auto"/>
        <w:rPr>
          <w:color w:val="000000"/>
          <w:sz w:val="24"/>
          <w:highlight w:val="none"/>
        </w:rPr>
        <w:outlineLvl w:val="1"/>
      </w:pPr>
      <w:r/>
      <w:bookmarkStart w:id="826" w:name="_Hlt520355938"/>
      <w:r/>
      <w:bookmarkEnd w:id="826"/>
      <w:r/>
      <w:bookmarkStart w:id="827" w:name="_Hlt520356243"/>
      <w:r/>
      <w:bookmarkEnd w:id="827"/>
      <w:r/>
      <w:bookmarkStart w:id="828" w:name="_Toc195842922"/>
      <w:r/>
      <w:bookmarkStart w:id="829" w:name="_Toc226337253"/>
      <w:r/>
      <w:bookmarkStart w:id="830" w:name="_Toc305158825"/>
      <w:r/>
      <w:bookmarkStart w:id="831" w:name="_Toc142311059"/>
      <w:r/>
      <w:bookmarkStart w:id="832" w:name="_Ref467988705"/>
      <w:r/>
      <w:bookmarkStart w:id="833" w:name="_Toc265228395"/>
      <w:r/>
      <w:bookmarkStart w:id="834" w:name="_Toc150774762"/>
      <w:r/>
      <w:bookmarkStart w:id="835" w:name="_Toc226965747"/>
      <w:r/>
      <w:bookmarkStart w:id="836" w:name="_Toc150480795"/>
      <w:r/>
      <w:bookmarkStart w:id="837" w:name="_Toc127151557"/>
      <w:r/>
      <w:bookmarkStart w:id="838" w:name="_Toc226965830"/>
      <w:r/>
      <w:bookmarkStart w:id="839" w:name="_Toc264969247"/>
      <w:r/>
      <w:bookmarkStart w:id="840" w:name="_Toc226309801"/>
      <w:r/>
      <w:bookmarkStart w:id="841" w:name="_Toc520356218"/>
      <w:r/>
      <w:bookmarkStart w:id="842" w:name="_Toc305158899"/>
      <w:r/>
      <w:bookmarkStart w:id="843" w:name="_Toc480942350"/>
      <w:r>
        <w:rPr>
          <w:color w:val="000000"/>
          <w:sz w:val="24"/>
          <w:highlight w:val="none"/>
        </w:rPr>
        <w:br w:type="page" w:clear="all"/>
      </w:r>
      <w:r>
        <w:rPr>
          <w:rFonts w:hint="eastAsia"/>
          <w:color w:val="000000"/>
          <w:sz w:val="24"/>
          <w:highlight w:val="none"/>
        </w:rPr>
        <w:t xml:space="preserve">5</w:t>
      </w:r>
      <w:r>
        <w:rPr>
          <w:color w:val="000000"/>
          <w:sz w:val="24"/>
          <w:highlight w:val="none"/>
        </w:rPr>
        <w:t xml:space="preserve">  </w:t>
      </w:r>
      <w:r>
        <w:rPr>
          <w:rFonts w:hint="eastAsia"/>
          <w:color w:val="000000"/>
          <w:sz w:val="24"/>
          <w:highlight w:val="none"/>
        </w:rPr>
        <w:t xml:space="preserve">法人授权书（实质性格式）</w:t>
      </w:r>
      <w:r>
        <w:rPr>
          <w:color w:val="000000"/>
          <w:sz w:val="24"/>
          <w:highlight w:val="none"/>
        </w:rPr>
      </w:r>
      <w:r/>
    </w:p>
    <w:p>
      <w:pPr>
        <w:pStyle w:val="1288"/>
        <w:jc w:val="center"/>
        <w:spacing w:line="360" w:lineRule="auto"/>
        <w:rPr>
          <w:rFonts w:ascii="宋体" w:hAnsi="宋体"/>
          <w:b/>
          <w:color w:val="000000"/>
          <w:sz w:val="32"/>
          <w:szCs w:val="32"/>
          <w:highlight w:val="none"/>
        </w:rPr>
      </w:pPr>
      <w:r>
        <w:rPr>
          <w:rFonts w:ascii="宋体" w:hAnsi="宋体"/>
          <w:b/>
          <w:color w:val="000000"/>
          <w:sz w:val="32"/>
          <w:szCs w:val="32"/>
          <w:highlight w:val="none"/>
        </w:rPr>
      </w:r>
      <w:r/>
    </w:p>
    <w:p>
      <w:pPr>
        <w:pStyle w:val="1288"/>
        <w:jc w:val="center"/>
        <w:spacing w:line="360" w:lineRule="auto"/>
        <w:rPr>
          <w:rFonts w:hint="eastAsia" w:ascii="宋体" w:hAnsi="宋体"/>
          <w:b/>
          <w:color w:val="000000"/>
          <w:sz w:val="32"/>
          <w:szCs w:val="32"/>
          <w:highlight w:val="none"/>
        </w:rPr>
      </w:pPr>
      <w:r>
        <w:rPr>
          <w:rFonts w:hint="eastAsia" w:ascii="宋体" w:hAnsi="宋体"/>
          <w:b/>
          <w:color w:val="000000"/>
          <w:sz w:val="32"/>
          <w:szCs w:val="32"/>
          <w:highlight w:val="none"/>
        </w:rPr>
        <w:t xml:space="preserve">法人授权书</w:t>
      </w:r>
      <w:r>
        <w:rPr>
          <w:rFonts w:hint="eastAsia" w:ascii="宋体" w:hAnsi="宋体"/>
          <w:b/>
          <w:color w:val="000000"/>
          <w:sz w:val="32"/>
          <w:szCs w:val="32"/>
          <w:highlight w:val="none"/>
        </w:rPr>
      </w:r>
      <w:r/>
    </w:p>
    <w:p>
      <w:pPr>
        <w:pStyle w:val="1299"/>
        <w:tabs>
          <w:tab w:val="left" w:pos="567" w:leader="none"/>
        </w:tabs>
        <w:rPr>
          <w:rFonts w:hint="eastAsia" w:ascii="Times New Roman" w:hAnsi="Times New Roman"/>
          <w:color w:val="000000"/>
          <w:sz w:val="21"/>
          <w:highlight w:val="none"/>
        </w:rPr>
      </w:pPr>
      <w:r>
        <w:rPr>
          <w:rFonts w:hint="eastAsia" w:ascii="Times New Roman" w:hAnsi="Times New Roman"/>
          <w:color w:val="000000"/>
          <w:sz w:val="21"/>
          <w:highlight w:val="none"/>
        </w:rPr>
      </w:r>
      <w:r/>
    </w:p>
    <w:p>
      <w:pPr>
        <w:pStyle w:val="1343"/>
        <w:ind w:firstLine="480"/>
        <w:spacing w:line="360" w:lineRule="auto"/>
        <w:tabs>
          <w:tab w:val="left" w:pos="360" w:leader="none"/>
        </w:tabs>
        <w:rPr>
          <w:color w:val="000000"/>
          <w:highlight w:val="none"/>
        </w:rPr>
      </w:pPr>
      <w:r>
        <w:rPr>
          <w:rFonts w:hint="eastAsia"/>
          <w:color w:val="000000"/>
          <w:highlight w:val="none"/>
        </w:rPr>
        <w:t xml:space="preserve">本授权书声明：</w:t>
      </w:r>
      <w:r>
        <w:rPr>
          <w:color w:val="000000"/>
          <w:highlight w:val="none"/>
        </w:rPr>
        <w:t xml:space="preserve">____________</w:t>
      </w:r>
      <w:r>
        <w:rPr>
          <w:rFonts w:hint="eastAsia"/>
          <w:color w:val="000000"/>
          <w:highlight w:val="none"/>
        </w:rPr>
        <w:t xml:space="preserve">（供应商名称）授权</w:t>
      </w:r>
      <w:r>
        <w:rPr>
          <w:color w:val="000000"/>
          <w:highlight w:val="none"/>
        </w:rPr>
        <w:t xml:space="preserve">________________</w:t>
      </w:r>
      <w:r>
        <w:rPr>
          <w:rFonts w:hint="eastAsia"/>
          <w:color w:val="000000"/>
          <w:highlight w:val="none"/>
        </w:rPr>
        <w:t xml:space="preserve">（被授权人的姓名）为我方就</w:t>
      </w:r>
      <w:r>
        <w:rPr>
          <w:color w:val="000000"/>
          <w:highlight w:val="none"/>
        </w:rPr>
        <w:t xml:space="preserve">JSZC-</w:t>
      </w:r>
      <w:r>
        <w:rPr>
          <w:color w:val="000000"/>
          <w:highlight w:val="none"/>
          <w:u w:val="single"/>
        </w:rPr>
        <w:t xml:space="preserve">        </w:t>
      </w:r>
      <w:r>
        <w:rPr>
          <w:rFonts w:hint="eastAsia"/>
          <w:color w:val="000000"/>
          <w:highlight w:val="none"/>
        </w:rPr>
        <w:t xml:space="preserve">号项目采购活动的合法代理人，以本单位名义全权处理一切与该项目采购有关的事务。</w:t>
      </w:r>
      <w:r>
        <w:rPr>
          <w:color w:val="000000"/>
          <w:highlight w:val="none"/>
        </w:rPr>
      </w:r>
      <w:r/>
    </w:p>
    <w:p>
      <w:pPr>
        <w:pStyle w:val="1343"/>
        <w:ind w:firstLine="480"/>
        <w:spacing w:line="360" w:lineRule="auto"/>
        <w:tabs>
          <w:tab w:val="left" w:pos="360" w:leader="none"/>
        </w:tabs>
        <w:rPr>
          <w:color w:val="000000"/>
          <w:highlight w:val="none"/>
        </w:rPr>
      </w:pPr>
      <w:r>
        <w:rPr>
          <w:rFonts w:hint="eastAsia"/>
          <w:color w:val="000000"/>
          <w:highlight w:val="none"/>
        </w:rPr>
        <w:t xml:space="preserve">本授权书于</w:t>
      </w:r>
      <w:r>
        <w:rPr>
          <w:color w:val="000000"/>
          <w:highlight w:val="none"/>
        </w:rPr>
        <w:t xml:space="preserve">______</w:t>
      </w:r>
      <w:r>
        <w:rPr>
          <w:rFonts w:hint="eastAsia"/>
          <w:color w:val="000000"/>
          <w:highlight w:val="none"/>
        </w:rPr>
        <w:t xml:space="preserve">年</w:t>
      </w:r>
      <w:r>
        <w:rPr>
          <w:color w:val="000000"/>
          <w:highlight w:val="none"/>
        </w:rPr>
        <w:t xml:space="preserve">____</w:t>
      </w:r>
      <w:r>
        <w:rPr>
          <w:rFonts w:hint="eastAsia"/>
          <w:color w:val="000000"/>
          <w:highlight w:val="none"/>
        </w:rPr>
        <w:t xml:space="preserve">月</w:t>
      </w:r>
      <w:r>
        <w:rPr>
          <w:color w:val="000000"/>
          <w:highlight w:val="none"/>
        </w:rPr>
        <w:t xml:space="preserve">____</w:t>
      </w:r>
      <w:r>
        <w:rPr>
          <w:rFonts w:hint="eastAsia"/>
          <w:color w:val="000000"/>
          <w:highlight w:val="none"/>
        </w:rPr>
        <w:t xml:space="preserve">日起生效，特此声明。</w:t>
      </w:r>
      <w:r>
        <w:rPr>
          <w:color w:val="000000"/>
          <w:highlight w:val="none"/>
        </w:rPr>
      </w:r>
      <w:r/>
    </w:p>
    <w:p>
      <w:pPr>
        <w:pStyle w:val="1343"/>
        <w:spacing w:line="360" w:lineRule="auto"/>
        <w:tabs>
          <w:tab w:val="left" w:pos="360" w:leader="none"/>
        </w:tabs>
        <w:rPr>
          <w:color w:val="000000"/>
          <w:highlight w:val="none"/>
          <w:u w:val="single"/>
        </w:rPr>
      </w:pPr>
      <w:r>
        <w:rPr>
          <w:color w:val="000000"/>
          <w:highlight w:val="none"/>
        </w:rPr>
        <w:t xml:space="preserve">          </w:t>
      </w:r>
      <w:r>
        <w:rPr>
          <w:rFonts w:hint="eastAsia"/>
          <w:color w:val="000000"/>
          <w:highlight w:val="none"/>
        </w:rPr>
        <w:t xml:space="preserve">被授权人身份证号码：</w:t>
      </w:r>
      <w:r>
        <w:rPr>
          <w:color w:val="000000"/>
          <w:highlight w:val="none"/>
          <w:u w:val="single"/>
        </w:rPr>
        <w:t xml:space="preserve">                              </w:t>
      </w:r>
      <w:r>
        <w:rPr>
          <w:color w:val="000000"/>
          <w:highlight w:val="none"/>
          <w:u w:val="single"/>
        </w:rPr>
      </w:r>
      <w:r/>
    </w:p>
    <w:p>
      <w:pPr>
        <w:pStyle w:val="1343"/>
        <w:spacing w:line="360" w:lineRule="auto"/>
        <w:tabs>
          <w:tab w:val="left" w:pos="360" w:leader="none"/>
        </w:tabs>
        <w:rPr>
          <w:color w:val="000000"/>
          <w:highlight w:val="none"/>
          <w:u w:val="single"/>
        </w:rPr>
      </w:pPr>
      <w:r>
        <w:rPr>
          <w:color w:val="000000"/>
          <w:highlight w:val="none"/>
        </w:rPr>
        <w:t xml:space="preserve">          </w:t>
      </w:r>
      <w:r>
        <w:rPr>
          <w:rFonts w:hint="eastAsia"/>
          <w:color w:val="000000"/>
          <w:highlight w:val="none"/>
        </w:rPr>
        <w:t xml:space="preserve">被授权人联系电话：（手机）</w:t>
      </w:r>
      <w:r>
        <w:rPr>
          <w:color w:val="000000"/>
          <w:highlight w:val="none"/>
          <w:u w:val="single"/>
        </w:rPr>
        <w:t xml:space="preserve">                          </w:t>
      </w:r>
      <w:r>
        <w:rPr>
          <w:color w:val="000000"/>
          <w:highlight w:val="none"/>
          <w:u w:val="single"/>
        </w:rPr>
      </w:r>
      <w:r/>
    </w:p>
    <w:p>
      <w:pPr>
        <w:pStyle w:val="1343"/>
        <w:ind w:firstLine="1200"/>
        <w:spacing w:line="360" w:lineRule="auto"/>
        <w:tabs>
          <w:tab w:val="left" w:pos="360" w:leader="none"/>
        </w:tabs>
        <w:rPr>
          <w:color w:val="000000"/>
          <w:highlight w:val="none"/>
        </w:rPr>
      </w:pPr>
      <w:r>
        <w:rPr>
          <w:color w:val="000000"/>
          <w:highlight w:val="none"/>
        </w:rPr>
      </w:r>
      <w:r/>
    </w:p>
    <w:p>
      <w:pPr>
        <w:pStyle w:val="1343"/>
        <w:ind w:firstLine="1200"/>
        <w:spacing w:line="360" w:lineRule="auto"/>
        <w:tabs>
          <w:tab w:val="left" w:pos="360" w:leader="none"/>
        </w:tabs>
        <w:rPr>
          <w:color w:val="000000"/>
          <w:highlight w:val="none"/>
        </w:rPr>
      </w:pPr>
      <w:r>
        <w:rPr>
          <w:color w:val="000000"/>
          <w:highlight w:val="none"/>
        </w:rPr>
      </w:r>
      <w:r/>
    </w:p>
    <w:p>
      <w:pPr>
        <w:pStyle w:val="1288"/>
        <w:ind w:firstLine="480"/>
        <w:spacing w:line="360" w:lineRule="auto"/>
        <w:rPr>
          <w:rFonts w:ascii="宋体" w:hAnsi="宋体"/>
          <w:color w:val="000000"/>
          <w:sz w:val="24"/>
          <w:szCs w:val="22"/>
          <w:highlight w:val="none"/>
        </w:rPr>
      </w:pPr>
      <w:r>
        <w:rPr>
          <w:rFonts w:hint="eastAsia" w:ascii="宋体" w:hAnsi="宋体"/>
          <w:color w:val="000000"/>
          <w:sz w:val="24"/>
          <w:szCs w:val="22"/>
          <w:highlight w:val="none"/>
        </w:rPr>
        <w:t xml:space="preserve">代理人身份证：</w:t>
      </w:r>
      <w:r>
        <w:rPr>
          <w:rFonts w:ascii="宋体" w:hAnsi="宋体"/>
          <w:color w:val="000000"/>
          <w:sz w:val="24"/>
          <w:szCs w:val="22"/>
          <w:highlight w:val="none"/>
        </w:rPr>
      </w:r>
      <w:r/>
    </w:p>
    <w:p>
      <w:pPr>
        <w:pStyle w:val="1288"/>
        <w:ind w:firstLine="480"/>
        <w:spacing w:line="360" w:lineRule="auto"/>
        <w:rPr>
          <w:rFonts w:hint="eastAsia" w:ascii="宋体" w:hAnsi="宋体"/>
          <w:color w:val="000000"/>
          <w:sz w:val="24"/>
          <w:szCs w:val="22"/>
          <w:highlight w:val="none"/>
        </w:rPr>
      </w:pPr>
      <w:r>
        <w:rPr>
          <w:rFonts w:hint="eastAsia" w:ascii="宋体" w:hAnsi="宋体"/>
          <w:color w:val="000000"/>
          <w:sz w:val="24"/>
          <w:szCs w:val="22"/>
          <w:highlight w:val="none"/>
        </w:rPr>
        <w:t xml:space="preserve">（双面复印件）粘贴处</w:t>
      </w:r>
      <w:r>
        <w:rPr>
          <w:rFonts w:hint="eastAsia" w:ascii="宋体" w:hAnsi="宋体"/>
          <w:color w:val="000000"/>
          <w:sz w:val="24"/>
          <w:szCs w:val="22"/>
          <w:highlight w:val="none"/>
        </w:rPr>
      </w:r>
      <w:r/>
    </w:p>
    <w:p>
      <w:pPr>
        <w:pStyle w:val="1343"/>
        <w:ind w:firstLine="1200"/>
        <w:spacing w:line="360" w:lineRule="auto"/>
        <w:tabs>
          <w:tab w:val="left" w:pos="360" w:leader="none"/>
        </w:tabs>
        <w:rPr>
          <w:rFonts w:hint="eastAsia"/>
          <w:color w:val="000000"/>
          <w:highlight w:val="none"/>
        </w:rPr>
      </w:pPr>
      <w:r>
        <w:rPr>
          <w:rFonts w:hint="eastAsia"/>
          <w:color w:val="000000"/>
          <w:highlight w:val="none"/>
        </w:rPr>
      </w:r>
      <w:r/>
    </w:p>
    <w:p>
      <w:pPr>
        <w:pStyle w:val="1343"/>
        <w:ind w:firstLine="1200"/>
        <w:spacing w:line="360" w:lineRule="auto"/>
        <w:tabs>
          <w:tab w:val="left" w:pos="360" w:leader="none"/>
        </w:tabs>
        <w:rPr>
          <w:color w:val="000000"/>
          <w:highlight w:val="none"/>
        </w:rPr>
      </w:pPr>
      <w:r>
        <w:rPr>
          <w:color w:val="000000"/>
          <w:highlight w:val="none"/>
        </w:rPr>
      </w:r>
      <w:r/>
    </w:p>
    <w:p>
      <w:pPr>
        <w:pStyle w:val="1343"/>
        <w:ind w:firstLine="1200"/>
        <w:spacing w:line="360" w:lineRule="auto"/>
        <w:tabs>
          <w:tab w:val="left" w:pos="360" w:leader="none"/>
        </w:tabs>
        <w:rPr>
          <w:color w:val="000000"/>
          <w:highlight w:val="none"/>
        </w:rPr>
      </w:pPr>
      <w:r>
        <w:rPr>
          <w:color w:val="000000"/>
          <w:highlight w:val="none"/>
        </w:rPr>
      </w:r>
      <w:r/>
    </w:p>
    <w:p>
      <w:pPr>
        <w:pStyle w:val="1343"/>
        <w:ind w:firstLine="1200"/>
        <w:spacing w:line="360" w:lineRule="auto"/>
        <w:tabs>
          <w:tab w:val="left" w:pos="360" w:leader="none"/>
        </w:tabs>
        <w:rPr>
          <w:color w:val="000000"/>
          <w:highlight w:val="none"/>
        </w:rPr>
      </w:pPr>
      <w:r>
        <w:rPr>
          <w:color w:val="000000"/>
          <w:highlight w:val="none"/>
        </w:rPr>
      </w:r>
      <w:r/>
    </w:p>
    <w:p>
      <w:pPr>
        <w:pStyle w:val="1343"/>
        <w:ind w:firstLine="1200"/>
        <w:spacing w:line="360" w:lineRule="auto"/>
        <w:tabs>
          <w:tab w:val="left" w:pos="360" w:leader="none"/>
        </w:tabs>
        <w:rPr>
          <w:color w:val="000000"/>
          <w:highlight w:val="none"/>
        </w:rPr>
      </w:pPr>
      <w:r>
        <w:rPr>
          <w:color w:val="000000"/>
          <w:highlight w:val="none"/>
        </w:rPr>
      </w:r>
      <w:r/>
    </w:p>
    <w:p>
      <w:pPr>
        <w:pStyle w:val="1343"/>
        <w:ind w:firstLine="1200"/>
        <w:spacing w:line="360" w:lineRule="auto"/>
        <w:tabs>
          <w:tab w:val="left" w:pos="360" w:leader="none"/>
        </w:tabs>
        <w:rPr>
          <w:color w:val="000000"/>
          <w:highlight w:val="none"/>
        </w:rPr>
      </w:pPr>
      <w:r>
        <w:rPr>
          <w:color w:val="000000"/>
          <w:highlight w:val="none"/>
        </w:rPr>
      </w:r>
      <w:r/>
    </w:p>
    <w:p>
      <w:pPr>
        <w:pStyle w:val="1343"/>
        <w:ind w:firstLine="1200"/>
        <w:spacing w:line="360" w:lineRule="auto"/>
        <w:tabs>
          <w:tab w:val="left" w:pos="360" w:leader="none"/>
        </w:tabs>
        <w:rPr>
          <w:color w:val="000000"/>
          <w:highlight w:val="none"/>
        </w:rPr>
      </w:pPr>
      <w:r>
        <w:rPr>
          <w:color w:val="000000"/>
          <w:highlight w:val="none"/>
        </w:rPr>
      </w:r>
      <w:r/>
    </w:p>
    <w:p>
      <w:pPr>
        <w:pStyle w:val="1343"/>
        <w:ind w:firstLine="1200"/>
        <w:spacing w:line="360" w:lineRule="auto"/>
        <w:tabs>
          <w:tab w:val="left" w:pos="360" w:leader="none"/>
        </w:tabs>
        <w:rPr>
          <w:color w:val="000000"/>
          <w:highlight w:val="none"/>
        </w:rPr>
      </w:pPr>
      <w:r>
        <w:rPr>
          <w:color w:val="000000"/>
          <w:highlight w:val="none"/>
        </w:rPr>
      </w:r>
      <w:r/>
    </w:p>
    <w:p>
      <w:pPr>
        <w:pStyle w:val="1343"/>
        <w:ind w:firstLine="1200"/>
        <w:spacing w:line="360" w:lineRule="auto"/>
        <w:tabs>
          <w:tab w:val="left" w:pos="360" w:leader="none"/>
        </w:tabs>
        <w:rPr>
          <w:color w:val="000000"/>
          <w:highlight w:val="none"/>
        </w:rPr>
      </w:pPr>
      <w:r>
        <w:rPr>
          <w:color w:val="000000"/>
          <w:highlight w:val="none"/>
        </w:rPr>
      </w:r>
      <w:r/>
    </w:p>
    <w:p>
      <w:pPr>
        <w:pStyle w:val="1343"/>
        <w:ind w:firstLine="1200"/>
        <w:spacing w:line="360" w:lineRule="auto"/>
        <w:tabs>
          <w:tab w:val="left" w:pos="360" w:leader="none"/>
        </w:tabs>
        <w:rPr>
          <w:color w:val="000000"/>
          <w:highlight w:val="none"/>
        </w:rPr>
      </w:pPr>
      <w:r>
        <w:rPr>
          <w:color w:val="000000"/>
          <w:highlight w:val="none"/>
        </w:rPr>
      </w:r>
      <w:r/>
    </w:p>
    <w:p>
      <w:pPr>
        <w:pStyle w:val="1343"/>
        <w:ind w:firstLine="1200"/>
        <w:spacing w:line="360" w:lineRule="auto"/>
        <w:tabs>
          <w:tab w:val="left" w:pos="360" w:leader="none"/>
        </w:tabs>
        <w:rPr>
          <w:color w:val="000000"/>
          <w:highlight w:val="none"/>
        </w:rPr>
      </w:pPr>
      <w:r>
        <w:rPr>
          <w:rFonts w:hint="eastAsia"/>
          <w:color w:val="000000"/>
          <w:highlight w:val="none"/>
        </w:rPr>
        <w:t xml:space="preserve">授权单位名称：</w:t>
      </w:r>
      <w:r>
        <w:rPr>
          <w:rFonts w:hint="eastAsia"/>
          <w:color w:val="000000"/>
          <w:highlight w:val="none"/>
          <w:u w:val="single"/>
        </w:rPr>
        <w:t xml:space="preserve">（加盖</w:t>
      </w:r>
      <w:r>
        <w:rPr>
          <w:color w:val="000000"/>
          <w:highlight w:val="none"/>
          <w:u w:val="single"/>
        </w:rPr>
        <w:t xml:space="preserve">CA</w:t>
      </w:r>
      <w:r>
        <w:rPr>
          <w:rFonts w:hint="eastAsia"/>
          <w:color w:val="000000"/>
          <w:highlight w:val="none"/>
          <w:u w:val="single"/>
        </w:rPr>
        <w:t xml:space="preserve">电子公章）</w:t>
      </w:r>
      <w:r>
        <w:rPr>
          <w:color w:val="000000"/>
          <w:highlight w:val="none"/>
        </w:rPr>
      </w:r>
      <w:r/>
    </w:p>
    <w:p>
      <w:pPr>
        <w:pStyle w:val="1343"/>
        <w:ind w:firstLine="480"/>
        <w:spacing w:line="360" w:lineRule="auto"/>
        <w:tabs>
          <w:tab w:val="left" w:pos="360" w:leader="none"/>
        </w:tabs>
        <w:rPr>
          <w:color w:val="000000"/>
          <w:highlight w:val="none"/>
          <w:u w:val="single"/>
        </w:rPr>
      </w:pPr>
      <w:r>
        <w:rPr>
          <w:color w:val="000000"/>
          <w:highlight w:val="none"/>
        </w:rPr>
        <w:t xml:space="preserve">      </w:t>
      </w:r>
      <w:r>
        <w:rPr>
          <w:rFonts w:hint="eastAsia"/>
          <w:color w:val="000000"/>
          <w:highlight w:val="none"/>
        </w:rPr>
        <w:t xml:space="preserve">单位地址：</w:t>
      </w:r>
      <w:r>
        <w:rPr>
          <w:color w:val="000000"/>
          <w:highlight w:val="none"/>
          <w:u w:val="single"/>
        </w:rPr>
        <w:t xml:space="preserve">                                         </w:t>
      </w:r>
      <w:r>
        <w:rPr>
          <w:color w:val="000000"/>
          <w:highlight w:val="none"/>
          <w:u w:val="single"/>
        </w:rPr>
      </w:r>
      <w:r/>
    </w:p>
    <w:p>
      <w:pPr>
        <w:pStyle w:val="1343"/>
        <w:ind w:firstLine="480"/>
        <w:spacing w:line="360" w:lineRule="auto"/>
        <w:tabs>
          <w:tab w:val="left" w:pos="360" w:leader="none"/>
        </w:tabs>
        <w:rPr>
          <w:color w:val="000000"/>
          <w:highlight w:val="none"/>
        </w:rPr>
      </w:pPr>
      <w:r>
        <w:rPr>
          <w:color w:val="000000"/>
          <w:highlight w:val="none"/>
        </w:rPr>
        <w:t xml:space="preserve">      </w:t>
      </w:r>
      <w:r>
        <w:rPr>
          <w:rFonts w:hint="eastAsia"/>
          <w:color w:val="000000"/>
          <w:highlight w:val="none"/>
        </w:rPr>
        <w:t xml:space="preserve">日期：</w:t>
      </w:r>
      <w:bookmarkStart w:id="844" w:name="_格式3__银行出具的资信证明"/>
      <w:r/>
      <w:bookmarkEnd w:id="844"/>
      <w:r/>
      <w:bookmarkStart w:id="845" w:name="_Hlt26955070"/>
      <w:r/>
      <w:bookmarkEnd w:id="845"/>
      <w:r/>
      <w:bookmarkStart w:id="846" w:name="_Hlt26671380"/>
      <w:r/>
      <w:bookmarkEnd w:id="846"/>
      <w:r>
        <w:rPr>
          <w:color w:val="000000"/>
          <w:highlight w:val="none"/>
          <w:u w:val="single"/>
        </w:rPr>
        <w:t xml:space="preserve">                                         </w:t>
      </w:r>
      <w:r>
        <w:rPr>
          <w:color w:val="000000"/>
          <w:highlight w:val="none"/>
        </w:rPr>
      </w:r>
      <w:r/>
    </w:p>
    <w:p>
      <w:pPr>
        <w:pStyle w:val="1288"/>
        <w:jc w:val="left"/>
        <w:widowControl/>
        <w:rPr>
          <w:i/>
          <w:color w:val="000000"/>
          <w:sz w:val="24"/>
          <w:szCs w:val="20"/>
          <w:highlight w:val="none"/>
          <w:u w:val="single"/>
        </w:rPr>
      </w:pPr>
      <w:r>
        <w:rPr>
          <w:i/>
          <w:color w:val="000000"/>
          <w:sz w:val="24"/>
          <w:szCs w:val="20"/>
          <w:highlight w:val="none"/>
          <w:u w:val="single"/>
        </w:rPr>
      </w:r>
      <w:r/>
    </w:p>
    <w:p>
      <w:pPr>
        <w:pStyle w:val="1288"/>
        <w:spacing w:line="360" w:lineRule="auto"/>
        <w:rPr>
          <w:rFonts w:hint="eastAsia"/>
          <w:color w:val="000000"/>
          <w:sz w:val="24"/>
          <w:highlight w:val="none"/>
        </w:rPr>
        <w:outlineLvl w:val="1"/>
      </w:pPr>
      <w:r>
        <w:rPr>
          <w:color w:val="000000"/>
          <w:sz w:val="24"/>
          <w:szCs w:val="20"/>
          <w:highlight w:val="none"/>
        </w:rPr>
        <w:br w:type="page" w:clear="all"/>
      </w:r>
      <w:r>
        <w:rPr>
          <w:rFonts w:hint="eastAsia"/>
          <w:color w:val="000000"/>
          <w:sz w:val="24"/>
          <w:highlight w:val="none"/>
        </w:rPr>
        <w:t xml:space="preserve">6 政府采购供应商信用承诺书</w:t>
      </w:r>
      <w:r>
        <w:rPr>
          <w:color w:val="000000"/>
          <w:sz w:val="24"/>
          <w:highlight w:val="none"/>
        </w:rPr>
        <w:t xml:space="preserve">（实质性格式）</w:t>
      </w:r>
      <w:r>
        <w:rPr>
          <w:rFonts w:hint="eastAsia"/>
          <w:color w:val="000000"/>
          <w:sz w:val="24"/>
          <w:highlight w:val="none"/>
        </w:rPr>
      </w:r>
      <w:r/>
    </w:p>
    <w:p>
      <w:pPr>
        <w:pStyle w:val="1288"/>
        <w:ind w:firstLine="321"/>
        <w:jc w:val="center"/>
        <w:spacing w:line="560" w:lineRule="exact"/>
        <w:rPr>
          <w:rFonts w:ascii="黑体" w:hAnsi="黑体" w:eastAsia="黑体"/>
          <w:b/>
          <w:color w:val="000000"/>
          <w:sz w:val="32"/>
          <w:szCs w:val="32"/>
          <w:highlight w:val="none"/>
        </w:rPr>
      </w:pPr>
      <w:r>
        <w:rPr>
          <w:rFonts w:hint="eastAsia" w:ascii="黑体" w:hAnsi="黑体" w:eastAsia="黑体"/>
          <w:b/>
          <w:color w:val="000000"/>
          <w:sz w:val="32"/>
          <w:szCs w:val="32"/>
          <w:highlight w:val="none"/>
        </w:rPr>
        <w:t xml:space="preserve">政府采购供应商信用承诺书</w:t>
      </w:r>
      <w:r>
        <w:rPr>
          <w:rFonts w:ascii="黑体" w:hAnsi="黑体" w:eastAsia="黑体"/>
          <w:b/>
          <w:color w:val="000000"/>
          <w:sz w:val="32"/>
          <w:szCs w:val="32"/>
          <w:highlight w:val="none"/>
        </w:rPr>
      </w:r>
      <w:r/>
    </w:p>
    <w:p>
      <w:pPr>
        <w:pStyle w:val="1288"/>
        <w:ind w:firstLine="640"/>
        <w:rPr>
          <w:color w:val="000000"/>
          <w:highlight w:val="none"/>
        </w:rPr>
      </w:pPr>
      <w:r>
        <w:rPr>
          <w:color w:val="000000"/>
          <w:highlight w:val="none"/>
        </w:rPr>
      </w:r>
      <w:r/>
    </w:p>
    <w:p>
      <w:pPr>
        <w:pStyle w:val="1288"/>
        <w:ind w:firstLine="480"/>
        <w:spacing w:line="360" w:lineRule="auto"/>
        <w:rPr>
          <w:rFonts w:ascii="宋体" w:hAnsi="宋体"/>
          <w:color w:val="000000"/>
          <w:sz w:val="24"/>
          <w:highlight w:val="none"/>
        </w:rPr>
      </w:pPr>
      <w:r>
        <w:rPr>
          <w:rFonts w:hint="eastAsia" w:ascii="宋体" w:hAnsi="宋体"/>
          <w:color w:val="000000"/>
          <w:sz w:val="24"/>
          <w:highlight w:val="none"/>
        </w:rPr>
        <w:t xml:space="preserve">为维护公开、公平、公正的政府采购市场秩序，树立诚实守信的供应商形象，本单位在参与政府采购活动中,自愿作出以下承诺：</w:t>
      </w:r>
      <w:r>
        <w:rPr>
          <w:rFonts w:ascii="宋体" w:hAnsi="宋体"/>
          <w:color w:val="000000"/>
          <w:sz w:val="24"/>
          <w:highlight w:val="none"/>
        </w:rPr>
      </w:r>
      <w:r/>
    </w:p>
    <w:p>
      <w:pPr>
        <w:pStyle w:val="1288"/>
        <w:ind w:firstLine="480"/>
        <w:spacing w:line="360" w:lineRule="auto"/>
        <w:rPr>
          <w:rFonts w:ascii="宋体" w:hAnsi="宋体"/>
          <w:color w:val="000000"/>
          <w:sz w:val="24"/>
          <w:highlight w:val="none"/>
        </w:rPr>
      </w:pPr>
      <w:r>
        <w:rPr>
          <w:rFonts w:hint="eastAsia" w:ascii="宋体" w:hAnsi="宋体"/>
          <w:color w:val="000000"/>
          <w:sz w:val="24"/>
          <w:highlight w:val="none"/>
        </w:rPr>
        <w:t xml:space="preserve">一、严格遵守国家法律、法规和规章，全面履行应尽的责任和义务，全面做到履约守信，具备《政府采购法》第二十二条第一款规定的条件。</w:t>
      </w:r>
      <w:r>
        <w:rPr>
          <w:rFonts w:ascii="宋体" w:hAnsi="宋体"/>
          <w:color w:val="000000"/>
          <w:sz w:val="24"/>
          <w:highlight w:val="none"/>
        </w:rPr>
      </w:r>
      <w:r/>
    </w:p>
    <w:p>
      <w:pPr>
        <w:pStyle w:val="1288"/>
        <w:ind w:firstLine="480"/>
        <w:spacing w:line="360" w:lineRule="auto"/>
        <w:rPr>
          <w:rFonts w:ascii="宋体" w:hAnsi="宋体"/>
          <w:color w:val="000000"/>
          <w:sz w:val="24"/>
          <w:highlight w:val="none"/>
        </w:rPr>
      </w:pPr>
      <w:r>
        <w:rPr>
          <w:rFonts w:hint="eastAsia" w:ascii="宋体" w:hAnsi="宋体"/>
          <w:color w:val="000000"/>
          <w:sz w:val="24"/>
          <w:highlight w:val="none"/>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rFonts w:ascii="宋体" w:hAnsi="宋体"/>
          <w:color w:val="000000"/>
          <w:sz w:val="24"/>
          <w:highlight w:val="none"/>
        </w:rPr>
      </w:r>
      <w:r/>
    </w:p>
    <w:p>
      <w:pPr>
        <w:pStyle w:val="1288"/>
        <w:ind w:firstLine="480"/>
        <w:spacing w:line="360" w:lineRule="auto"/>
        <w:rPr>
          <w:rFonts w:ascii="宋体" w:hAnsi="宋体"/>
          <w:color w:val="000000"/>
          <w:sz w:val="24"/>
          <w:highlight w:val="none"/>
        </w:rPr>
      </w:pPr>
      <w:r>
        <w:rPr>
          <w:rFonts w:hint="eastAsia" w:ascii="宋体" w:hAnsi="宋体"/>
          <w:color w:val="000000"/>
          <w:sz w:val="24"/>
          <w:highlight w:val="none"/>
        </w:rPr>
        <w:t xml:space="preserve">三、本单位提供给注册登记部门、行业管理部门、司法部门、行业组织以及在政府采购活动中提交的所有资料均合法、真实、有效，无任何伪造、修改、虚假成份，并对所提供资料的真实性负责。</w:t>
      </w:r>
      <w:r>
        <w:rPr>
          <w:rFonts w:ascii="宋体" w:hAnsi="宋体"/>
          <w:color w:val="000000"/>
          <w:sz w:val="24"/>
          <w:highlight w:val="none"/>
        </w:rPr>
      </w:r>
      <w:r/>
    </w:p>
    <w:p>
      <w:pPr>
        <w:pStyle w:val="1288"/>
        <w:ind w:firstLine="480"/>
        <w:spacing w:line="360" w:lineRule="auto"/>
        <w:rPr>
          <w:rFonts w:ascii="宋体" w:hAnsi="宋体"/>
          <w:color w:val="000000"/>
          <w:sz w:val="24"/>
          <w:highlight w:val="none"/>
        </w:rPr>
      </w:pPr>
      <w:r>
        <w:rPr>
          <w:rFonts w:hint="eastAsia" w:ascii="宋体" w:hAnsi="宋体"/>
          <w:color w:val="000000"/>
          <w:sz w:val="24"/>
          <w:highlight w:val="none"/>
        </w:rPr>
        <w:t xml:space="preserve">四、严格依法开展生产经营活动，主动接受行业监管，自愿接受依法开展的日常检查；违法失信经营后将自愿接受约束和惩戒，并依法承担相应责任。</w:t>
      </w:r>
      <w:r>
        <w:rPr>
          <w:rFonts w:ascii="宋体" w:hAnsi="宋体"/>
          <w:color w:val="000000"/>
          <w:sz w:val="24"/>
          <w:highlight w:val="none"/>
        </w:rPr>
      </w:r>
      <w:r/>
    </w:p>
    <w:p>
      <w:pPr>
        <w:pStyle w:val="1288"/>
        <w:ind w:firstLine="480"/>
        <w:spacing w:line="360" w:lineRule="auto"/>
        <w:rPr>
          <w:rFonts w:ascii="宋体" w:hAnsi="宋体"/>
          <w:color w:val="000000"/>
          <w:sz w:val="24"/>
          <w:highlight w:val="none"/>
        </w:rPr>
      </w:pPr>
      <w:r>
        <w:rPr>
          <w:rFonts w:hint="eastAsia" w:ascii="宋体" w:hAnsi="宋体"/>
          <w:color w:val="000000"/>
          <w:sz w:val="24"/>
          <w:highlight w:val="none"/>
        </w:rPr>
        <w:t xml:space="preserve">五、承诺本单位自觉接受行政管理部门、行业组织、社会公众、新闻舆论的监督。 </w:t>
      </w:r>
      <w:r>
        <w:rPr>
          <w:rFonts w:ascii="宋体" w:hAnsi="宋体"/>
          <w:color w:val="000000"/>
          <w:sz w:val="24"/>
          <w:highlight w:val="none"/>
        </w:rPr>
      </w:r>
      <w:r/>
    </w:p>
    <w:p>
      <w:pPr>
        <w:pStyle w:val="1288"/>
        <w:ind w:firstLine="480"/>
        <w:spacing w:line="360" w:lineRule="auto"/>
        <w:rPr>
          <w:rFonts w:ascii="宋体" w:hAnsi="宋体"/>
          <w:color w:val="000000"/>
          <w:sz w:val="24"/>
          <w:highlight w:val="none"/>
        </w:rPr>
      </w:pPr>
      <w:r>
        <w:rPr>
          <w:rFonts w:hint="eastAsia" w:ascii="宋体" w:hAnsi="宋体"/>
          <w:color w:val="000000"/>
          <w:sz w:val="24"/>
          <w:highlight w:val="none"/>
        </w:rPr>
        <w:t xml:space="preserve">六、承诺本单位自我约束、自我管理，重合同、守信用，不制假售假、商标侵权、虚假宣传、违约毁约、恶意逃债、偷税漏税、价格欺诈、垄断和不正当竞争，维护经营者、消费者的合法权益。 </w:t>
      </w:r>
      <w:r>
        <w:rPr>
          <w:rFonts w:ascii="宋体" w:hAnsi="宋体"/>
          <w:color w:val="000000"/>
          <w:sz w:val="24"/>
          <w:highlight w:val="none"/>
        </w:rPr>
      </w:r>
      <w:r/>
    </w:p>
    <w:p>
      <w:pPr>
        <w:pStyle w:val="1288"/>
        <w:ind w:firstLine="480"/>
        <w:spacing w:line="360" w:lineRule="auto"/>
        <w:rPr>
          <w:rFonts w:ascii="宋体" w:hAnsi="宋体"/>
          <w:color w:val="000000"/>
          <w:sz w:val="24"/>
          <w:highlight w:val="none"/>
        </w:rPr>
      </w:pPr>
      <w:r>
        <w:rPr>
          <w:rFonts w:hint="eastAsia" w:ascii="宋体" w:hAnsi="宋体"/>
          <w:color w:val="000000"/>
          <w:sz w:val="24"/>
          <w:highlight w:val="none"/>
        </w:rPr>
        <w:t xml:space="preserve">七、承诺本单位在信用中国（江苏）网站中无违法违规、较重或严重失信记录。 </w:t>
      </w:r>
      <w:r>
        <w:rPr>
          <w:rFonts w:ascii="宋体" w:hAnsi="宋体"/>
          <w:color w:val="000000"/>
          <w:sz w:val="24"/>
          <w:highlight w:val="none"/>
        </w:rPr>
      </w:r>
      <w:r/>
    </w:p>
    <w:p>
      <w:pPr>
        <w:pStyle w:val="1288"/>
        <w:ind w:firstLine="480"/>
        <w:spacing w:line="360" w:lineRule="auto"/>
        <w:rPr>
          <w:rFonts w:ascii="宋体" w:hAnsi="宋体"/>
          <w:color w:val="000000"/>
          <w:sz w:val="24"/>
          <w:highlight w:val="none"/>
        </w:rPr>
      </w:pPr>
      <w:r>
        <w:rPr>
          <w:rFonts w:hint="eastAsia" w:ascii="宋体" w:hAnsi="宋体"/>
          <w:color w:val="000000"/>
          <w:sz w:val="24"/>
          <w:highlight w:val="none"/>
        </w:rPr>
        <w:t xml:space="preserve">八、承诺本单位提出政府采购质疑和投诉坚持依法依规、诚实信用原则。</w:t>
      </w:r>
      <w:r>
        <w:rPr>
          <w:rFonts w:ascii="宋体" w:hAnsi="宋体"/>
          <w:color w:val="000000"/>
          <w:sz w:val="24"/>
          <w:highlight w:val="none"/>
        </w:rPr>
      </w:r>
      <w:r/>
    </w:p>
    <w:p>
      <w:pPr>
        <w:pStyle w:val="1288"/>
        <w:ind w:firstLine="480"/>
        <w:spacing w:line="360" w:lineRule="auto"/>
        <w:rPr>
          <w:rFonts w:ascii="宋体" w:hAnsi="宋体"/>
          <w:color w:val="000000"/>
          <w:sz w:val="24"/>
          <w:highlight w:val="none"/>
        </w:rPr>
      </w:pPr>
      <w:r>
        <w:rPr>
          <w:rFonts w:hint="eastAsia" w:ascii="宋体" w:hAnsi="宋体"/>
          <w:color w:val="000000"/>
          <w:sz w:val="24"/>
          <w:highlight w:val="none"/>
        </w:rPr>
        <w:t xml:space="preserve">九、根据政府采购相关法律法规的规定需要作出的其他承诺。 </w:t>
      </w:r>
      <w:r>
        <w:rPr>
          <w:rFonts w:ascii="宋体" w:hAnsi="宋体"/>
          <w:color w:val="000000"/>
          <w:sz w:val="24"/>
          <w:highlight w:val="none"/>
        </w:rPr>
      </w:r>
      <w:r/>
    </w:p>
    <w:p>
      <w:pPr>
        <w:pStyle w:val="1288"/>
        <w:ind w:firstLine="480"/>
        <w:spacing w:line="360" w:lineRule="auto"/>
        <w:rPr>
          <w:rFonts w:ascii="宋体" w:hAnsi="宋体"/>
          <w:color w:val="000000"/>
          <w:sz w:val="24"/>
          <w:highlight w:val="none"/>
        </w:rPr>
      </w:pPr>
      <w:r>
        <w:rPr>
          <w:rFonts w:hint="eastAsia" w:ascii="宋体" w:hAnsi="宋体"/>
          <w:color w:val="000000"/>
          <w:sz w:val="24"/>
          <w:highlight w:val="none"/>
        </w:rPr>
        <w:t xml:space="preserve">十、承诺本单位若违背承诺约定，经查实，愿意接受行业主管部门和信用管理部门相应的规定处罚，承担违约责任，并依法承担相应的法律责任。</w:t>
      </w:r>
      <w:r>
        <w:rPr>
          <w:rFonts w:ascii="宋体" w:hAnsi="宋体"/>
          <w:color w:val="000000"/>
          <w:sz w:val="24"/>
          <w:highlight w:val="none"/>
        </w:rPr>
      </w:r>
      <w:r/>
    </w:p>
    <w:p>
      <w:pPr>
        <w:pStyle w:val="1288"/>
        <w:ind w:firstLine="480"/>
        <w:spacing w:line="360" w:lineRule="auto"/>
        <w:rPr>
          <w:rFonts w:ascii="宋体" w:hAnsi="宋体"/>
          <w:color w:val="000000"/>
          <w:sz w:val="24"/>
          <w:highlight w:val="none"/>
        </w:rPr>
      </w:pPr>
      <w:r>
        <w:rPr>
          <w:rFonts w:hint="eastAsia" w:ascii="宋体" w:hAnsi="宋体"/>
          <w:color w:val="000000"/>
          <w:sz w:val="24"/>
          <w:highlight w:val="none"/>
        </w:rPr>
        <w:t xml:space="preserve">十一、承诺本单位同意将以上承诺事项上网公示，违背承诺约定行为将作为失信信息，记录到常州市公共信用信息系统，并予以公开。</w:t>
      </w:r>
      <w:r>
        <w:rPr>
          <w:rFonts w:ascii="宋体" w:hAnsi="宋体"/>
          <w:color w:val="000000"/>
          <w:sz w:val="24"/>
          <w:highlight w:val="none"/>
        </w:rPr>
      </w:r>
      <w:r/>
    </w:p>
    <w:p>
      <w:pPr>
        <w:pStyle w:val="1331"/>
        <w:ind w:right="1050" w:firstLine="2880"/>
        <w:jc w:val="both"/>
        <w:spacing w:line="360" w:lineRule="auto"/>
        <w:rPr>
          <w:rFonts w:ascii="宋体" w:hAnsi="宋体" w:eastAsia="宋体"/>
          <w:color w:val="000000"/>
          <w:sz w:val="24"/>
          <w:szCs w:val="22"/>
          <w:highlight w:val="none"/>
        </w:rPr>
      </w:pPr>
      <w:r>
        <w:rPr>
          <w:rFonts w:ascii="宋体" w:hAnsi="宋体" w:eastAsia="宋体"/>
          <w:color w:val="000000"/>
          <w:sz w:val="24"/>
          <w:szCs w:val="22"/>
          <w:highlight w:val="none"/>
        </w:rPr>
      </w:r>
      <w:r/>
    </w:p>
    <w:p>
      <w:pPr>
        <w:pStyle w:val="1288"/>
        <w:spacing w:before="25" w:after="25" w:line="360" w:lineRule="auto"/>
        <w:rPr>
          <w:color w:val="000000"/>
          <w:sz w:val="24"/>
          <w:highlight w:val="none"/>
          <w:lang w:val="zh-CN"/>
        </w:rPr>
      </w:pPr>
      <w:r>
        <w:rPr>
          <w:color w:val="000000"/>
          <w:sz w:val="24"/>
          <w:highlight w:val="none"/>
        </w:rPr>
        <w:t xml:space="preserve">供应商名称（加盖公章）</w:t>
      </w:r>
      <w:r>
        <w:rPr>
          <w:color w:val="000000"/>
          <w:sz w:val="24"/>
          <w:highlight w:val="none"/>
          <w:lang w:val="zh-CN"/>
        </w:rPr>
        <w:t xml:space="preserve">：____________</w:t>
      </w:r>
      <w:r>
        <w:rPr>
          <w:color w:val="000000"/>
          <w:sz w:val="24"/>
          <w:highlight w:val="none"/>
          <w:lang w:val="zh-CN"/>
        </w:rPr>
      </w:r>
      <w:r/>
    </w:p>
    <w:p>
      <w:pPr>
        <w:pStyle w:val="1288"/>
        <w:spacing w:before="25" w:after="25" w:line="360" w:lineRule="auto"/>
        <w:rPr>
          <w:color w:val="000000"/>
          <w:sz w:val="24"/>
          <w:szCs w:val="20"/>
          <w:highlight w:val="none"/>
        </w:rPr>
      </w:pPr>
      <w:r>
        <w:rPr>
          <w:color w:val="000000"/>
          <w:sz w:val="24"/>
          <w:szCs w:val="20"/>
          <w:highlight w:val="none"/>
        </w:rPr>
        <w:t xml:space="preserve">日期：_____年______月______日</w:t>
      </w:r>
      <w:r>
        <w:rPr>
          <w:color w:val="000000"/>
          <w:sz w:val="24"/>
          <w:szCs w:val="20"/>
          <w:highlight w:val="none"/>
        </w:rPr>
      </w:r>
      <w:r/>
    </w:p>
    <w:p>
      <w:pPr>
        <w:pStyle w:val="1290"/>
        <w:jc w:val="left"/>
        <w:rPr>
          <w:rFonts w:hint="eastAsia" w:ascii="Times New Roman"/>
          <w:b w:val="0"/>
          <w:color w:val="000000"/>
          <w:highlight w:val="none"/>
        </w:rPr>
      </w:pPr>
      <w:r>
        <w:rPr>
          <w:color w:val="000000"/>
          <w:highlight w:val="none"/>
        </w:rPr>
        <w:br w:type="page" w:clear="all"/>
      </w:r>
      <w:r>
        <w:rPr>
          <w:rFonts w:hint="eastAsia" w:ascii="Times New Roman" w:hAnsi="Times New Roman" w:eastAsia="宋体"/>
          <w:b w:val="0"/>
          <w:color w:val="000000"/>
          <w:sz w:val="24"/>
          <w:highlight w:val="none"/>
        </w:rPr>
        <w:t xml:space="preserve">7 中小企业声明函（非实质性响应条款）</w:t>
      </w:r>
      <w:r>
        <w:rPr>
          <w:rFonts w:hint="eastAsia" w:ascii="Times New Roman"/>
          <w:b w:val="0"/>
          <w:color w:val="000000"/>
          <w:highlight w:val="none"/>
        </w:rPr>
      </w:r>
      <w:r/>
    </w:p>
    <w:p>
      <w:pPr>
        <w:pStyle w:val="1288"/>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中小企业政策</w:t>
      </w:r>
      <w:r>
        <w:rPr>
          <w:rFonts w:hint="eastAsia" w:ascii="宋体" w:hAnsi="宋体" w:cs="宋体"/>
          <w:color w:val="000000"/>
          <w:sz w:val="24"/>
          <w:highlight w:val="none"/>
        </w:rPr>
      </w:r>
      <w:r/>
    </w:p>
    <w:p>
      <w:pPr>
        <w:pStyle w:val="1288"/>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□本项目不专门面向中小企业预留采购份额。</w:t>
      </w:r>
      <w:r>
        <w:rPr>
          <w:rFonts w:hint="eastAsia" w:ascii="宋体" w:hAnsi="宋体" w:cs="宋体"/>
          <w:color w:val="000000"/>
          <w:sz w:val="24"/>
          <w:highlight w:val="none"/>
        </w:rPr>
      </w:r>
      <w:r/>
    </w:p>
    <w:p>
      <w:pPr>
        <w:pStyle w:val="1288"/>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■本项目专门面向  ■中小 ■小微企业  采购。即：提供的货物全部由符合政策要求的中小/小微企业制造、服务全部由符合政策要求的中小/小微企业承接。</w:t>
      </w:r>
      <w:r>
        <w:rPr>
          <w:rFonts w:hint="eastAsia" w:ascii="宋体" w:hAnsi="宋体" w:cs="宋体"/>
          <w:color w:val="000000"/>
          <w:sz w:val="24"/>
          <w:highlight w:val="none"/>
        </w:rPr>
      </w:r>
      <w:r/>
    </w:p>
    <w:p>
      <w:pPr>
        <w:pStyle w:val="1288"/>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□本项目预留部分采购项目预算专门面向中小企业采购。对于预留份额，提供的货物由符合政策要求的中小企业制造、服务由符合政策要求的中小企业承接。预留份额通过以下措施进行：__________________。</w:t>
      </w:r>
      <w:r>
        <w:rPr>
          <w:rFonts w:hint="eastAsia" w:ascii="宋体" w:hAnsi="宋体" w:cs="宋体"/>
          <w:color w:val="000000"/>
          <w:sz w:val="24"/>
          <w:highlight w:val="none"/>
        </w:rPr>
      </w:r>
      <w:r/>
    </w:p>
    <w:p>
      <w:pPr>
        <w:pStyle w:val="1288"/>
        <w:spacing w:line="360" w:lineRule="auto"/>
        <w:tabs>
          <w:tab w:val="left" w:pos="5580" w:leader="none"/>
        </w:tabs>
        <w:rPr>
          <w:rFonts w:hint="eastAsia"/>
          <w:color w:val="000000"/>
          <w:sz w:val="24"/>
          <w:highlight w:val="none"/>
        </w:rPr>
      </w:pPr>
      <w:r>
        <w:rPr>
          <w:rFonts w:hint="eastAsia"/>
          <w:color w:val="000000"/>
          <w:sz w:val="24"/>
          <w:highlight w:val="none"/>
        </w:rPr>
      </w:r>
      <w:r/>
    </w:p>
    <w:p>
      <w:pPr>
        <w:pStyle w:val="1288"/>
        <w:spacing w:line="360" w:lineRule="auto"/>
        <w:tabs>
          <w:tab w:val="left" w:pos="5580" w:leader="none"/>
        </w:tabs>
        <w:rPr>
          <w:color w:val="000000"/>
          <w:sz w:val="24"/>
          <w:highlight w:val="none"/>
        </w:rPr>
      </w:pPr>
      <w:r>
        <w:rPr>
          <w:rFonts w:hint="eastAsia"/>
          <w:color w:val="000000"/>
          <w:sz w:val="24"/>
          <w:highlight w:val="none"/>
        </w:rPr>
        <w:t xml:space="preserve">说明：</w:t>
      </w:r>
      <w:r>
        <w:rPr>
          <w:color w:val="000000"/>
          <w:sz w:val="24"/>
          <w:highlight w:val="none"/>
        </w:rPr>
      </w:r>
      <w:r/>
    </w:p>
    <w:p>
      <w:pPr>
        <w:pStyle w:val="1288"/>
        <w:spacing w:line="360" w:lineRule="auto"/>
        <w:tabs>
          <w:tab w:val="left" w:pos="5580" w:leader="none"/>
        </w:tabs>
        <w:rPr>
          <w:color w:val="000000"/>
          <w:sz w:val="24"/>
          <w:highlight w:val="none"/>
        </w:rPr>
      </w:pPr>
      <w:r>
        <w:rPr>
          <w:rFonts w:hint="eastAsia"/>
          <w:color w:val="000000"/>
          <w:sz w:val="24"/>
          <w:highlight w:val="none"/>
        </w:rPr>
        <w:t xml:space="preserve">1）投标人</w:t>
      </w:r>
      <w:bookmarkStart w:id="847" w:name="OLE_LINK25"/>
      <w:r/>
      <w:bookmarkStart w:id="848" w:name="OLE_LINK26"/>
      <w:r>
        <w:rPr>
          <w:rFonts w:hint="eastAsia"/>
          <w:color w:val="000000"/>
          <w:sz w:val="24"/>
          <w:highlight w:val="none"/>
        </w:rPr>
        <w:t xml:space="preserve">（供应商）</w:t>
      </w:r>
      <w:bookmarkEnd w:id="847"/>
      <w:r/>
      <w:bookmarkEnd w:id="848"/>
      <w:r>
        <w:rPr>
          <w:rFonts w:hint="eastAsia"/>
          <w:color w:val="000000"/>
          <w:sz w:val="24"/>
          <w:highlight w:val="none"/>
        </w:rPr>
        <w:t xml:space="preserve">如是属于本项目所属行业的中型、小型、微型企业，残疾人福利性单位、监狱企业的情形的可提供此格式文件，未提供的将不享受有关政策。《中小企业声明函》由参加政府采购活动的投标人（供应商）出具。联合体投标的，《中小企业声明函》由牵头人出具。</w:t>
      </w:r>
      <w:r>
        <w:rPr>
          <w:color w:val="000000"/>
          <w:sz w:val="24"/>
          <w:highlight w:val="none"/>
        </w:rPr>
      </w:r>
      <w:r/>
    </w:p>
    <w:p>
      <w:pPr>
        <w:pStyle w:val="1288"/>
        <w:spacing w:line="360" w:lineRule="auto"/>
        <w:tabs>
          <w:tab w:val="left" w:pos="5580" w:leader="none"/>
        </w:tabs>
        <w:rPr>
          <w:color w:val="000000"/>
          <w:sz w:val="24"/>
          <w:highlight w:val="none"/>
        </w:rPr>
      </w:pPr>
      <w:r>
        <w:rPr>
          <w:rFonts w:hint="eastAsia"/>
          <w:color w:val="000000"/>
          <w:sz w:val="24"/>
          <w:highlight w:val="none"/>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rPr>
          <w:color w:val="000000"/>
          <w:sz w:val="24"/>
          <w:highlight w:val="none"/>
        </w:rPr>
      </w:r>
      <w:r/>
    </w:p>
    <w:p>
      <w:pPr>
        <w:pStyle w:val="1288"/>
        <w:spacing w:line="360" w:lineRule="auto"/>
        <w:tabs>
          <w:tab w:val="left" w:pos="5580" w:leader="none"/>
        </w:tabs>
        <w:rPr>
          <w:rFonts w:hint="eastAsia"/>
          <w:color w:val="000000"/>
          <w:sz w:val="24"/>
          <w:highlight w:val="none"/>
        </w:rPr>
      </w:pPr>
      <w:r>
        <w:rPr>
          <w:rFonts w:hint="eastAsia"/>
          <w:color w:val="000000"/>
          <w:sz w:val="24"/>
          <w:highlight w:val="none"/>
        </w:rPr>
        <w:t xml:space="preserve">3）对于多标的的采购项目，投标人（供应商）应充分、准确地了解所投产品制造企业信息。对相关情况了解不清楚的，不建议填报本声明函。</w:t>
      </w:r>
      <w:r>
        <w:rPr>
          <w:rFonts w:hint="eastAsia"/>
          <w:color w:val="000000"/>
          <w:sz w:val="24"/>
          <w:highlight w:val="none"/>
        </w:rPr>
      </w:r>
      <w:r/>
    </w:p>
    <w:p>
      <w:pPr>
        <w:pStyle w:val="1288"/>
        <w:spacing w:line="360" w:lineRule="auto"/>
        <w:tabs>
          <w:tab w:val="left" w:pos="5580" w:leader="none"/>
        </w:tabs>
        <w:rPr>
          <w:color w:val="000000"/>
          <w:sz w:val="24"/>
          <w:highlight w:val="none"/>
        </w:rPr>
      </w:pPr>
      <w:r>
        <w:rPr>
          <w:rFonts w:hint="eastAsia"/>
          <w:color w:val="000000"/>
          <w:sz w:val="24"/>
          <w:highlight w:val="none"/>
        </w:rPr>
        <w:t xml:space="preserve">4）中小企业认定标准以《关于印发中小企业划型标准规定的通知》（工信部联企业〔2011〕300号）文件规定为准。</w:t>
      </w:r>
      <w:r>
        <w:rPr>
          <w:color w:val="000000"/>
          <w:sz w:val="24"/>
          <w:highlight w:val="none"/>
        </w:rPr>
      </w:r>
      <w:r/>
    </w:p>
    <w:p>
      <w:pPr>
        <w:pStyle w:val="1288"/>
        <w:spacing w:line="360" w:lineRule="auto"/>
        <w:tabs>
          <w:tab w:val="left" w:pos="5580" w:leader="none"/>
        </w:tabs>
        <w:rPr>
          <w:rFonts w:hint="eastAsia"/>
          <w:color w:val="000000"/>
          <w:sz w:val="24"/>
          <w:highlight w:val="none"/>
        </w:rPr>
      </w:pPr>
      <w:r>
        <w:rPr>
          <w:rFonts w:hint="eastAsia"/>
          <w:color w:val="000000"/>
          <w:sz w:val="24"/>
          <w:highlight w:val="none"/>
        </w:rPr>
        <w:t xml:space="preserve">5）温馨提示：为方便广大中小企业识别企业规模类型，工业和信息化部组织开发了中小企业规模类型自测小程序，在国务院客户端和工业和信息化部网站上均有链接，投标人（供应商）填写所属的行业和指标数据可自动生成企业规模类型测试结果。（工信部网址：</w:t>
      </w:r>
      <w:r>
        <w:rPr>
          <w:color w:val="000000"/>
          <w:sz w:val="24"/>
          <w:highlight w:val="none"/>
        </w:rPr>
        <w:t xml:space="preserve">http://202.106.120.146/baosong/appweb/orgScale.html</w:t>
      </w:r>
      <w:r>
        <w:rPr>
          <w:rFonts w:hint="eastAsia"/>
          <w:color w:val="000000"/>
          <w:sz w:val="24"/>
          <w:highlight w:val="none"/>
        </w:rPr>
        <w:t xml:space="preserve">）</w:t>
      </w:r>
      <w:r>
        <w:rPr>
          <w:rFonts w:hint="eastAsia"/>
          <w:color w:val="000000"/>
          <w:sz w:val="24"/>
          <w:highlight w:val="none"/>
        </w:rPr>
      </w:r>
      <w:r/>
    </w:p>
    <w:p>
      <w:pPr>
        <w:pStyle w:val="1288"/>
        <w:spacing w:line="360" w:lineRule="auto"/>
        <w:tabs>
          <w:tab w:val="left" w:pos="5580" w:leader="none"/>
        </w:tabs>
        <w:rPr>
          <w:rFonts w:hint="eastAsia" w:ascii="宋体" w:hAnsi="宋体"/>
          <w:b/>
          <w:color w:val="000000"/>
          <w:sz w:val="24"/>
          <w:highlight w:val="none"/>
        </w:rPr>
      </w:pPr>
      <w:r>
        <w:rPr>
          <w:rFonts w:hint="eastAsia" w:ascii="宋体" w:hAnsi="宋体"/>
          <w:b/>
          <w:color w:val="000000"/>
          <w:sz w:val="24"/>
          <w:highlight w:val="none"/>
        </w:rPr>
        <w:t xml:space="preserve">6）小微企业未提供声明函的，价格分评审将不予价格扣除。</w:t>
      </w:r>
      <w:r>
        <w:rPr>
          <w:rFonts w:hint="eastAsia" w:ascii="宋体" w:hAnsi="宋体"/>
          <w:b/>
          <w:color w:val="000000"/>
          <w:sz w:val="24"/>
          <w:highlight w:val="none"/>
        </w:rPr>
      </w:r>
      <w:r/>
    </w:p>
    <w:p>
      <w:pPr>
        <w:pStyle w:val="1288"/>
        <w:spacing w:line="360" w:lineRule="auto"/>
        <w:tabs>
          <w:tab w:val="left" w:pos="5580" w:leader="none"/>
        </w:tabs>
        <w:rPr>
          <w:rFonts w:hint="eastAsia" w:ascii="宋体" w:hAnsi="宋体"/>
          <w:b/>
          <w:color w:val="000000"/>
          <w:sz w:val="24"/>
          <w:highlight w:val="none"/>
        </w:rPr>
      </w:pPr>
      <w:r>
        <w:rPr>
          <w:rFonts w:hint="eastAsia" w:ascii="宋体" w:hAnsi="宋体"/>
          <w:b/>
          <w:color w:val="000000"/>
          <w:sz w:val="24"/>
          <w:highlight w:val="none"/>
        </w:rPr>
      </w:r>
      <w:r/>
    </w:p>
    <w:p>
      <w:pPr>
        <w:pStyle w:val="1288"/>
        <w:jc w:val="center"/>
        <w:spacing w:line="360" w:lineRule="auto"/>
        <w:rPr>
          <w:b/>
          <w:bCs/>
          <w:color w:val="000000"/>
          <w:sz w:val="24"/>
          <w:highlight w:val="none"/>
        </w:rPr>
      </w:pPr>
      <w:r>
        <w:rPr>
          <w:b/>
          <w:bCs/>
          <w:color w:val="000000"/>
          <w:sz w:val="24"/>
          <w:highlight w:val="none"/>
        </w:rPr>
        <w:br w:type="page" w:clear="all"/>
      </w:r>
      <w:bookmarkStart w:id="849" w:name="OLE_LINK153"/>
      <w:r/>
      <w:bookmarkStart w:id="850" w:name="OLE_LINK139"/>
      <w:r/>
      <w:bookmarkStart w:id="851" w:name="OLE_LINK140"/>
      <w:r/>
      <w:bookmarkStart w:id="852" w:name="OLE_LINK138"/>
      <w:r>
        <w:rPr>
          <w:rFonts w:hint="eastAsia"/>
          <w:b/>
          <w:color w:val="000000"/>
          <w:sz w:val="36"/>
          <w:szCs w:val="36"/>
          <w:highlight w:val="none"/>
        </w:rPr>
        <w:t xml:space="preserve">中小企业声明函（工程）格式</w:t>
      </w:r>
      <w:r>
        <w:rPr>
          <w:b/>
          <w:bCs/>
          <w:color w:val="000000"/>
          <w:sz w:val="24"/>
          <w:highlight w:val="none"/>
        </w:rPr>
      </w:r>
      <w:r/>
    </w:p>
    <w:p>
      <w:pPr>
        <w:pStyle w:val="1288"/>
        <w:ind w:firstLine="504"/>
        <w:spacing w:line="360" w:lineRule="auto"/>
        <w:rPr>
          <w:color w:val="000000"/>
          <w:spacing w:val="6"/>
          <w:sz w:val="24"/>
          <w:highlight w:val="none"/>
        </w:rPr>
      </w:pPr>
      <w:r>
        <w:rPr>
          <w:rFonts w:hint="eastAsia"/>
          <w:color w:val="000000"/>
          <w:spacing w:val="6"/>
          <w:sz w:val="24"/>
          <w:highlight w:val="none"/>
        </w:rPr>
        <w:t xml:space="preserve">本公司（联合体）郑重声明，根据《政府采购促进中小企业发展管理办法》（财库﹝</w:t>
      </w:r>
      <w:r>
        <w:rPr>
          <w:color w:val="000000"/>
          <w:spacing w:val="6"/>
          <w:sz w:val="24"/>
          <w:highlight w:val="none"/>
        </w:rPr>
        <w:t xml:space="preserve">2020</w:t>
      </w:r>
      <w:r>
        <w:rPr>
          <w:rFonts w:hint="eastAsia"/>
          <w:color w:val="000000"/>
          <w:spacing w:val="6"/>
          <w:sz w:val="24"/>
          <w:highlight w:val="none"/>
        </w:rPr>
        <w:t xml:space="preserve">﹞</w:t>
      </w:r>
      <w:r>
        <w:rPr>
          <w:color w:val="000000"/>
          <w:spacing w:val="6"/>
          <w:sz w:val="24"/>
          <w:highlight w:val="none"/>
        </w:rPr>
        <w:t xml:space="preserve">46 </w:t>
      </w:r>
      <w:r>
        <w:rPr>
          <w:rFonts w:hint="eastAsia"/>
          <w:color w:val="000000"/>
          <w:spacing w:val="6"/>
          <w:sz w:val="24"/>
          <w:highlight w:val="none"/>
        </w:rPr>
        <w:t xml:space="preserve">号）的规定，本公司（联合体）参加常州中采招投标有限公司组织的（采购单位名称</w:t>
      </w:r>
      <w:r>
        <w:rPr>
          <w:rFonts w:hint="eastAsia"/>
          <w:color w:val="000000"/>
          <w:spacing w:val="6"/>
          <w:sz w:val="24"/>
          <w:highlight w:val="none"/>
          <w:u w:val="single"/>
        </w:rPr>
        <w:t xml:space="preserve">①</w:t>
      </w:r>
      <w:r>
        <w:rPr>
          <w:rFonts w:hint="eastAsia"/>
          <w:color w:val="000000"/>
          <w:spacing w:val="6"/>
          <w:sz w:val="24"/>
          <w:highlight w:val="none"/>
        </w:rPr>
        <w:t xml:space="preserve">）采购编号为</w:t>
      </w:r>
      <w:r>
        <w:rPr>
          <w:rFonts w:hint="eastAsia"/>
          <w:color w:val="000000"/>
          <w:spacing w:val="6"/>
          <w:sz w:val="24"/>
          <w:highlight w:val="none"/>
          <w:u w:val="single"/>
        </w:rPr>
        <w:t xml:space="preserve">②</w:t>
      </w:r>
      <w:r>
        <w:rPr>
          <w:color w:val="000000"/>
          <w:spacing w:val="6"/>
          <w:sz w:val="24"/>
          <w:highlight w:val="none"/>
          <w:u w:val="single"/>
        </w:rPr>
        <w:t xml:space="preserve">  </w:t>
      </w:r>
      <w:r>
        <w:rPr>
          <w:rFonts w:hint="eastAsia"/>
          <w:color w:val="000000"/>
          <w:spacing w:val="6"/>
          <w:sz w:val="24"/>
          <w:highlight w:val="none"/>
        </w:rPr>
        <w:t xml:space="preserve">（项目名称</w:t>
      </w:r>
      <w:r>
        <w:rPr>
          <w:rFonts w:hint="eastAsia"/>
          <w:color w:val="000000"/>
          <w:spacing w:val="6"/>
          <w:sz w:val="24"/>
          <w:highlight w:val="none"/>
          <w:u w:val="single"/>
        </w:rPr>
        <w:t xml:space="preserve">③</w:t>
      </w:r>
      <w:r>
        <w:rPr>
          <w:rFonts w:hint="eastAsia"/>
          <w:color w:val="000000"/>
          <w:spacing w:val="6"/>
          <w:sz w:val="24"/>
          <w:highlight w:val="none"/>
        </w:rPr>
        <w:t xml:space="preserve">）（分包号</w:t>
      </w:r>
      <w:r>
        <w:rPr>
          <w:rFonts w:hint="eastAsia"/>
          <w:color w:val="000000"/>
          <w:spacing w:val="6"/>
          <w:sz w:val="24"/>
          <w:highlight w:val="none"/>
          <w:u w:val="single"/>
        </w:rPr>
        <w:t xml:space="preserve">④</w:t>
      </w:r>
      <w:r>
        <w:rPr>
          <w:rFonts w:hint="eastAsia"/>
          <w:color w:val="000000"/>
          <w:spacing w:val="6"/>
          <w:sz w:val="24"/>
          <w:highlight w:val="none"/>
        </w:rPr>
        <w:t xml:space="preserve">）的采购活动，服务全部由符合政策要求的中小企业承接）。根据《工业和信息化部、国家统计局、国家发展和改革委员会、财政部关于印发中小企业划型标准规定的通知》</w:t>
      </w:r>
      <w:r>
        <w:rPr>
          <w:color w:val="000000"/>
          <w:spacing w:val="6"/>
          <w:sz w:val="24"/>
          <w:highlight w:val="none"/>
        </w:rPr>
        <w:t xml:space="preserve">(</w:t>
      </w:r>
      <w:r>
        <w:rPr>
          <w:rFonts w:hint="eastAsia"/>
          <w:color w:val="000000"/>
          <w:spacing w:val="6"/>
          <w:sz w:val="24"/>
          <w:highlight w:val="none"/>
        </w:rPr>
        <w:t xml:space="preserve">工信部联企业</w:t>
      </w:r>
      <w:r>
        <w:rPr>
          <w:color w:val="000000"/>
          <w:spacing w:val="6"/>
          <w:sz w:val="24"/>
          <w:highlight w:val="none"/>
        </w:rPr>
        <w:t xml:space="preserve">[2011]300</w:t>
      </w:r>
      <w:r>
        <w:rPr>
          <w:rFonts w:hint="eastAsia"/>
          <w:color w:val="000000"/>
          <w:spacing w:val="6"/>
          <w:sz w:val="24"/>
          <w:highlight w:val="none"/>
        </w:rPr>
        <w:t xml:space="preserve">号</w:t>
      </w:r>
      <w:r>
        <w:rPr>
          <w:color w:val="000000"/>
          <w:spacing w:val="6"/>
          <w:sz w:val="24"/>
          <w:highlight w:val="none"/>
        </w:rPr>
        <w:t xml:space="preserve">)</w:t>
      </w:r>
      <w:r>
        <w:rPr>
          <w:rFonts w:hint="eastAsia"/>
          <w:color w:val="000000"/>
          <w:spacing w:val="6"/>
          <w:sz w:val="24"/>
          <w:highlight w:val="none"/>
        </w:rPr>
        <w:t xml:space="preserve">的规定，相关企业（含联合体中的中小企业、签订分包意向协议的中小企业）的具体情况如下：</w:t>
      </w:r>
      <w:r>
        <w:rPr>
          <w:color w:val="000000"/>
          <w:spacing w:val="6"/>
          <w:sz w:val="24"/>
          <w:highlight w:val="none"/>
        </w:rPr>
      </w:r>
      <w:r/>
    </w:p>
    <w:p>
      <w:pPr>
        <w:pStyle w:val="1288"/>
        <w:ind w:firstLine="504"/>
        <w:spacing w:line="360" w:lineRule="auto"/>
        <w:rPr>
          <w:color w:val="000000"/>
          <w:spacing w:val="6"/>
          <w:sz w:val="24"/>
          <w:highlight w:val="none"/>
        </w:rPr>
      </w:pPr>
      <w:r>
        <w:rPr>
          <w:color w:val="000000"/>
          <w:spacing w:val="6"/>
          <w:sz w:val="24"/>
          <w:highlight w:val="none"/>
        </w:rPr>
        <w:t xml:space="preserve">1.</w:t>
      </w:r>
      <w:r>
        <w:rPr>
          <w:rFonts w:hint="eastAsia"/>
          <w:color w:val="000000"/>
          <w:spacing w:val="6"/>
          <w:sz w:val="24"/>
          <w:highlight w:val="none"/>
          <w:u w:val="single"/>
        </w:rPr>
        <w:t xml:space="preserve">（标的名称⑤）</w:t>
      </w:r>
      <w:r>
        <w:rPr>
          <w:rFonts w:hint="eastAsia"/>
          <w:color w:val="000000"/>
          <w:spacing w:val="6"/>
          <w:sz w:val="24"/>
          <w:highlight w:val="none"/>
        </w:rPr>
        <w:t xml:space="preserve">，属于</w:t>
      </w:r>
      <w:r>
        <w:rPr>
          <w:rFonts w:hint="eastAsia"/>
          <w:color w:val="000000"/>
          <w:spacing w:val="6"/>
          <w:sz w:val="24"/>
          <w:highlight w:val="none"/>
          <w:u w:val="single"/>
        </w:rPr>
        <w:t xml:space="preserve">（采购文件中明确的所属行业⑥）</w:t>
      </w:r>
      <w:r>
        <w:rPr>
          <w:rFonts w:hint="eastAsia"/>
          <w:color w:val="000000"/>
          <w:spacing w:val="6"/>
          <w:sz w:val="24"/>
          <w:highlight w:val="none"/>
        </w:rPr>
        <w:t xml:space="preserve">行业；承接企业为</w:t>
      </w:r>
      <w:r>
        <w:rPr>
          <w:rFonts w:hint="eastAsia"/>
          <w:color w:val="000000"/>
          <w:spacing w:val="6"/>
          <w:sz w:val="24"/>
          <w:highlight w:val="none"/>
          <w:u w:val="single"/>
        </w:rPr>
        <w:t xml:space="preserve">（企业名称⑦）</w:t>
      </w:r>
      <w:r>
        <w:rPr>
          <w:rFonts w:hint="eastAsia"/>
          <w:color w:val="000000"/>
          <w:spacing w:val="6"/>
          <w:sz w:val="24"/>
          <w:highlight w:val="none"/>
        </w:rPr>
        <w:t xml:space="preserve">，从业人员</w:t>
      </w:r>
      <w:r>
        <w:rPr>
          <w:color w:val="000000"/>
          <w:spacing w:val="6"/>
          <w:sz w:val="24"/>
          <w:highlight w:val="none"/>
        </w:rPr>
        <w:t xml:space="preserve">__</w:t>
      </w:r>
      <w:r>
        <w:rPr>
          <w:rFonts w:hint="eastAsia"/>
          <w:color w:val="000000"/>
          <w:spacing w:val="6"/>
          <w:sz w:val="24"/>
          <w:highlight w:val="none"/>
          <w:u w:val="single"/>
        </w:rPr>
        <w:t xml:space="preserve">⑧</w:t>
      </w:r>
      <w:r>
        <w:rPr>
          <w:color w:val="000000"/>
          <w:spacing w:val="6"/>
          <w:sz w:val="24"/>
          <w:highlight w:val="none"/>
        </w:rPr>
        <w:t xml:space="preserve">__</w:t>
      </w:r>
      <w:r>
        <w:rPr>
          <w:rFonts w:hint="eastAsia"/>
          <w:color w:val="000000"/>
          <w:spacing w:val="6"/>
          <w:sz w:val="24"/>
          <w:highlight w:val="none"/>
        </w:rPr>
        <w:t xml:space="preserve">人，营业收入为</w:t>
      </w:r>
      <w:r>
        <w:rPr>
          <w:color w:val="000000"/>
          <w:spacing w:val="6"/>
          <w:sz w:val="24"/>
          <w:highlight w:val="none"/>
        </w:rPr>
        <w:t xml:space="preserve">_</w:t>
      </w:r>
      <w:r>
        <w:rPr>
          <w:rFonts w:hint="eastAsia"/>
          <w:color w:val="000000"/>
          <w:spacing w:val="6"/>
          <w:sz w:val="24"/>
          <w:highlight w:val="none"/>
          <w:u w:val="single"/>
        </w:rPr>
        <w:t xml:space="preserve">⑨</w:t>
      </w:r>
      <w:r>
        <w:rPr>
          <w:color w:val="000000"/>
          <w:spacing w:val="6"/>
          <w:sz w:val="24"/>
          <w:highlight w:val="none"/>
        </w:rPr>
        <w:t xml:space="preserve">_</w:t>
      </w:r>
      <w:r>
        <w:rPr>
          <w:rFonts w:hint="eastAsia"/>
          <w:color w:val="000000"/>
          <w:spacing w:val="6"/>
          <w:sz w:val="24"/>
          <w:highlight w:val="none"/>
        </w:rPr>
        <w:t xml:space="preserve">万元，资产总额为</w:t>
      </w:r>
      <w:r>
        <w:rPr>
          <w:color w:val="000000"/>
          <w:spacing w:val="6"/>
          <w:sz w:val="24"/>
          <w:highlight w:val="none"/>
        </w:rPr>
        <w:t xml:space="preserve">_</w:t>
      </w:r>
      <w:r>
        <w:rPr>
          <w:rFonts w:hint="eastAsia"/>
          <w:color w:val="000000"/>
          <w:spacing w:val="6"/>
          <w:sz w:val="24"/>
          <w:highlight w:val="none"/>
          <w:u w:val="single"/>
        </w:rPr>
        <w:t xml:space="preserve">⑩</w:t>
      </w:r>
      <w:r>
        <w:rPr>
          <w:color w:val="000000"/>
          <w:spacing w:val="6"/>
          <w:sz w:val="24"/>
          <w:highlight w:val="none"/>
        </w:rPr>
        <w:t xml:space="preserve">__</w:t>
      </w:r>
      <w:r>
        <w:rPr>
          <w:rFonts w:hint="eastAsia"/>
          <w:color w:val="000000"/>
          <w:spacing w:val="6"/>
          <w:sz w:val="24"/>
          <w:highlight w:val="none"/>
        </w:rPr>
        <w:t xml:space="preserve">万元</w:t>
      </w:r>
      <w:r>
        <w:rPr>
          <w:color w:val="000000"/>
          <w:spacing w:val="6"/>
          <w:sz w:val="24"/>
          <w:highlight w:val="none"/>
          <w:vertAlign w:val="superscript"/>
        </w:rPr>
        <w:t xml:space="preserve">1</w:t>
      </w:r>
      <w:r>
        <w:rPr>
          <w:rFonts w:hint="eastAsia"/>
          <w:color w:val="000000"/>
          <w:spacing w:val="6"/>
          <w:sz w:val="24"/>
          <w:highlight w:val="none"/>
        </w:rPr>
        <w:t xml:space="preserve">，属于（中型企业、小型企业、微型企业</w:t>
      </w:r>
      <w:r>
        <w:rPr>
          <w:rFonts w:ascii="Cambria Math" w:hAnsi="Cambria Math" w:eastAsia="仿宋_GB2312" w:cs="Cambria Math"/>
          <w:color w:val="000000"/>
          <w:sz w:val="24"/>
          <w:szCs w:val="28"/>
          <w:highlight w:val="none"/>
          <w:u w:val="single"/>
        </w:rPr>
        <w:t xml:space="preserve">⑪</w:t>
      </w:r>
      <w:r>
        <w:rPr>
          <w:rFonts w:hint="eastAsia"/>
          <w:color w:val="000000"/>
          <w:spacing w:val="6"/>
          <w:sz w:val="24"/>
          <w:highlight w:val="none"/>
        </w:rPr>
        <w:t xml:space="preserve">）；</w:t>
      </w:r>
      <w:r>
        <w:rPr>
          <w:color w:val="000000"/>
          <w:spacing w:val="6"/>
          <w:sz w:val="24"/>
          <w:highlight w:val="none"/>
        </w:rPr>
      </w:r>
      <w:r/>
    </w:p>
    <w:p>
      <w:pPr>
        <w:pStyle w:val="1288"/>
        <w:ind w:firstLine="504"/>
        <w:spacing w:line="360" w:lineRule="auto"/>
        <w:rPr>
          <w:color w:val="000000"/>
          <w:spacing w:val="6"/>
          <w:sz w:val="24"/>
          <w:highlight w:val="none"/>
        </w:rPr>
      </w:pPr>
      <w:r>
        <w:rPr>
          <w:color w:val="000000"/>
          <w:spacing w:val="6"/>
          <w:sz w:val="24"/>
          <w:highlight w:val="none"/>
        </w:rPr>
        <w:t xml:space="preserve">2.</w:t>
      </w:r>
      <w:r>
        <w:rPr>
          <w:rFonts w:hint="eastAsia"/>
          <w:color w:val="000000"/>
          <w:spacing w:val="6"/>
          <w:sz w:val="24"/>
          <w:highlight w:val="none"/>
          <w:u w:val="single"/>
        </w:rPr>
        <w:t xml:space="preserve">（标的名称）</w:t>
      </w:r>
      <w:r>
        <w:rPr>
          <w:rFonts w:hint="eastAsia"/>
          <w:color w:val="000000"/>
          <w:spacing w:val="6"/>
          <w:sz w:val="24"/>
          <w:highlight w:val="none"/>
        </w:rPr>
        <w:t xml:space="preserve">，属于</w:t>
      </w:r>
      <w:r>
        <w:rPr>
          <w:rFonts w:hint="eastAsia"/>
          <w:color w:val="000000"/>
          <w:spacing w:val="6"/>
          <w:sz w:val="24"/>
          <w:highlight w:val="none"/>
          <w:u w:val="single"/>
        </w:rPr>
        <w:t xml:space="preserve">（采购文件中明确的所属行业）</w:t>
      </w:r>
      <w:r>
        <w:rPr>
          <w:rFonts w:hint="eastAsia"/>
          <w:color w:val="000000"/>
          <w:spacing w:val="6"/>
          <w:sz w:val="24"/>
          <w:highlight w:val="none"/>
        </w:rPr>
        <w:t xml:space="preserve">行业；承接企业为</w:t>
      </w:r>
      <w:r>
        <w:rPr>
          <w:rFonts w:hint="eastAsia"/>
          <w:color w:val="000000"/>
          <w:spacing w:val="6"/>
          <w:sz w:val="24"/>
          <w:highlight w:val="none"/>
          <w:u w:val="single"/>
        </w:rPr>
        <w:t xml:space="preserve">（企业名称）</w:t>
      </w:r>
      <w:r>
        <w:rPr>
          <w:rFonts w:hint="eastAsia"/>
          <w:color w:val="000000"/>
          <w:spacing w:val="6"/>
          <w:sz w:val="24"/>
          <w:highlight w:val="none"/>
        </w:rPr>
        <w:t xml:space="preserve">，从业人员</w:t>
      </w:r>
      <w:r>
        <w:rPr>
          <w:color w:val="000000"/>
          <w:spacing w:val="6"/>
          <w:sz w:val="24"/>
          <w:highlight w:val="none"/>
        </w:rPr>
        <w:t xml:space="preserve">______</w:t>
      </w:r>
      <w:r>
        <w:rPr>
          <w:rFonts w:hint="eastAsia"/>
          <w:color w:val="000000"/>
          <w:spacing w:val="6"/>
          <w:sz w:val="24"/>
          <w:highlight w:val="none"/>
        </w:rPr>
        <w:t xml:space="preserve">人，营业收入为</w:t>
      </w:r>
      <w:r>
        <w:rPr>
          <w:color w:val="000000"/>
          <w:spacing w:val="6"/>
          <w:sz w:val="24"/>
          <w:highlight w:val="none"/>
        </w:rPr>
        <w:t xml:space="preserve">______</w:t>
      </w:r>
      <w:r>
        <w:rPr>
          <w:rFonts w:hint="eastAsia"/>
          <w:color w:val="000000"/>
          <w:spacing w:val="6"/>
          <w:sz w:val="24"/>
          <w:highlight w:val="none"/>
        </w:rPr>
        <w:t xml:space="preserve">万元，资产总额为</w:t>
      </w:r>
      <w:r>
        <w:rPr>
          <w:color w:val="000000"/>
          <w:spacing w:val="6"/>
          <w:sz w:val="24"/>
          <w:highlight w:val="none"/>
        </w:rPr>
        <w:t xml:space="preserve">______</w:t>
      </w:r>
      <w:r>
        <w:rPr>
          <w:rFonts w:hint="eastAsia"/>
          <w:color w:val="000000"/>
          <w:spacing w:val="6"/>
          <w:sz w:val="24"/>
          <w:highlight w:val="none"/>
        </w:rPr>
        <w:t xml:space="preserve">万元，属于</w:t>
      </w:r>
      <w:r>
        <w:rPr>
          <w:rFonts w:hint="eastAsia"/>
          <w:color w:val="000000"/>
          <w:spacing w:val="6"/>
          <w:sz w:val="24"/>
          <w:highlight w:val="none"/>
          <w:u w:val="single"/>
        </w:rPr>
        <w:t xml:space="preserve">（中型企业、小型企业、微型企业）</w:t>
      </w:r>
      <w:r>
        <w:rPr>
          <w:rFonts w:hint="eastAsia"/>
          <w:color w:val="000000"/>
          <w:spacing w:val="6"/>
          <w:sz w:val="24"/>
          <w:highlight w:val="none"/>
        </w:rPr>
        <w:t xml:space="preserve">；</w:t>
      </w:r>
      <w:r>
        <w:rPr>
          <w:color w:val="000000"/>
          <w:spacing w:val="6"/>
          <w:sz w:val="24"/>
          <w:highlight w:val="none"/>
        </w:rPr>
      </w:r>
      <w:r/>
    </w:p>
    <w:p>
      <w:pPr>
        <w:pStyle w:val="1288"/>
        <w:ind w:firstLine="504"/>
        <w:spacing w:line="360" w:lineRule="auto"/>
        <w:rPr>
          <w:color w:val="000000"/>
          <w:spacing w:val="6"/>
          <w:sz w:val="24"/>
          <w:highlight w:val="none"/>
        </w:rPr>
      </w:pPr>
      <w:r>
        <w:rPr>
          <w:color w:val="000000"/>
          <w:spacing w:val="6"/>
          <w:sz w:val="24"/>
          <w:highlight w:val="none"/>
        </w:rPr>
      </w:r>
      <w:r/>
    </w:p>
    <w:p>
      <w:pPr>
        <w:pStyle w:val="1288"/>
        <w:ind w:firstLine="504"/>
        <w:spacing w:line="360" w:lineRule="auto"/>
        <w:rPr>
          <w:color w:val="000000"/>
          <w:spacing w:val="6"/>
          <w:sz w:val="24"/>
          <w:highlight w:val="none"/>
        </w:rPr>
      </w:pPr>
      <w:r>
        <w:rPr>
          <w:color w:val="000000"/>
          <w:spacing w:val="6"/>
          <w:sz w:val="24"/>
          <w:highlight w:val="none"/>
        </w:rPr>
        <w:t xml:space="preserve">……</w:t>
      </w:r>
      <w:r>
        <w:rPr>
          <w:color w:val="000000"/>
          <w:spacing w:val="6"/>
          <w:sz w:val="24"/>
          <w:highlight w:val="none"/>
        </w:rPr>
      </w:r>
      <w:r/>
    </w:p>
    <w:p>
      <w:pPr>
        <w:pStyle w:val="1288"/>
        <w:ind w:firstLine="504"/>
        <w:spacing w:line="360" w:lineRule="auto"/>
        <w:rPr>
          <w:color w:val="000000"/>
          <w:spacing w:val="6"/>
          <w:sz w:val="24"/>
          <w:highlight w:val="none"/>
        </w:rPr>
      </w:pPr>
      <w:r>
        <w:rPr>
          <w:rFonts w:hint="eastAsia"/>
          <w:color w:val="000000"/>
          <w:spacing w:val="6"/>
          <w:sz w:val="24"/>
          <w:highlight w:val="none"/>
        </w:rPr>
        <w:t xml:space="preserve">以上企业，不属于大企业的分支机构，不存在控股股东为大企业的情形，也不存在与大企业的负责人为同一人的情形。</w:t>
      </w:r>
      <w:r>
        <w:rPr>
          <w:color w:val="000000"/>
          <w:spacing w:val="6"/>
          <w:sz w:val="24"/>
          <w:highlight w:val="none"/>
        </w:rPr>
      </w:r>
      <w:r/>
    </w:p>
    <w:p>
      <w:pPr>
        <w:pStyle w:val="1288"/>
        <w:ind w:firstLine="504"/>
        <w:spacing w:line="360" w:lineRule="auto"/>
        <w:rPr>
          <w:color w:val="000000"/>
          <w:spacing w:val="6"/>
          <w:sz w:val="24"/>
          <w:highlight w:val="none"/>
        </w:rPr>
      </w:pPr>
      <w:r>
        <w:rPr>
          <w:rFonts w:hint="eastAsia"/>
          <w:color w:val="000000"/>
          <w:spacing w:val="6"/>
          <w:sz w:val="24"/>
          <w:highlight w:val="none"/>
        </w:rPr>
        <w:t xml:space="preserve">本企业对上述声明内容的真实性负责。如有虚假，将依法承担相应责任。</w:t>
      </w:r>
      <w:r>
        <w:rPr>
          <w:color w:val="000000"/>
          <w:spacing w:val="6"/>
          <w:sz w:val="24"/>
          <w:highlight w:val="none"/>
        </w:rPr>
      </w:r>
      <w:r/>
    </w:p>
    <w:p>
      <w:pPr>
        <w:pStyle w:val="1288"/>
        <w:ind w:right="360" w:firstLine="480"/>
        <w:jc w:val="right"/>
        <w:spacing w:line="360" w:lineRule="auto"/>
        <w:rPr>
          <w:color w:val="000000"/>
          <w:sz w:val="24"/>
          <w:highlight w:val="none"/>
        </w:rPr>
      </w:pPr>
      <w:r>
        <w:rPr>
          <w:color w:val="000000"/>
          <w:sz w:val="24"/>
          <w:highlight w:val="none"/>
        </w:rPr>
      </w:r>
      <w:r/>
    </w:p>
    <w:p>
      <w:pPr>
        <w:pStyle w:val="1288"/>
        <w:ind w:right="360" w:firstLine="480"/>
        <w:jc w:val="right"/>
        <w:spacing w:line="360" w:lineRule="auto"/>
        <w:rPr>
          <w:color w:val="000000"/>
          <w:sz w:val="24"/>
          <w:highlight w:val="none"/>
        </w:rPr>
      </w:pPr>
      <w:r>
        <w:rPr>
          <w:rFonts w:hint="eastAsia"/>
          <w:color w:val="000000"/>
          <w:sz w:val="24"/>
          <w:highlight w:val="none"/>
        </w:rPr>
        <w:t xml:space="preserve">企业名称（盖章）：</w:t>
      </w:r>
      <w:r>
        <w:rPr>
          <w:color w:val="000000"/>
          <w:sz w:val="24"/>
          <w:highlight w:val="none"/>
        </w:rPr>
        <w:t xml:space="preserve">__</w:t>
      </w:r>
      <w:r>
        <w:rPr>
          <w:rFonts w:ascii="Cambria Math" w:hAnsi="Cambria Math" w:cs="Cambria Math"/>
          <w:color w:val="000000"/>
          <w:spacing w:val="6"/>
          <w:sz w:val="28"/>
          <w:szCs w:val="21"/>
          <w:highlight w:val="none"/>
          <w:u w:val="single"/>
        </w:rPr>
        <w:t xml:space="preserve">⑫</w:t>
      </w:r>
      <w:r>
        <w:rPr>
          <w:color w:val="000000"/>
          <w:sz w:val="24"/>
          <w:highlight w:val="none"/>
        </w:rPr>
        <w:t xml:space="preserve">______</w:t>
      </w:r>
      <w:r>
        <w:rPr>
          <w:color w:val="000000"/>
          <w:sz w:val="24"/>
          <w:highlight w:val="none"/>
        </w:rPr>
      </w:r>
      <w:r/>
    </w:p>
    <w:p>
      <w:pPr>
        <w:pStyle w:val="1288"/>
        <w:ind w:right="360" w:firstLine="480"/>
        <w:jc w:val="right"/>
        <w:spacing w:line="360" w:lineRule="auto"/>
        <w:rPr>
          <w:color w:val="000000"/>
          <w:sz w:val="24"/>
          <w:highlight w:val="none"/>
        </w:rPr>
      </w:pPr>
      <w:r>
        <w:rPr>
          <w:rFonts w:hint="eastAsia"/>
          <w:color w:val="000000"/>
          <w:sz w:val="24"/>
          <w:highlight w:val="none"/>
        </w:rPr>
        <w:t xml:space="preserve">日</w:t>
      </w:r>
      <w:r>
        <w:rPr>
          <w:color w:val="000000"/>
          <w:sz w:val="24"/>
          <w:highlight w:val="none"/>
        </w:rPr>
        <w:t xml:space="preserve"> </w:t>
      </w:r>
      <w:r>
        <w:rPr>
          <w:rFonts w:hint="eastAsia"/>
          <w:color w:val="000000"/>
          <w:sz w:val="24"/>
          <w:highlight w:val="none"/>
        </w:rPr>
        <w:t xml:space="preserve">期：</w:t>
      </w:r>
      <w:r>
        <w:rPr>
          <w:color w:val="000000"/>
          <w:sz w:val="24"/>
          <w:highlight w:val="none"/>
        </w:rPr>
        <w:t xml:space="preserve">________</w:t>
      </w:r>
      <w:bookmarkEnd w:id="849"/>
      <w:r>
        <w:rPr>
          <w:color w:val="000000"/>
          <w:sz w:val="24"/>
          <w:highlight w:val="none"/>
        </w:rPr>
      </w:r>
      <w:r/>
    </w:p>
    <w:p>
      <w:pPr>
        <w:pStyle w:val="1288"/>
        <w:jc w:val="left"/>
        <w:rPr>
          <w:color w:val="000000"/>
          <w:sz w:val="24"/>
          <w:szCs w:val="21"/>
          <w:highlight w:val="none"/>
        </w:rPr>
      </w:pPr>
      <w:r>
        <w:rPr>
          <w:color w:val="000000"/>
          <w:sz w:val="24"/>
          <w:szCs w:val="21"/>
          <w:highlight w:val="none"/>
        </w:rPr>
      </w:r>
      <w:r/>
    </w:p>
    <w:p>
      <w:pPr>
        <w:pStyle w:val="1288"/>
        <w:jc w:val="left"/>
        <w:rPr>
          <w:color w:val="000000"/>
          <w:szCs w:val="21"/>
          <w:highlight w:val="none"/>
          <w:vertAlign w:val="superscript"/>
        </w:rPr>
      </w:pPr>
      <w:r>
        <w:rPr>
          <w:color w:val="000000"/>
          <w:szCs w:val="21"/>
          <w:highlight w:val="none"/>
          <w:vertAlign w:val="superscript"/>
        </w:rPr>
      </w:r>
      <w:r/>
    </w:p>
    <w:p>
      <w:pPr>
        <w:pStyle w:val="1288"/>
        <w:ind w:right="600" w:firstLine="480"/>
        <w:jc w:val="right"/>
        <w:spacing w:line="360" w:lineRule="auto"/>
        <w:rPr>
          <w:color w:val="000000"/>
          <w:sz w:val="24"/>
          <w:highlight w:val="none"/>
        </w:rPr>
      </w:pPr>
      <w:r>
        <w:rPr>
          <w:color w:val="000000"/>
          <w:sz w:val="24"/>
          <w:highlight w:val="none"/>
        </w:rPr>
      </w:r>
      <w:r/>
    </w:p>
    <w:p>
      <w:pPr>
        <w:pStyle w:val="1288"/>
        <w:spacing w:line="570" w:lineRule="exact"/>
        <w:rPr>
          <w:rFonts w:ascii="黑体" w:hAnsi="黑体" w:eastAsia="黑体" w:cs="黑体"/>
          <w:color w:val="000000"/>
          <w:sz w:val="32"/>
          <w:szCs w:val="32"/>
          <w:highlight w:val="none"/>
        </w:rPr>
      </w:pPr>
      <w:r>
        <w:rPr>
          <w:rFonts w:ascii="黑体" w:hAnsi="黑体" w:eastAsia="黑体" w:cs="黑体"/>
          <w:color w:val="000000"/>
          <w:sz w:val="32"/>
          <w:szCs w:val="32"/>
          <w:highlight w:val="none"/>
        </w:rPr>
      </w:r>
      <w:r/>
    </w:p>
    <w:p>
      <w:pPr>
        <w:pStyle w:val="1288"/>
        <w:spacing w:line="570" w:lineRule="exact"/>
        <w:rPr>
          <w:rFonts w:hint="eastAsia" w:ascii="黑体" w:hAnsi="黑体" w:eastAsia="黑体" w:cs="黑体"/>
          <w:color w:val="000000"/>
          <w:sz w:val="32"/>
          <w:szCs w:val="32"/>
          <w:highlight w:val="none"/>
        </w:rPr>
      </w:pPr>
      <w:r>
        <w:rPr>
          <w:rFonts w:hint="eastAsia" w:ascii="黑体" w:hAnsi="黑体" w:eastAsia="黑体" w:cs="黑体"/>
          <w:color w:val="000000"/>
          <w:sz w:val="32"/>
          <w:szCs w:val="32"/>
          <w:highlight w:val="none"/>
        </w:rPr>
      </w:r>
      <w:r/>
    </w:p>
    <w:p>
      <w:pPr>
        <w:pStyle w:val="1288"/>
        <w:spacing w:line="570" w:lineRule="exact"/>
        <w:rPr>
          <w:rFonts w:hint="eastAsia" w:ascii="黑体" w:hAnsi="黑体" w:eastAsia="黑体" w:cs="黑体"/>
          <w:color w:val="000000"/>
          <w:sz w:val="32"/>
          <w:szCs w:val="32"/>
          <w:highlight w:val="none"/>
        </w:rPr>
      </w:pPr>
      <w:r>
        <w:rPr>
          <w:rFonts w:hint="eastAsia" w:ascii="黑体" w:hAnsi="黑体" w:eastAsia="黑体" w:cs="黑体"/>
          <w:color w:val="000000"/>
          <w:sz w:val="32"/>
          <w:szCs w:val="32"/>
          <w:highlight w:val="none"/>
        </w:rPr>
      </w:r>
      <w:r/>
    </w:p>
    <w:p>
      <w:pPr>
        <w:pStyle w:val="1288"/>
        <w:spacing w:line="570" w:lineRule="exact"/>
        <w:rPr>
          <w:rFonts w:hint="eastAsia" w:ascii="黑体" w:hAnsi="黑体" w:eastAsia="黑体" w:cs="黑体"/>
          <w:color w:val="000000"/>
          <w:sz w:val="32"/>
          <w:szCs w:val="32"/>
          <w:highlight w:val="none"/>
        </w:rPr>
      </w:pPr>
      <w:r>
        <w:rPr>
          <w:rFonts w:hint="eastAsia" w:ascii="黑体" w:hAnsi="黑体" w:eastAsia="黑体" w:cs="黑体"/>
          <w:color w:val="000000"/>
          <w:sz w:val="32"/>
          <w:szCs w:val="32"/>
          <w:highlight w:val="none"/>
        </w:rPr>
      </w:r>
      <w:r/>
    </w:p>
    <w:p>
      <w:pPr>
        <w:pStyle w:val="1288"/>
        <w:spacing w:line="570" w:lineRule="exact"/>
        <w:rPr>
          <w:rFonts w:hint="eastAsia" w:ascii="黑体" w:hAnsi="黑体" w:eastAsia="黑体" w:cs="黑体"/>
          <w:color w:val="000000"/>
          <w:sz w:val="32"/>
          <w:szCs w:val="32"/>
          <w:highlight w:val="none"/>
        </w:rPr>
      </w:pPr>
      <w:r>
        <w:rPr>
          <w:rFonts w:hint="eastAsia" w:ascii="黑体" w:hAnsi="黑体" w:eastAsia="黑体" w:cs="黑体"/>
          <w:color w:val="000000"/>
          <w:sz w:val="32"/>
          <w:szCs w:val="32"/>
          <w:highlight w:val="none"/>
        </w:rPr>
        <w:t xml:space="preserve">填写说明：</w:t>
      </w:r>
      <w:r>
        <w:rPr>
          <w:rFonts w:hint="eastAsia" w:ascii="黑体" w:hAnsi="黑体" w:eastAsia="黑体" w:cs="黑体"/>
          <w:color w:val="000000"/>
          <w:sz w:val="32"/>
          <w:szCs w:val="32"/>
          <w:highlight w:val="none"/>
        </w:rPr>
      </w:r>
      <w:r/>
    </w:p>
    <w:p>
      <w:pPr>
        <w:pStyle w:val="1288"/>
        <w:ind w:firstLine="504"/>
        <w:jc w:val="left"/>
        <w:spacing w:line="360" w:lineRule="auto"/>
        <w:rPr>
          <w:rFonts w:hint="eastAsia" w:ascii="宋体" w:hAnsi="宋体"/>
          <w:color w:val="000000"/>
          <w:spacing w:val="6"/>
          <w:sz w:val="24"/>
          <w:highlight w:val="none"/>
        </w:rPr>
      </w:pPr>
      <w:r>
        <w:rPr>
          <w:rFonts w:hint="eastAsia" w:ascii="宋体" w:hAnsi="宋体"/>
          <w:color w:val="000000"/>
          <w:spacing w:val="6"/>
          <w:sz w:val="24"/>
          <w:highlight w:val="none"/>
        </w:rPr>
        <w:t xml:space="preserve">1.（采购单位名称①）：填写本项目采购人单位名称，如常州市XXX局。</w:t>
      </w:r>
      <w:r>
        <w:rPr>
          <w:rFonts w:hint="eastAsia" w:ascii="宋体" w:hAnsi="宋体"/>
          <w:color w:val="000000"/>
          <w:spacing w:val="6"/>
          <w:sz w:val="24"/>
          <w:highlight w:val="none"/>
        </w:rPr>
      </w:r>
      <w:r/>
    </w:p>
    <w:p>
      <w:pPr>
        <w:pStyle w:val="1288"/>
        <w:ind w:firstLine="504"/>
        <w:jc w:val="left"/>
        <w:spacing w:line="360" w:lineRule="auto"/>
        <w:rPr>
          <w:rFonts w:hint="eastAsia" w:ascii="宋体" w:hAnsi="宋体"/>
          <w:color w:val="000000"/>
          <w:spacing w:val="6"/>
          <w:sz w:val="24"/>
          <w:highlight w:val="none"/>
        </w:rPr>
      </w:pPr>
      <w:r>
        <w:rPr>
          <w:rFonts w:hint="eastAsia" w:ascii="宋体" w:hAnsi="宋体"/>
          <w:color w:val="000000"/>
          <w:spacing w:val="6"/>
          <w:sz w:val="24"/>
          <w:highlight w:val="none"/>
        </w:rPr>
        <w:t xml:space="preserve">2.采购编号为②：填写本项目编号，如JSZC-3204XX-JZCG-G20XX-XX。</w:t>
      </w:r>
      <w:r>
        <w:rPr>
          <w:rFonts w:hint="eastAsia" w:ascii="宋体" w:hAnsi="宋体"/>
          <w:color w:val="000000"/>
          <w:spacing w:val="6"/>
          <w:sz w:val="24"/>
          <w:highlight w:val="none"/>
        </w:rPr>
      </w:r>
      <w:r/>
    </w:p>
    <w:p>
      <w:pPr>
        <w:pStyle w:val="1288"/>
        <w:ind w:firstLine="504"/>
        <w:jc w:val="left"/>
        <w:spacing w:line="360" w:lineRule="auto"/>
        <w:rPr>
          <w:rFonts w:hint="eastAsia" w:ascii="宋体" w:hAnsi="宋体"/>
          <w:color w:val="000000"/>
          <w:spacing w:val="6"/>
          <w:sz w:val="24"/>
          <w:highlight w:val="none"/>
        </w:rPr>
      </w:pPr>
      <w:r>
        <w:rPr>
          <w:rFonts w:hint="eastAsia" w:ascii="宋体" w:hAnsi="宋体"/>
          <w:color w:val="000000"/>
          <w:spacing w:val="6"/>
          <w:sz w:val="24"/>
          <w:highlight w:val="none"/>
        </w:rPr>
        <w:t xml:space="preserve">3.（项目名称③）：填写本项目名称，如常州市XXX项目。</w:t>
      </w:r>
      <w:r>
        <w:rPr>
          <w:rFonts w:hint="eastAsia" w:ascii="宋体" w:hAnsi="宋体"/>
          <w:color w:val="000000"/>
          <w:spacing w:val="6"/>
          <w:sz w:val="24"/>
          <w:highlight w:val="none"/>
        </w:rPr>
      </w:r>
      <w:r/>
    </w:p>
    <w:p>
      <w:pPr>
        <w:pStyle w:val="1288"/>
        <w:ind w:firstLine="504"/>
        <w:jc w:val="left"/>
        <w:spacing w:line="360" w:lineRule="auto"/>
        <w:rPr>
          <w:rFonts w:hint="eastAsia" w:ascii="宋体" w:hAnsi="宋体"/>
          <w:color w:val="000000"/>
          <w:spacing w:val="6"/>
          <w:sz w:val="24"/>
          <w:highlight w:val="none"/>
        </w:rPr>
      </w:pPr>
      <w:r>
        <w:rPr>
          <w:rFonts w:hint="eastAsia" w:ascii="宋体" w:hAnsi="宋体"/>
          <w:color w:val="000000"/>
          <w:spacing w:val="6"/>
          <w:sz w:val="24"/>
          <w:highlight w:val="none"/>
        </w:rPr>
        <w:t xml:space="preserve">4.（分包号：④）：填写分包编号，如有分包的，分别填写分包号，没有的填“无”。</w:t>
      </w:r>
      <w:r>
        <w:rPr>
          <w:rFonts w:hint="eastAsia" w:ascii="宋体" w:hAnsi="宋体"/>
          <w:color w:val="000000"/>
          <w:spacing w:val="6"/>
          <w:sz w:val="24"/>
          <w:highlight w:val="none"/>
        </w:rPr>
      </w:r>
      <w:r/>
    </w:p>
    <w:p>
      <w:pPr>
        <w:pStyle w:val="1288"/>
        <w:ind w:firstLine="504"/>
        <w:jc w:val="left"/>
        <w:spacing w:line="360" w:lineRule="auto"/>
        <w:rPr>
          <w:rFonts w:hint="eastAsia" w:ascii="宋体" w:hAnsi="宋体"/>
          <w:color w:val="000000"/>
          <w:spacing w:val="6"/>
          <w:sz w:val="24"/>
          <w:highlight w:val="none"/>
        </w:rPr>
      </w:pPr>
      <w:r>
        <w:rPr>
          <w:rFonts w:hint="eastAsia" w:ascii="宋体" w:hAnsi="宋体"/>
          <w:color w:val="000000"/>
          <w:spacing w:val="6"/>
          <w:sz w:val="24"/>
          <w:highlight w:val="none"/>
        </w:rPr>
        <w:t xml:space="preserve">5.（标的名称⑤）：填写本项目标的名称，如有产品清单的请根据采购文件“第四章采购需求”-“服务内容及要求/货物技术要求”-“产品清单”中列出的名称进行填写，如：物业服务、保安服务、审计服务等；如没有产品清单的可以填项目名称。</w:t>
      </w:r>
      <w:r>
        <w:rPr>
          <w:rFonts w:hint="eastAsia" w:ascii="宋体" w:hAnsi="宋体"/>
          <w:color w:val="000000"/>
          <w:spacing w:val="6"/>
          <w:sz w:val="24"/>
          <w:highlight w:val="none"/>
        </w:rPr>
      </w:r>
      <w:r/>
    </w:p>
    <w:p>
      <w:pPr>
        <w:pStyle w:val="1288"/>
        <w:ind w:firstLine="504"/>
        <w:jc w:val="left"/>
        <w:spacing w:line="360" w:lineRule="auto"/>
        <w:rPr>
          <w:rFonts w:hint="eastAsia" w:ascii="宋体" w:hAnsi="宋体"/>
          <w:color w:val="000000"/>
          <w:spacing w:val="6"/>
          <w:sz w:val="24"/>
          <w:highlight w:val="none"/>
        </w:rPr>
      </w:pPr>
      <w:r>
        <w:rPr>
          <w:rFonts w:hint="eastAsia" w:ascii="宋体" w:hAnsi="宋体"/>
          <w:color w:val="000000"/>
          <w:spacing w:val="6"/>
          <w:sz w:val="24"/>
          <w:highlight w:val="none"/>
        </w:rPr>
        <w:t xml:space="preserve">6.（采购文件中明确的所属行业⑥）：填写本项目采购标的所属行业。须根据采购文件“第二章供应商须知料表”表格中列明的所属行业进行填写。如：软件和信息技术服务业、租赁和商务服务业等。</w:t>
      </w:r>
      <w:r>
        <w:rPr>
          <w:rFonts w:hint="eastAsia" w:ascii="宋体" w:hAnsi="宋体"/>
          <w:color w:val="000000"/>
          <w:spacing w:val="6"/>
          <w:sz w:val="24"/>
          <w:highlight w:val="none"/>
        </w:rPr>
      </w:r>
      <w:r/>
    </w:p>
    <w:p>
      <w:pPr>
        <w:pStyle w:val="1288"/>
        <w:ind w:firstLine="504"/>
        <w:jc w:val="left"/>
        <w:spacing w:line="360" w:lineRule="auto"/>
        <w:rPr>
          <w:rFonts w:hint="eastAsia" w:ascii="宋体" w:hAnsi="宋体"/>
          <w:color w:val="000000"/>
          <w:spacing w:val="6"/>
          <w:sz w:val="24"/>
          <w:highlight w:val="none"/>
        </w:rPr>
      </w:pPr>
      <w:r>
        <w:rPr>
          <w:rFonts w:hint="eastAsia" w:ascii="宋体" w:hAnsi="宋体"/>
          <w:color w:val="000000"/>
          <w:spacing w:val="6"/>
          <w:sz w:val="24"/>
          <w:highlight w:val="none"/>
        </w:rPr>
        <w:t xml:space="preserve">7.（企业名称⑦）：填写投标人或供应商的名称，如XXX公司。</w:t>
      </w:r>
      <w:r>
        <w:rPr>
          <w:rFonts w:hint="eastAsia" w:ascii="宋体" w:hAnsi="宋体"/>
          <w:color w:val="000000"/>
          <w:spacing w:val="6"/>
          <w:sz w:val="24"/>
          <w:highlight w:val="none"/>
        </w:rPr>
      </w:r>
      <w:r/>
    </w:p>
    <w:p>
      <w:pPr>
        <w:pStyle w:val="1288"/>
        <w:ind w:firstLine="504"/>
        <w:jc w:val="left"/>
        <w:spacing w:line="360" w:lineRule="auto"/>
        <w:rPr>
          <w:rFonts w:hint="eastAsia" w:ascii="宋体" w:hAnsi="宋体"/>
          <w:color w:val="000000"/>
          <w:spacing w:val="6"/>
          <w:sz w:val="24"/>
          <w:highlight w:val="none"/>
        </w:rPr>
      </w:pPr>
      <w:r>
        <w:rPr>
          <w:rFonts w:hint="eastAsia" w:ascii="宋体" w:hAnsi="宋体"/>
          <w:color w:val="000000"/>
          <w:spacing w:val="6"/>
          <w:sz w:val="24"/>
          <w:highlight w:val="none"/>
        </w:rPr>
        <w:t xml:space="preserve">8.从业人员⑧人，营业收入为⑨万元，资产总额为⑩万元：填报投标人或供应商的从业人员、营业收入、资产总额上一年度数据，无上一年度数据的新成立企业可不填报。</w:t>
      </w:r>
      <w:r>
        <w:rPr>
          <w:rFonts w:hint="eastAsia" w:ascii="宋体" w:hAnsi="宋体"/>
          <w:color w:val="000000"/>
          <w:spacing w:val="6"/>
          <w:sz w:val="24"/>
          <w:highlight w:val="none"/>
        </w:rPr>
      </w:r>
      <w:r/>
    </w:p>
    <w:p>
      <w:pPr>
        <w:pStyle w:val="1288"/>
        <w:ind w:firstLine="504"/>
        <w:jc w:val="left"/>
        <w:spacing w:line="360" w:lineRule="auto"/>
        <w:rPr>
          <w:rFonts w:hint="eastAsia" w:ascii="宋体" w:hAnsi="宋体"/>
          <w:color w:val="000000"/>
          <w:spacing w:val="6"/>
          <w:sz w:val="24"/>
          <w:highlight w:val="none"/>
        </w:rPr>
      </w:pPr>
      <w:r>
        <w:rPr>
          <w:rFonts w:hint="eastAsia" w:ascii="宋体" w:hAnsi="宋体"/>
          <w:color w:val="000000"/>
          <w:spacing w:val="6"/>
          <w:sz w:val="24"/>
          <w:highlight w:val="none"/>
        </w:rPr>
        <w:t xml:space="preserve">9.（中型企业、小型企业、微型企业</w:t>
      </w:r>
      <w:r>
        <w:rPr>
          <w:rFonts w:ascii="Cambria Math" w:hAnsi="Cambria Math" w:cs="Cambria Math"/>
          <w:color w:val="000000"/>
          <w:spacing w:val="6"/>
          <w:sz w:val="24"/>
          <w:highlight w:val="none"/>
        </w:rPr>
        <w:t xml:space="preserve">⑪</w:t>
      </w:r>
      <w:r>
        <w:rPr>
          <w:rFonts w:hint="eastAsia" w:ascii="宋体" w:hAnsi="宋体"/>
          <w:color w:val="000000"/>
          <w:spacing w:val="6"/>
          <w:sz w:val="24"/>
          <w:highlight w:val="none"/>
        </w:rPr>
        <w:t xml:space="preserve">）：根据投标人或供应商的企业规模情况填写中型企业、小型企业或微型企业（只能填写三种其中的一种）。中小企业划分见《关于印发中小企业划型标准规定的通知》（工信部联企业〔2011〕300号) 。</w:t>
      </w:r>
      <w:r>
        <w:rPr>
          <w:rFonts w:hint="eastAsia" w:ascii="宋体" w:hAnsi="宋体"/>
          <w:color w:val="000000"/>
          <w:spacing w:val="6"/>
          <w:sz w:val="24"/>
          <w:highlight w:val="none"/>
        </w:rPr>
      </w:r>
      <w:r/>
    </w:p>
    <w:p>
      <w:pPr>
        <w:pStyle w:val="1288"/>
        <w:ind w:firstLine="504"/>
        <w:jc w:val="left"/>
        <w:spacing w:line="360" w:lineRule="auto"/>
        <w:rPr>
          <w:rFonts w:hint="eastAsia" w:ascii="宋体" w:hAnsi="宋体"/>
          <w:color w:val="000000"/>
          <w:spacing w:val="6"/>
          <w:sz w:val="24"/>
          <w:highlight w:val="none"/>
        </w:rPr>
      </w:pPr>
      <w:r>
        <w:rPr>
          <w:rFonts w:hint="eastAsia" w:ascii="宋体" w:hAnsi="宋体"/>
          <w:color w:val="000000"/>
          <w:spacing w:val="6"/>
          <w:sz w:val="24"/>
          <w:highlight w:val="none"/>
        </w:rPr>
        <w:t xml:space="preserve">10.企业名称（盖章）</w:t>
      </w:r>
      <w:r>
        <w:rPr>
          <w:rFonts w:ascii="Cambria Math" w:hAnsi="Cambria Math" w:cs="Cambria Math"/>
          <w:color w:val="000000"/>
          <w:spacing w:val="6"/>
          <w:sz w:val="24"/>
          <w:highlight w:val="none"/>
        </w:rPr>
        <w:t xml:space="preserve">⑫</w:t>
      </w:r>
      <w:r>
        <w:rPr>
          <w:rFonts w:hint="eastAsia" w:ascii="宋体" w:hAnsi="宋体"/>
          <w:color w:val="000000"/>
          <w:spacing w:val="6"/>
          <w:sz w:val="24"/>
          <w:highlight w:val="none"/>
        </w:rPr>
        <w:t xml:space="preserve">：加盖投标人或供应商CA电子公章。</w:t>
      </w:r>
      <w:r>
        <w:rPr>
          <w:rFonts w:hint="eastAsia" w:ascii="宋体" w:hAnsi="宋体"/>
          <w:color w:val="000000"/>
          <w:spacing w:val="6"/>
          <w:sz w:val="24"/>
          <w:highlight w:val="none"/>
        </w:rPr>
      </w:r>
      <w:r/>
    </w:p>
    <w:p>
      <w:pPr>
        <w:pStyle w:val="1288"/>
        <w:ind w:firstLine="504"/>
        <w:jc w:val="left"/>
        <w:spacing w:line="360" w:lineRule="auto"/>
        <w:rPr>
          <w:rFonts w:hint="eastAsia" w:ascii="宋体" w:hAnsi="宋体"/>
          <w:color w:val="000000"/>
          <w:spacing w:val="6"/>
          <w:sz w:val="24"/>
          <w:highlight w:val="none"/>
        </w:rPr>
      </w:pPr>
      <w:r>
        <w:rPr>
          <w:rFonts w:hint="eastAsia" w:ascii="宋体" w:hAnsi="宋体"/>
          <w:color w:val="000000"/>
          <w:spacing w:val="6"/>
          <w:sz w:val="24"/>
          <w:highlight w:val="none"/>
        </w:rPr>
        <w:t xml:space="preserve">11.如是专门面向中小企业预留份额的采购项目，供应商未提供此声明函的，资格审查不予通过，作为无效投标（响应）。如是非专门面向中小企业预留份额的采购项目，供应商未提供此声明函的，评审时不享受小微型企业价格扣除政策。此声明函将随中标成交结果同时公告，接受社会监督。供应商应当自行核实是否属于中小微企业，并认真填写声明函，若有虚假将追究其责任。</w:t>
      </w:r>
      <w:r>
        <w:rPr>
          <w:rFonts w:hint="eastAsia" w:ascii="宋体" w:hAnsi="宋体"/>
          <w:color w:val="000000"/>
          <w:spacing w:val="6"/>
          <w:sz w:val="24"/>
          <w:highlight w:val="none"/>
        </w:rPr>
      </w:r>
      <w:r/>
    </w:p>
    <w:p>
      <w:pPr>
        <w:pStyle w:val="1342"/>
        <w:ind w:firstLine="480"/>
        <w:spacing w:line="360" w:lineRule="auto"/>
        <w:rPr>
          <w:rFonts w:hint="eastAsia" w:ascii="宋体" w:hAnsi="宋体"/>
          <w:color w:val="000000"/>
          <w:spacing w:val="6"/>
          <w:sz w:val="24"/>
          <w:szCs w:val="24"/>
          <w:highlight w:val="none"/>
        </w:rPr>
      </w:pPr>
      <w:r>
        <w:rPr>
          <w:rFonts w:hint="eastAsia" w:ascii="宋体" w:hAnsi="宋体"/>
          <w:color w:val="000000"/>
          <w:spacing w:val="6"/>
          <w:sz w:val="24"/>
          <w:szCs w:val="24"/>
          <w:highlight w:val="none"/>
        </w:rPr>
        <w:t xml:space="preserve">12.温馨提示</w:t>
      </w:r>
      <w:r>
        <w:rPr>
          <w:rFonts w:hint="eastAsia" w:ascii="宋体" w:hAnsi="宋体"/>
          <w:color w:val="000000"/>
          <w:spacing w:val="6"/>
          <w:sz w:val="24"/>
          <w:szCs w:val="24"/>
          <w:highlight w:val="none"/>
        </w:rPr>
      </w:r>
      <w:r/>
    </w:p>
    <w:p>
      <w:pPr>
        <w:pStyle w:val="1342"/>
        <w:ind w:firstLine="480"/>
        <w:spacing w:line="360" w:lineRule="auto"/>
        <w:rPr>
          <w:rFonts w:hint="eastAsia" w:ascii="宋体" w:hAnsi="宋体"/>
          <w:color w:val="000000"/>
          <w:spacing w:val="6"/>
          <w:sz w:val="24"/>
          <w:szCs w:val="24"/>
          <w:highlight w:val="none"/>
        </w:rPr>
      </w:pPr>
      <w:r>
        <w:rPr>
          <w:rFonts w:hint="eastAsia" w:ascii="宋体" w:hAnsi="宋体"/>
          <w:color w:val="000000"/>
          <w:spacing w:val="6"/>
          <w:sz w:val="24"/>
          <w:szCs w:val="24"/>
          <w:highlight w:val="none"/>
        </w:rPr>
        <w:t xml:space="preserve">（1）对于已纳入统计部门统计范围的企业，所属行业、从业人员、营业收入、资产总额、规模类型应与统计部门报表保持一致。</w:t>
      </w:r>
      <w:r>
        <w:rPr>
          <w:rFonts w:hint="eastAsia" w:ascii="宋体" w:hAnsi="宋体"/>
          <w:color w:val="000000"/>
          <w:spacing w:val="6"/>
          <w:sz w:val="24"/>
          <w:szCs w:val="24"/>
          <w:highlight w:val="none"/>
        </w:rPr>
      </w:r>
      <w:r/>
    </w:p>
    <w:p>
      <w:pPr>
        <w:pStyle w:val="1342"/>
        <w:ind w:firstLine="480"/>
        <w:spacing w:line="360" w:lineRule="auto"/>
        <w:rPr>
          <w:rFonts w:hint="eastAsia" w:ascii="宋体" w:hAnsi="宋体"/>
          <w:color w:val="000000"/>
          <w:spacing w:val="6"/>
          <w:sz w:val="24"/>
          <w:szCs w:val="24"/>
          <w:highlight w:val="none"/>
        </w:rPr>
      </w:pPr>
      <w:r>
        <w:rPr>
          <w:rFonts w:hint="eastAsia" w:ascii="宋体" w:hAnsi="宋体"/>
          <w:color w:val="000000"/>
          <w:spacing w:val="6"/>
          <w:sz w:val="24"/>
          <w:szCs w:val="24"/>
          <w:highlight w:val="none"/>
        </w:rPr>
        <w:t xml:space="preserve">（2）对于未纳入统计部门统计范围的企业，应对照《国民经济行业分类》确定所属行业，当企业从事两种以上的经济活动时，则按照主要活动确定其所属行业；从业人数可以社会保险参保人数为准；营业收入、资产总额可以第三方出具的报告为准。</w:t>
      </w:r>
      <w:r>
        <w:rPr>
          <w:rFonts w:hint="eastAsia" w:ascii="宋体" w:hAnsi="宋体"/>
          <w:color w:val="000000"/>
          <w:spacing w:val="6"/>
          <w:sz w:val="24"/>
          <w:szCs w:val="24"/>
          <w:highlight w:val="none"/>
        </w:rPr>
      </w:r>
      <w:r/>
    </w:p>
    <w:p>
      <w:pPr>
        <w:pStyle w:val="1342"/>
        <w:ind w:firstLine="480"/>
        <w:spacing w:line="360" w:lineRule="auto"/>
        <w:rPr>
          <w:rFonts w:hint="eastAsia" w:ascii="宋体" w:hAnsi="宋体"/>
          <w:color w:val="000000"/>
          <w:spacing w:val="6"/>
          <w:sz w:val="24"/>
          <w:szCs w:val="24"/>
          <w:highlight w:val="none"/>
        </w:rPr>
      </w:pPr>
      <w:r>
        <w:rPr>
          <w:rFonts w:hint="eastAsia" w:ascii="宋体" w:hAnsi="宋体"/>
          <w:color w:val="000000"/>
          <w:spacing w:val="6"/>
          <w:sz w:val="24"/>
          <w:szCs w:val="24"/>
          <w:highlight w:val="none"/>
        </w:rPr>
        <w:t xml:space="preserve">（3）供应商提供第三方（如制造商）书面声明、检测报告等资料作为投标文件组成部分的，供应商应保证投标所提供第三方资料内容真实、完整、准确。如相关第三方书面声明、相关检测报告等资料虚假，监管部门有权根据调查情形认定其是否属于提供虚假材料谋取中标，并严肃处理。</w:t>
      </w:r>
      <w:r>
        <w:rPr>
          <w:rFonts w:hint="eastAsia" w:ascii="宋体" w:hAnsi="宋体"/>
          <w:color w:val="000000"/>
          <w:spacing w:val="6"/>
          <w:sz w:val="24"/>
          <w:szCs w:val="24"/>
          <w:highlight w:val="none"/>
        </w:rPr>
      </w:r>
      <w:r/>
    </w:p>
    <w:p>
      <w:pPr>
        <w:pStyle w:val="1342"/>
        <w:ind w:firstLine="480"/>
        <w:spacing w:line="360" w:lineRule="auto"/>
        <w:rPr>
          <w:rFonts w:hint="eastAsia" w:ascii="宋体" w:hAnsi="宋体"/>
          <w:color w:val="000000"/>
          <w:spacing w:val="6"/>
          <w:sz w:val="24"/>
          <w:szCs w:val="24"/>
          <w:highlight w:val="none"/>
        </w:rPr>
      </w:pPr>
      <w:r>
        <w:rPr>
          <w:rFonts w:hint="eastAsia" w:ascii="宋体" w:hAnsi="宋体"/>
          <w:color w:val="000000"/>
          <w:spacing w:val="6"/>
          <w:sz w:val="24"/>
          <w:szCs w:val="24"/>
          <w:highlight w:val="none"/>
        </w:rPr>
        <w:t xml:space="preserve">（4）对于采购文件确实允许非独立法人参与采购活动的，应按其所属集团公司合并财务报表数据情况予以填报。以联合体形式参加或者合同分包的，需填写联合体中的中小企业或签订分包意向协议的中小企业相关信息。</w:t>
      </w:r>
      <w:r>
        <w:rPr>
          <w:rFonts w:hint="eastAsia" w:ascii="宋体" w:hAnsi="宋体"/>
          <w:color w:val="000000"/>
          <w:spacing w:val="6"/>
          <w:sz w:val="24"/>
          <w:szCs w:val="24"/>
          <w:highlight w:val="none"/>
        </w:rPr>
      </w:r>
      <w:r/>
    </w:p>
    <w:p>
      <w:pPr>
        <w:pStyle w:val="1342"/>
        <w:ind w:firstLine="480"/>
        <w:spacing w:line="360" w:lineRule="auto"/>
        <w:rPr>
          <w:rFonts w:hint="eastAsia" w:ascii="宋体" w:hAnsi="宋体"/>
          <w:color w:val="000000"/>
          <w:spacing w:val="6"/>
          <w:sz w:val="24"/>
          <w:szCs w:val="24"/>
          <w:highlight w:val="none"/>
        </w:rPr>
      </w:pPr>
      <w:r>
        <w:rPr>
          <w:rFonts w:hint="eastAsia" w:ascii="宋体" w:hAnsi="宋体"/>
          <w:color w:val="000000"/>
          <w:spacing w:val="6"/>
          <w:sz w:val="24"/>
          <w:szCs w:val="24"/>
          <w:highlight w:val="none"/>
        </w:rPr>
        <w:t xml:space="preserve">（5）《中小企业声明函》真实性由其出具的供应商负责。《中小企业声明函》中相关企业[制造商、承建（承接）企业]所属行业应当与采购标的的所属行业相一致。《中小企业声明函》应当充分、准确反映供应商的信息。</w:t>
      </w:r>
      <w:r>
        <w:rPr>
          <w:rFonts w:hint="eastAsia" w:ascii="宋体" w:hAnsi="宋体"/>
          <w:color w:val="000000"/>
          <w:spacing w:val="6"/>
          <w:sz w:val="24"/>
          <w:szCs w:val="24"/>
          <w:highlight w:val="none"/>
        </w:rPr>
      </w:r>
      <w:r/>
    </w:p>
    <w:p>
      <w:pPr>
        <w:pStyle w:val="1342"/>
        <w:ind w:firstLine="480"/>
        <w:spacing w:line="360" w:lineRule="auto"/>
        <w:rPr>
          <w:rFonts w:hint="eastAsia" w:ascii="宋体" w:hAnsi="宋体"/>
          <w:color w:val="000000"/>
          <w:spacing w:val="6"/>
          <w:sz w:val="24"/>
          <w:szCs w:val="24"/>
          <w:highlight w:val="none"/>
        </w:rPr>
      </w:pPr>
      <w:r>
        <w:rPr>
          <w:rFonts w:hint="eastAsia" w:ascii="宋体" w:hAnsi="宋体"/>
          <w:color w:val="000000"/>
          <w:spacing w:val="6"/>
          <w:sz w:val="24"/>
          <w:szCs w:val="24"/>
          <w:highlight w:val="none"/>
        </w:rPr>
        <w:t xml:space="preserve">（6）经调查发现供应商提供《中小企业声明函》内容与实际不符的，政府采购监管部门有权根据《中小企业声明函》与实际情况的差异视情形认定其是否属于虚假材料谋取中标。</w:t>
      </w:r>
      <w:r>
        <w:rPr>
          <w:rFonts w:hint="eastAsia" w:ascii="宋体" w:hAnsi="宋体"/>
          <w:color w:val="000000"/>
          <w:spacing w:val="6"/>
          <w:sz w:val="24"/>
          <w:szCs w:val="24"/>
          <w:highlight w:val="none"/>
        </w:rPr>
      </w:r>
      <w:r/>
    </w:p>
    <w:p>
      <w:pPr>
        <w:pStyle w:val="1288"/>
        <w:ind w:firstLine="504"/>
        <w:jc w:val="left"/>
        <w:spacing w:line="360" w:lineRule="auto"/>
        <w:rPr>
          <w:rFonts w:hint="eastAsia" w:ascii="宋体" w:hAnsi="宋体"/>
          <w:color w:val="000000"/>
          <w:spacing w:val="6"/>
          <w:sz w:val="24"/>
          <w:highlight w:val="none"/>
        </w:rPr>
      </w:pPr>
      <w:r>
        <w:rPr>
          <w:rFonts w:hint="eastAsia" w:ascii="宋体" w:hAnsi="宋体"/>
          <w:color w:val="000000"/>
          <w:spacing w:val="6"/>
          <w:sz w:val="24"/>
          <w:highlight w:val="none"/>
        </w:rPr>
        <w:t xml:space="preserve">（7）根据《财政部关于规范政府采购行政处罚有关问题的通知》（财库〔2015〕150 号）规定，各级人民政府财政部门依法对供应商作出的禁止参加政府采购活</w:t>
      </w:r>
      <w:r>
        <w:rPr>
          <w:rFonts w:hint="eastAsia" w:ascii="宋体" w:hAnsi="宋体"/>
          <w:color w:val="000000"/>
          <w:spacing w:val="6"/>
          <w:sz w:val="24"/>
          <w:highlight w:val="none"/>
        </w:rPr>
      </w:r>
      <w:r/>
    </w:p>
    <w:p>
      <w:pPr>
        <w:pStyle w:val="1288"/>
        <w:jc w:val="left"/>
        <w:spacing w:line="360" w:lineRule="auto"/>
        <w:rPr>
          <w:rFonts w:hint="eastAsia"/>
          <w:color w:val="000000"/>
          <w:szCs w:val="21"/>
          <w:highlight w:val="none"/>
          <w:vertAlign w:val="superscript"/>
        </w:rPr>
      </w:pPr>
      <w:r>
        <w:rPr>
          <w:rFonts w:hint="eastAsia" w:ascii="宋体" w:hAnsi="宋体"/>
          <w:color w:val="000000"/>
          <w:spacing w:val="6"/>
          <w:sz w:val="24"/>
          <w:highlight w:val="none"/>
        </w:rPr>
        <w:t xml:space="preserve">动的行政处罚决定在全国范围内生效。</w:t>
      </w:r>
      <w:r>
        <w:rPr>
          <w:rFonts w:hint="eastAsia"/>
          <w:color w:val="000000"/>
          <w:szCs w:val="21"/>
          <w:highlight w:val="none"/>
          <w:vertAlign w:val="superscript"/>
        </w:rPr>
      </w:r>
      <w:r/>
    </w:p>
    <w:p>
      <w:pPr>
        <w:pStyle w:val="1288"/>
        <w:ind w:right="360" w:firstLine="480"/>
        <w:jc w:val="right"/>
        <w:spacing w:line="360" w:lineRule="auto"/>
        <w:rPr>
          <w:color w:val="000000"/>
          <w:sz w:val="24"/>
          <w:highlight w:val="none"/>
        </w:rPr>
      </w:pPr>
      <w:r>
        <w:rPr>
          <w:color w:val="000000"/>
          <w:sz w:val="24"/>
          <w:highlight w:val="none"/>
        </w:rPr>
      </w:r>
      <w:r/>
    </w:p>
    <w:p>
      <w:pPr>
        <w:pStyle w:val="1288"/>
        <w:jc w:val="left"/>
        <w:widowControl/>
        <w:rPr>
          <w:color w:val="000000"/>
          <w:sz w:val="24"/>
          <w:highlight w:val="none"/>
        </w:rPr>
      </w:pPr>
      <w:r>
        <w:rPr>
          <w:color w:val="000000"/>
          <w:sz w:val="24"/>
          <w:highlight w:val="none"/>
        </w:rPr>
      </w:r>
      <w:r/>
    </w:p>
    <w:p>
      <w:pPr>
        <w:pStyle w:val="1288"/>
        <w:jc w:val="center"/>
        <w:rPr>
          <w:color w:val="000000"/>
          <w:sz w:val="36"/>
          <w:szCs w:val="36"/>
          <w:highlight w:val="none"/>
        </w:rPr>
      </w:pPr>
      <w:r>
        <w:rPr>
          <w:b/>
          <w:color w:val="000000"/>
          <w:sz w:val="36"/>
          <w:szCs w:val="36"/>
          <w:highlight w:val="none"/>
        </w:rPr>
        <w:br w:type="page" w:clear="all"/>
      </w:r>
      <w:r>
        <w:rPr>
          <w:rFonts w:hint="eastAsia"/>
          <w:b/>
          <w:color w:val="000000"/>
          <w:sz w:val="36"/>
          <w:szCs w:val="36"/>
          <w:highlight w:val="none"/>
        </w:rPr>
        <w:t xml:space="preserve">残疾人福利性单位声明函格式</w:t>
      </w:r>
      <w:r>
        <w:rPr>
          <w:color w:val="000000"/>
          <w:sz w:val="36"/>
          <w:szCs w:val="36"/>
          <w:highlight w:val="none"/>
        </w:rPr>
      </w:r>
      <w:r/>
    </w:p>
    <w:p>
      <w:pPr>
        <w:pStyle w:val="1288"/>
        <w:ind w:firstLine="504"/>
        <w:spacing w:line="588" w:lineRule="exact"/>
        <w:rPr>
          <w:color w:val="000000"/>
          <w:spacing w:val="6"/>
          <w:sz w:val="24"/>
          <w:highlight w:val="none"/>
        </w:rPr>
      </w:pPr>
      <w:r>
        <w:rPr>
          <w:rFonts w:hint="eastAsia"/>
          <w:color w:val="000000"/>
          <w:spacing w:val="6"/>
          <w:sz w:val="24"/>
          <w:highlight w:val="none"/>
        </w:rPr>
        <w:t xml:space="preserve">本单位郑重声明，根据《财政部</w:t>
      </w:r>
      <w:r>
        <w:rPr>
          <w:color w:val="000000"/>
          <w:spacing w:val="6"/>
          <w:sz w:val="24"/>
          <w:highlight w:val="none"/>
        </w:rPr>
        <w:t xml:space="preserve"> </w:t>
      </w:r>
      <w:r>
        <w:rPr>
          <w:rFonts w:hint="eastAsia"/>
          <w:color w:val="000000"/>
          <w:spacing w:val="6"/>
          <w:sz w:val="24"/>
          <w:highlight w:val="none"/>
        </w:rPr>
        <w:t xml:space="preserve">民政部</w:t>
      </w:r>
      <w:r>
        <w:rPr>
          <w:color w:val="000000"/>
          <w:spacing w:val="6"/>
          <w:sz w:val="24"/>
          <w:highlight w:val="none"/>
        </w:rPr>
        <w:t xml:space="preserve"> </w:t>
      </w:r>
      <w:r>
        <w:rPr>
          <w:rFonts w:hint="eastAsia"/>
          <w:color w:val="000000"/>
          <w:spacing w:val="6"/>
          <w:sz w:val="24"/>
          <w:highlight w:val="none"/>
        </w:rPr>
        <w:t xml:space="preserve">中国残疾人联合会关于促进残疾人就业政府采购政策的通知》（财库</w:t>
      </w:r>
      <w:r>
        <w:rPr>
          <w:rFonts w:hint="eastAsia"/>
          <w:color w:val="000000"/>
          <w:sz w:val="24"/>
          <w:highlight w:val="none"/>
        </w:rPr>
        <w:t xml:space="preserve">〔</w:t>
      </w:r>
      <w:r>
        <w:rPr>
          <w:color w:val="000000"/>
          <w:sz w:val="24"/>
          <w:highlight w:val="none"/>
        </w:rPr>
        <w:t xml:space="preserve">2017</w:t>
      </w:r>
      <w:r>
        <w:rPr>
          <w:rFonts w:hint="eastAsia"/>
          <w:color w:val="000000"/>
          <w:sz w:val="24"/>
          <w:highlight w:val="none"/>
        </w:rPr>
        <w:t xml:space="preserve">〕</w:t>
      </w:r>
      <w:r>
        <w:rPr>
          <w:color w:val="000000"/>
          <w:sz w:val="24"/>
          <w:highlight w:val="none"/>
        </w:rPr>
        <w:t xml:space="preserve"> 141</w:t>
      </w:r>
      <w:r>
        <w:rPr>
          <w:rFonts w:hint="eastAsia"/>
          <w:color w:val="000000"/>
          <w:spacing w:val="6"/>
          <w:sz w:val="24"/>
          <w:highlight w:val="none"/>
        </w:rPr>
        <w:t xml:space="preserve">号）的规定，本单位</w:t>
      </w:r>
      <w:r>
        <w:rPr>
          <w:rFonts w:hint="eastAsia"/>
          <w:b/>
          <w:color w:val="000000"/>
          <w:sz w:val="24"/>
          <w:highlight w:val="none"/>
        </w:rPr>
        <w:t xml:space="preserve">（请进行勾选）</w:t>
      </w:r>
      <w:r>
        <w:rPr>
          <w:rFonts w:hint="eastAsia"/>
          <w:color w:val="000000"/>
          <w:spacing w:val="6"/>
          <w:sz w:val="24"/>
          <w:highlight w:val="none"/>
        </w:rPr>
        <w:t xml:space="preserve">：</w:t>
      </w:r>
      <w:r>
        <w:rPr>
          <w:color w:val="000000"/>
          <w:spacing w:val="6"/>
          <w:sz w:val="24"/>
          <w:highlight w:val="none"/>
        </w:rPr>
      </w:r>
      <w:r/>
    </w:p>
    <w:p>
      <w:pPr>
        <w:pStyle w:val="1288"/>
        <w:ind w:firstLine="482"/>
        <w:spacing w:line="588" w:lineRule="exact"/>
        <w:rPr>
          <w:b/>
          <w:color w:val="000000"/>
          <w:spacing w:val="6"/>
          <w:sz w:val="24"/>
          <w:highlight w:val="none"/>
        </w:rPr>
      </w:pPr>
      <w:r>
        <w:rPr>
          <w:rFonts w:hint="eastAsia"/>
          <w:b/>
          <w:color w:val="000000"/>
          <w:sz w:val="24"/>
          <w:highlight w:val="none"/>
        </w:rPr>
        <w:t xml:space="preserve">□</w:t>
      </w:r>
      <w:r>
        <w:rPr>
          <w:rFonts w:hint="eastAsia"/>
          <w:b/>
          <w:color w:val="000000"/>
          <w:spacing w:val="6"/>
          <w:sz w:val="24"/>
          <w:highlight w:val="none"/>
        </w:rPr>
        <w:t xml:space="preserve">不属于符合条件的残疾人福利性单位。</w:t>
      </w:r>
      <w:r>
        <w:rPr>
          <w:b/>
          <w:color w:val="000000"/>
          <w:spacing w:val="6"/>
          <w:sz w:val="24"/>
          <w:highlight w:val="none"/>
        </w:rPr>
      </w:r>
      <w:r/>
    </w:p>
    <w:p>
      <w:pPr>
        <w:pStyle w:val="1288"/>
        <w:ind w:firstLine="482"/>
        <w:spacing w:line="588" w:lineRule="exact"/>
        <w:rPr>
          <w:color w:val="000000"/>
          <w:spacing w:val="6"/>
          <w:sz w:val="24"/>
          <w:highlight w:val="none"/>
        </w:rPr>
      </w:pPr>
      <w:r>
        <w:rPr>
          <w:rFonts w:hint="eastAsia"/>
          <w:b/>
          <w:color w:val="000000"/>
          <w:sz w:val="24"/>
          <w:highlight w:val="none"/>
        </w:rPr>
        <w:t xml:space="preserve">□</w:t>
      </w:r>
      <w:r>
        <w:rPr>
          <w:rFonts w:hint="eastAsia"/>
          <w:b/>
          <w:color w:val="000000"/>
          <w:spacing w:val="6"/>
          <w:sz w:val="24"/>
          <w:highlight w:val="none"/>
        </w:rPr>
        <w:t xml:space="preserve">属于符合条件的残疾人福利性单位，</w:t>
      </w:r>
      <w:r>
        <w:rPr>
          <w:rFonts w:hint="eastAsia"/>
          <w:color w:val="000000"/>
          <w:spacing w:val="6"/>
          <w:sz w:val="24"/>
          <w:highlight w:val="none"/>
        </w:rPr>
        <w:t xml:space="preserve">且本单位参加</w:t>
      </w:r>
      <w:r>
        <w:rPr>
          <w:color w:val="000000"/>
          <w:spacing w:val="6"/>
          <w:sz w:val="24"/>
          <w:highlight w:val="none"/>
        </w:rPr>
        <w:t xml:space="preserve">______</w:t>
      </w:r>
      <w:r>
        <w:rPr>
          <w:rFonts w:hint="eastAsia"/>
          <w:color w:val="000000"/>
          <w:spacing w:val="6"/>
          <w:sz w:val="24"/>
          <w:highlight w:val="none"/>
        </w:rPr>
        <w:t xml:space="preserve">单位的</w:t>
      </w:r>
      <w:r>
        <w:rPr>
          <w:color w:val="000000"/>
          <w:spacing w:val="6"/>
          <w:sz w:val="24"/>
          <w:highlight w:val="none"/>
        </w:rPr>
        <w:t xml:space="preserve">______</w:t>
      </w:r>
      <w:r>
        <w:rPr>
          <w:rFonts w:hint="eastAsia"/>
          <w:color w:val="000000"/>
          <w:spacing w:val="6"/>
          <w:sz w:val="24"/>
          <w:highlight w:val="none"/>
        </w:rPr>
        <w:t xml:space="preserve">项目采购活动提供本单位制造的货物（由本单位承担工程</w:t>
      </w:r>
      <w:r>
        <w:rPr>
          <w:color w:val="000000"/>
          <w:spacing w:val="6"/>
          <w:sz w:val="24"/>
          <w:highlight w:val="none"/>
        </w:rPr>
        <w:t xml:space="preserve">/</w:t>
      </w:r>
      <w:r>
        <w:rPr>
          <w:rFonts w:hint="eastAsia"/>
          <w:color w:val="000000"/>
          <w:spacing w:val="6"/>
          <w:sz w:val="24"/>
          <w:highlight w:val="none"/>
        </w:rPr>
        <w:t xml:space="preserve">提供服务），或者提供其他残疾人福利性单位制造的货物（不包括使用非残疾人福利性单位注册商标的货物）。</w:t>
      </w:r>
      <w:r>
        <w:rPr>
          <w:color w:val="000000"/>
          <w:spacing w:val="6"/>
          <w:sz w:val="24"/>
          <w:highlight w:val="none"/>
        </w:rPr>
      </w:r>
      <w:r/>
    </w:p>
    <w:p>
      <w:pPr>
        <w:pStyle w:val="1288"/>
        <w:ind w:firstLine="506"/>
        <w:spacing w:line="588" w:lineRule="exact"/>
        <w:rPr>
          <w:color w:val="000000"/>
          <w:spacing w:val="6"/>
          <w:sz w:val="24"/>
          <w:highlight w:val="none"/>
        </w:rPr>
      </w:pPr>
      <w:r>
        <w:rPr>
          <w:rFonts w:hint="eastAsia"/>
          <w:b/>
          <w:color w:val="000000"/>
          <w:spacing w:val="6"/>
          <w:sz w:val="24"/>
          <w:highlight w:val="none"/>
        </w:rPr>
        <w:t xml:space="preserve">本单位对上述声明的真实性负责。如有虚假，将依法承担相应责任。</w:t>
      </w:r>
      <w:r>
        <w:rPr>
          <w:color w:val="000000"/>
          <w:spacing w:val="6"/>
          <w:sz w:val="24"/>
          <w:highlight w:val="none"/>
        </w:rPr>
      </w:r>
      <w:r/>
    </w:p>
    <w:p>
      <w:pPr>
        <w:pStyle w:val="1288"/>
        <w:ind w:firstLine="504"/>
        <w:spacing w:line="588" w:lineRule="exact"/>
        <w:rPr>
          <w:color w:val="000000"/>
          <w:spacing w:val="6"/>
          <w:sz w:val="24"/>
          <w:highlight w:val="none"/>
        </w:rPr>
      </w:pPr>
      <w:r>
        <w:rPr>
          <w:color w:val="000000"/>
          <w:spacing w:val="6"/>
          <w:sz w:val="24"/>
          <w:highlight w:val="none"/>
        </w:rPr>
      </w:r>
      <w:r/>
    </w:p>
    <w:p>
      <w:pPr>
        <w:pStyle w:val="1288"/>
        <w:ind w:firstLine="504"/>
        <w:spacing w:line="588" w:lineRule="exact"/>
        <w:rPr>
          <w:color w:val="000000"/>
          <w:spacing w:val="6"/>
          <w:sz w:val="24"/>
          <w:highlight w:val="none"/>
        </w:rPr>
      </w:pPr>
      <w:r>
        <w:rPr>
          <w:color w:val="000000"/>
          <w:spacing w:val="6"/>
          <w:sz w:val="24"/>
          <w:highlight w:val="none"/>
        </w:rPr>
      </w:r>
      <w:r/>
    </w:p>
    <w:p>
      <w:pPr>
        <w:pStyle w:val="1288"/>
        <w:ind w:right="1560" w:firstLine="504"/>
        <w:jc w:val="center"/>
        <w:spacing w:line="588" w:lineRule="exact"/>
        <w:tabs>
          <w:tab w:val="left" w:pos="4860" w:leader="none"/>
        </w:tabs>
        <w:rPr>
          <w:color w:val="000000"/>
          <w:spacing w:val="6"/>
          <w:sz w:val="24"/>
          <w:highlight w:val="none"/>
        </w:rPr>
      </w:pPr>
      <w:r>
        <w:rPr>
          <w:color w:val="000000"/>
          <w:spacing w:val="6"/>
          <w:sz w:val="24"/>
          <w:highlight w:val="none"/>
        </w:rPr>
        <w:t xml:space="preserve">               </w:t>
      </w:r>
      <w:r>
        <w:rPr>
          <w:rFonts w:hint="eastAsia"/>
          <w:color w:val="000000"/>
          <w:spacing w:val="6"/>
          <w:sz w:val="24"/>
          <w:highlight w:val="none"/>
        </w:rPr>
        <w:t xml:space="preserve">单位名称（盖章）：</w:t>
      </w:r>
      <w:r>
        <w:rPr>
          <w:color w:val="000000"/>
          <w:spacing w:val="6"/>
          <w:sz w:val="24"/>
          <w:highlight w:val="none"/>
        </w:rPr>
      </w:r>
      <w:r/>
    </w:p>
    <w:p>
      <w:pPr>
        <w:pStyle w:val="1288"/>
        <w:jc w:val="center"/>
        <w:widowControl/>
        <w:rPr>
          <w:color w:val="000000"/>
          <w:spacing w:val="6"/>
          <w:sz w:val="24"/>
          <w:highlight w:val="none"/>
        </w:rPr>
      </w:pPr>
      <w:r>
        <w:rPr>
          <w:color w:val="000000"/>
          <w:spacing w:val="6"/>
          <w:sz w:val="24"/>
          <w:highlight w:val="none"/>
        </w:rPr>
        <w:t xml:space="preserve">       </w:t>
      </w:r>
      <w:r>
        <w:rPr>
          <w:rFonts w:hint="eastAsia"/>
          <w:color w:val="000000"/>
          <w:spacing w:val="6"/>
          <w:sz w:val="24"/>
          <w:highlight w:val="none"/>
        </w:rPr>
        <w:t xml:space="preserve">日</w:t>
      </w:r>
      <w:r>
        <w:rPr>
          <w:color w:val="000000"/>
          <w:spacing w:val="6"/>
          <w:sz w:val="24"/>
          <w:highlight w:val="none"/>
        </w:rPr>
        <w:t xml:space="preserve">  </w:t>
      </w:r>
      <w:r>
        <w:rPr>
          <w:rFonts w:hint="eastAsia"/>
          <w:color w:val="000000"/>
          <w:spacing w:val="6"/>
          <w:sz w:val="24"/>
          <w:highlight w:val="none"/>
        </w:rPr>
        <w:t xml:space="preserve">期：</w:t>
      </w:r>
      <w:bookmarkEnd w:id="850"/>
      <w:r/>
      <w:bookmarkEnd w:id="851"/>
      <w:r/>
      <w:bookmarkEnd w:id="852"/>
      <w:r>
        <w:rPr>
          <w:color w:val="000000"/>
          <w:spacing w:val="6"/>
          <w:sz w:val="24"/>
          <w:highlight w:val="none"/>
        </w:rPr>
      </w:r>
      <w:r/>
    </w:p>
    <w:p>
      <w:pPr>
        <w:pStyle w:val="1288"/>
        <w:spacing w:before="25" w:after="25" w:line="360" w:lineRule="auto"/>
        <w:rPr>
          <w:color w:val="000000"/>
          <w:sz w:val="24"/>
          <w:szCs w:val="20"/>
          <w:highlight w:val="none"/>
        </w:rPr>
        <w:outlineLvl w:val="1"/>
      </w:pPr>
      <w:r>
        <w:rPr>
          <w:color w:val="000000"/>
          <w:sz w:val="24"/>
          <w:szCs w:val="20"/>
          <w:highlight w:val="none"/>
        </w:rPr>
        <w:br w:type="page" w:clear="all"/>
      </w:r>
      <w:r>
        <w:rPr>
          <w:rFonts w:hint="eastAsia"/>
          <w:color w:val="000000"/>
          <w:sz w:val="24"/>
          <w:szCs w:val="20"/>
          <w:highlight w:val="none"/>
        </w:rPr>
        <w:t xml:space="preserve">8 </w:t>
      </w:r>
      <w:r>
        <w:rPr>
          <w:color w:val="000000"/>
          <w:sz w:val="24"/>
          <w:szCs w:val="20"/>
          <w:highlight w:val="none"/>
        </w:rPr>
        <w:t xml:space="preserve">报价一览表</w:t>
      </w:r>
      <w:bookmarkEnd w:id="828"/>
      <w:r/>
      <w:bookmarkEnd w:id="829"/>
      <w:r/>
      <w:bookmarkEnd w:id="830"/>
      <w:r/>
      <w:bookmarkEnd w:id="831"/>
      <w:r/>
      <w:bookmarkEnd w:id="832"/>
      <w:r/>
      <w:bookmarkEnd w:id="833"/>
      <w:r/>
      <w:bookmarkEnd w:id="834"/>
      <w:r/>
      <w:bookmarkEnd w:id="835"/>
      <w:r/>
      <w:bookmarkEnd w:id="836"/>
      <w:r/>
      <w:bookmarkEnd w:id="837"/>
      <w:r/>
      <w:bookmarkEnd w:id="838"/>
      <w:r/>
      <w:bookmarkEnd w:id="839"/>
      <w:r/>
      <w:bookmarkEnd w:id="840"/>
      <w:r/>
      <w:bookmarkEnd w:id="841"/>
      <w:r/>
      <w:bookmarkEnd w:id="842"/>
      <w:r/>
      <w:bookmarkEnd w:id="843"/>
      <w:r>
        <w:rPr>
          <w:color w:val="000000"/>
          <w:sz w:val="24"/>
          <w:szCs w:val="20"/>
          <w:highlight w:val="none"/>
        </w:rPr>
      </w:r>
      <w:r/>
    </w:p>
    <w:p>
      <w:pPr>
        <w:pStyle w:val="1288"/>
        <w:jc w:val="center"/>
        <w:spacing w:line="360" w:lineRule="exact"/>
        <w:rPr>
          <w:b/>
          <w:color w:val="000000"/>
          <w:sz w:val="36"/>
          <w:szCs w:val="36"/>
          <w:highlight w:val="none"/>
        </w:rPr>
      </w:pPr>
      <w:r/>
      <w:bookmarkStart w:id="853" w:name="_Toc226309802"/>
      <w:r/>
      <w:bookmarkStart w:id="854" w:name="_Toc226965831"/>
      <w:r/>
      <w:bookmarkStart w:id="855" w:name="_Toc226337254"/>
      <w:r/>
      <w:bookmarkStart w:id="856" w:name="_Toc164608827"/>
      <w:r/>
      <w:bookmarkStart w:id="857" w:name="_Toc265228396"/>
      <w:r/>
      <w:bookmarkStart w:id="858" w:name="_Toc226965748"/>
      <w:r/>
      <w:bookmarkStart w:id="859" w:name="_Toc264969248"/>
      <w:r/>
      <w:bookmarkStart w:id="860" w:name="_Toc164608672"/>
      <w:r/>
      <w:bookmarkStart w:id="861" w:name="_Toc305158900"/>
      <w:r/>
      <w:bookmarkStart w:id="862" w:name="_Toc195842923"/>
      <w:r/>
      <w:bookmarkStart w:id="863" w:name="_Toc305158826"/>
      <w:r>
        <w:rPr>
          <w:b/>
          <w:color w:val="000000"/>
          <w:sz w:val="36"/>
          <w:szCs w:val="36"/>
          <w:highlight w:val="none"/>
        </w:rPr>
        <w:t xml:space="preserve">报价一览表</w:t>
      </w:r>
      <w:bookmarkEnd w:id="853"/>
      <w:r/>
      <w:bookmarkEnd w:id="854"/>
      <w:r/>
      <w:bookmarkEnd w:id="855"/>
      <w:r/>
      <w:bookmarkEnd w:id="856"/>
      <w:r/>
      <w:bookmarkEnd w:id="857"/>
      <w:r/>
      <w:bookmarkEnd w:id="858"/>
      <w:r/>
      <w:bookmarkEnd w:id="859"/>
      <w:r/>
      <w:bookmarkEnd w:id="860"/>
      <w:r/>
      <w:bookmarkEnd w:id="861"/>
      <w:r/>
      <w:bookmarkEnd w:id="862"/>
      <w:r/>
      <w:bookmarkEnd w:id="863"/>
      <w:r>
        <w:rPr>
          <w:b/>
          <w:color w:val="000000"/>
          <w:sz w:val="36"/>
          <w:szCs w:val="36"/>
          <w:highlight w:val="none"/>
        </w:rPr>
      </w:r>
      <w:r/>
    </w:p>
    <w:p>
      <w:pPr>
        <w:pStyle w:val="1288"/>
        <w:jc w:val="left"/>
        <w:spacing w:line="360" w:lineRule="auto"/>
        <w:tabs>
          <w:tab w:val="left" w:pos="1800" w:leader="none"/>
          <w:tab w:val="left" w:pos="5580" w:leader="none"/>
        </w:tabs>
        <w:rPr>
          <w:color w:val="000000"/>
          <w:sz w:val="24"/>
          <w:highlight w:val="none"/>
        </w:rPr>
      </w:pPr>
      <w:r>
        <w:rPr>
          <w:color w:val="000000"/>
          <w:sz w:val="24"/>
          <w:highlight w:val="none"/>
        </w:rPr>
      </w:r>
      <w:r/>
    </w:p>
    <w:p>
      <w:pPr>
        <w:pStyle w:val="1288"/>
        <w:ind w:firstLine="240"/>
        <w:jc w:val="left"/>
        <w:spacing w:line="360" w:lineRule="auto"/>
        <w:tabs>
          <w:tab w:val="left" w:pos="1800" w:leader="none"/>
          <w:tab w:val="left" w:pos="5580" w:leader="none"/>
        </w:tabs>
        <w:rPr>
          <w:rFonts w:ascii="宋体" w:hAnsi="宋体" w:cs="宋体"/>
          <w:color w:val="000000"/>
          <w:sz w:val="24"/>
          <w:highlight w:val="none"/>
        </w:rPr>
      </w:pPr>
      <w:r>
        <w:rPr>
          <w:rFonts w:hint="eastAsia" w:ascii="宋体" w:hAnsi="宋体" w:cs="宋体"/>
          <w:color w:val="000000"/>
          <w:sz w:val="24"/>
          <w:highlight w:val="none"/>
        </w:rPr>
        <w:t xml:space="preserve">投标供应商全称（加盖CA电子签章）：</w:t>
      </w:r>
      <w:r>
        <w:rPr>
          <w:rFonts w:hint="eastAsia"/>
          <w:color w:val="000000"/>
          <w:highlight w:val="none"/>
          <w:u w:val="single"/>
        </w:rPr>
        <w:t xml:space="preserve">                      </w:t>
      </w:r>
      <w:r>
        <w:rPr>
          <w:rFonts w:ascii="宋体" w:hAnsi="宋体" w:cs="宋体"/>
          <w:color w:val="000000"/>
          <w:sz w:val="24"/>
          <w:highlight w:val="none"/>
        </w:rPr>
      </w:r>
      <w:r/>
    </w:p>
    <w:p>
      <w:pPr>
        <w:pStyle w:val="1288"/>
        <w:ind w:firstLine="240"/>
        <w:jc w:val="left"/>
        <w:spacing w:line="360" w:lineRule="auto"/>
        <w:tabs>
          <w:tab w:val="left" w:pos="1800" w:leader="none"/>
          <w:tab w:val="left" w:pos="5580" w:leader="none"/>
        </w:tabs>
        <w:rPr>
          <w:color w:val="000000"/>
          <w:highlight w:val="none"/>
          <w:u w:val="single"/>
        </w:rPr>
      </w:pPr>
      <w:r>
        <w:rPr>
          <w:rFonts w:hint="eastAsia" w:ascii="宋体" w:hAnsi="宋体" w:cs="宋体"/>
          <w:color w:val="000000"/>
          <w:sz w:val="24"/>
          <w:highlight w:val="none"/>
        </w:rPr>
        <w:t xml:space="preserve">项目名称：</w:t>
      </w:r>
      <w:r>
        <w:rPr>
          <w:rFonts w:hint="eastAsia"/>
          <w:color w:val="000000"/>
          <w:highlight w:val="none"/>
          <w:u w:val="single"/>
        </w:rPr>
        <w:t xml:space="preserve">                                      </w:t>
      </w:r>
      <w:r>
        <w:rPr>
          <w:color w:val="000000"/>
          <w:highlight w:val="none"/>
          <w:u w:val="single"/>
        </w:rPr>
      </w:r>
      <w:r/>
    </w:p>
    <w:p>
      <w:pPr>
        <w:pStyle w:val="1288"/>
        <w:ind w:firstLine="240"/>
        <w:jc w:val="left"/>
        <w:spacing w:line="360" w:lineRule="auto"/>
        <w:tabs>
          <w:tab w:val="left" w:pos="1800" w:leader="none"/>
          <w:tab w:val="left" w:pos="5580" w:leader="none"/>
        </w:tabs>
        <w:rPr>
          <w:rFonts w:ascii="宋体" w:hAnsi="宋体" w:cs="宋体"/>
          <w:color w:val="000000"/>
          <w:sz w:val="24"/>
          <w:highlight w:val="none"/>
        </w:rPr>
      </w:pPr>
      <w:r>
        <w:rPr>
          <w:rFonts w:hint="eastAsia" w:cs="宋体"/>
          <w:color w:val="000000"/>
          <w:sz w:val="24"/>
          <w:highlight w:val="none"/>
        </w:rPr>
        <w:t xml:space="preserve">项目编号：</w:t>
      </w:r>
      <w:r>
        <w:rPr>
          <w:rFonts w:hint="eastAsia"/>
          <w:color w:val="000000"/>
          <w:sz w:val="24"/>
          <w:highlight w:val="none"/>
          <w:u w:val="single"/>
        </w:rPr>
        <w:t xml:space="preserve">                                      </w:t>
      </w:r>
      <w:r>
        <w:rPr>
          <w:rFonts w:hint="eastAsia"/>
          <w:color w:val="000000"/>
          <w:sz w:val="24"/>
          <w:highlight w:val="none"/>
        </w:rPr>
        <w:t xml:space="preserve">                                      </w:t>
      </w:r>
      <w:r>
        <w:rPr>
          <w:rFonts w:ascii="宋体" w:hAnsi="宋体" w:cs="宋体"/>
          <w:color w:val="000000"/>
          <w:sz w:val="24"/>
          <w:highlight w:val="none"/>
        </w:rPr>
      </w:r>
      <w:r/>
    </w:p>
    <w:tbl>
      <w:tblPr>
        <w:tblpPr w:horzAnchor="page" w:tblpX="1656" w:vertAnchor="text" w:tblpY="279" w:leftFromText="180" w:topFromText="0" w:rightFromText="180" w:bottomFromText="0"/>
        <w:tblW w:w="4537" w:type="pct"/>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481"/>
        <w:gridCol w:w="3393"/>
        <w:gridCol w:w="2232"/>
        <w:gridCol w:w="2135"/>
      </w:tblGrid>
      <w:tr>
        <w:trPr>
          <w:trHeight w:val="531"/>
        </w:trPr>
        <w:tc>
          <w:tcPr>
            <w:tcW w:w="480" w:type="dxa"/>
            <w:vAlign w:val="center"/>
            <w:vMerge w:val="restart"/>
            <w:textDirection w:val="lrTb"/>
            <w:noWrap w:val="false"/>
          </w:tcPr>
          <w:p>
            <w:pPr>
              <w:pStyle w:val="1288"/>
              <w:jc w:val="center"/>
              <w:spacing w:line="360" w:lineRule="auto"/>
              <w:tabs>
                <w:tab w:val="left" w:pos="5580" w:leader="none"/>
              </w:tabs>
              <w:rPr>
                <w:rFonts w:hint="eastAsia" w:ascii="宋体" w:hAnsi="宋体" w:cs="宋体"/>
                <w:b/>
                <w:color w:val="000000"/>
                <w:sz w:val="24"/>
                <w:highlight w:val="none"/>
              </w:rPr>
              <w:framePr w:vAnchor="text" w:hAnchor="page" w:x="1656" w:y="279"/>
            </w:pPr>
            <w:r>
              <w:rPr>
                <w:rFonts w:hint="eastAsia" w:ascii="宋体" w:hAnsi="宋体" w:cs="宋体"/>
                <w:b/>
                <w:color w:val="000000"/>
                <w:sz w:val="24"/>
                <w:highlight w:val="none"/>
              </w:rPr>
              <w:t xml:space="preserve">序号</w:t>
            </w:r>
            <w:r>
              <w:rPr>
                <w:rFonts w:hint="eastAsia" w:ascii="宋体" w:hAnsi="宋体" w:cs="宋体"/>
                <w:b/>
                <w:color w:val="000000"/>
                <w:sz w:val="24"/>
                <w:highlight w:val="none"/>
              </w:rPr>
            </w:r>
            <w:r/>
          </w:p>
        </w:tc>
        <w:tc>
          <w:tcPr>
            <w:tcW w:w="3389" w:type="dxa"/>
            <w:vAlign w:val="center"/>
            <w:vMerge w:val="restart"/>
            <w:textDirection w:val="lrTb"/>
            <w:noWrap w:val="false"/>
          </w:tcPr>
          <w:p>
            <w:pPr>
              <w:pStyle w:val="1288"/>
              <w:jc w:val="center"/>
              <w:spacing w:line="360" w:lineRule="auto"/>
              <w:tabs>
                <w:tab w:val="left" w:pos="5580" w:leader="none"/>
              </w:tabs>
              <w:rPr>
                <w:rFonts w:hint="eastAsia" w:ascii="宋体" w:hAnsi="宋体" w:cs="宋体"/>
                <w:b/>
                <w:color w:val="000000"/>
                <w:sz w:val="24"/>
                <w:highlight w:val="none"/>
              </w:rPr>
              <w:framePr w:vAnchor="text" w:hAnchor="page" w:x="1656" w:y="279"/>
            </w:pPr>
            <w:r>
              <w:rPr>
                <w:rFonts w:hint="eastAsia" w:ascii="宋体" w:hAnsi="宋体" w:cs="宋体"/>
                <w:b/>
                <w:color w:val="000000"/>
                <w:sz w:val="24"/>
                <w:highlight w:val="none"/>
              </w:rPr>
              <w:t xml:space="preserve">项目名称</w:t>
            </w:r>
            <w:r>
              <w:rPr>
                <w:rFonts w:hint="eastAsia" w:ascii="宋体" w:hAnsi="宋体" w:cs="宋体"/>
                <w:b/>
                <w:color w:val="000000"/>
                <w:sz w:val="24"/>
                <w:highlight w:val="none"/>
              </w:rPr>
            </w:r>
            <w:r/>
          </w:p>
        </w:tc>
        <w:tc>
          <w:tcPr>
            <w:gridSpan w:val="2"/>
            <w:tcW w:w="4367" w:type="dxa"/>
            <w:vAlign w:val="center"/>
            <w:textDirection w:val="lrTb"/>
            <w:noWrap w:val="false"/>
          </w:tcPr>
          <w:p>
            <w:pPr>
              <w:pStyle w:val="1288"/>
              <w:jc w:val="center"/>
              <w:spacing w:line="360" w:lineRule="auto"/>
              <w:tabs>
                <w:tab w:val="left" w:pos="5580" w:leader="none"/>
              </w:tabs>
              <w:rPr>
                <w:rFonts w:hint="eastAsia" w:ascii="宋体" w:hAnsi="宋体" w:cs="宋体"/>
                <w:b/>
                <w:color w:val="000000"/>
                <w:sz w:val="24"/>
                <w:highlight w:val="none"/>
              </w:rPr>
              <w:framePr w:vAnchor="text" w:hAnchor="page" w:x="1656" w:y="279"/>
            </w:pPr>
            <w:r>
              <w:rPr>
                <w:rFonts w:hint="eastAsia" w:ascii="宋体" w:hAnsi="宋体" w:cs="宋体"/>
                <w:b/>
                <w:color w:val="000000"/>
                <w:sz w:val="24"/>
                <w:highlight w:val="none"/>
              </w:rPr>
              <w:t xml:space="preserve">报价（元）</w:t>
            </w:r>
            <w:r>
              <w:rPr>
                <w:rFonts w:hint="eastAsia" w:ascii="宋体" w:hAnsi="宋体" w:cs="宋体"/>
                <w:b/>
                <w:color w:val="000000"/>
                <w:sz w:val="24"/>
                <w:highlight w:val="none"/>
              </w:rPr>
            </w:r>
            <w:r/>
          </w:p>
        </w:tc>
      </w:tr>
      <w:tr>
        <w:trPr>
          <w:trHeight w:val="674"/>
        </w:trPr>
        <w:tc>
          <w:tcPr>
            <w:tcW w:w="480" w:type="dxa"/>
            <w:vAlign w:val="center"/>
            <w:vMerge w:val="continue"/>
            <w:textDirection w:val="lrTb"/>
            <w:noWrap w:val="false"/>
          </w:tcPr>
          <w:p>
            <w:pPr>
              <w:pStyle w:val="1288"/>
              <w:jc w:val="left"/>
              <w:spacing w:line="360" w:lineRule="auto"/>
              <w:widowControl/>
              <w:rPr>
                <w:rFonts w:hint="eastAsia" w:ascii="宋体" w:hAnsi="宋体" w:cs="宋体"/>
                <w:b/>
                <w:color w:val="000000"/>
                <w:sz w:val="24"/>
                <w:highlight w:val="none"/>
              </w:rPr>
              <w:framePr w:vAnchor="text" w:hAnchor="page" w:x="1656" w:y="279"/>
            </w:pPr>
            <w:r>
              <w:rPr>
                <w:rFonts w:hint="eastAsia" w:ascii="宋体" w:hAnsi="宋体" w:cs="宋体"/>
                <w:b/>
                <w:color w:val="000000"/>
                <w:sz w:val="24"/>
                <w:highlight w:val="none"/>
              </w:rPr>
            </w:r>
            <w:r/>
          </w:p>
        </w:tc>
        <w:tc>
          <w:tcPr>
            <w:tcW w:w="3389" w:type="dxa"/>
            <w:vAlign w:val="center"/>
            <w:vMerge w:val="continue"/>
            <w:textDirection w:val="lrTb"/>
            <w:noWrap w:val="false"/>
          </w:tcPr>
          <w:p>
            <w:pPr>
              <w:pStyle w:val="1288"/>
              <w:jc w:val="left"/>
              <w:spacing w:line="360" w:lineRule="auto"/>
              <w:widowControl/>
              <w:rPr>
                <w:rFonts w:hint="eastAsia" w:ascii="宋体" w:hAnsi="宋体" w:cs="宋体"/>
                <w:b/>
                <w:color w:val="000000"/>
                <w:sz w:val="24"/>
                <w:highlight w:val="none"/>
              </w:rPr>
              <w:framePr w:vAnchor="text" w:hAnchor="page" w:x="1656" w:y="279"/>
            </w:pPr>
            <w:r>
              <w:rPr>
                <w:rFonts w:hint="eastAsia" w:ascii="宋体" w:hAnsi="宋体" w:cs="宋体"/>
                <w:b/>
                <w:color w:val="000000"/>
                <w:sz w:val="24"/>
                <w:highlight w:val="none"/>
              </w:rPr>
            </w:r>
            <w:r/>
          </w:p>
        </w:tc>
        <w:tc>
          <w:tcPr>
            <w:tcW w:w="2230" w:type="dxa"/>
            <w:vAlign w:val="center"/>
            <w:textDirection w:val="lrTb"/>
            <w:noWrap w:val="false"/>
          </w:tcPr>
          <w:p>
            <w:pPr>
              <w:pStyle w:val="1288"/>
              <w:jc w:val="center"/>
              <w:spacing w:line="360" w:lineRule="auto"/>
              <w:tabs>
                <w:tab w:val="left" w:pos="5580" w:leader="none"/>
              </w:tabs>
              <w:rPr>
                <w:rFonts w:hint="eastAsia" w:ascii="宋体" w:hAnsi="宋体" w:cs="宋体"/>
                <w:b/>
                <w:color w:val="000000"/>
                <w:sz w:val="24"/>
                <w:highlight w:val="none"/>
              </w:rPr>
              <w:framePr w:vAnchor="text" w:hAnchor="page" w:x="1656" w:y="279"/>
            </w:pPr>
            <w:r>
              <w:rPr>
                <w:rFonts w:hint="eastAsia" w:ascii="宋体" w:hAnsi="宋体" w:cs="宋体"/>
                <w:b/>
                <w:color w:val="000000"/>
                <w:sz w:val="24"/>
                <w:highlight w:val="none"/>
              </w:rPr>
              <w:t xml:space="preserve">大写</w:t>
            </w:r>
            <w:r>
              <w:rPr>
                <w:rFonts w:hint="eastAsia" w:ascii="宋体" w:hAnsi="宋体" w:cs="宋体"/>
                <w:b/>
                <w:color w:val="000000"/>
                <w:sz w:val="24"/>
                <w:highlight w:val="none"/>
              </w:rPr>
            </w:r>
            <w:r/>
          </w:p>
        </w:tc>
        <w:tc>
          <w:tcPr>
            <w:tcW w:w="2133" w:type="dxa"/>
            <w:vAlign w:val="center"/>
            <w:textDirection w:val="lrTb"/>
            <w:noWrap w:val="false"/>
          </w:tcPr>
          <w:p>
            <w:pPr>
              <w:pStyle w:val="1288"/>
              <w:jc w:val="center"/>
              <w:spacing w:line="360" w:lineRule="auto"/>
              <w:tabs>
                <w:tab w:val="left" w:pos="5580" w:leader="none"/>
              </w:tabs>
              <w:rPr>
                <w:rFonts w:hint="eastAsia" w:ascii="宋体" w:hAnsi="宋体" w:cs="宋体"/>
                <w:b/>
                <w:color w:val="000000"/>
                <w:sz w:val="24"/>
                <w:highlight w:val="none"/>
              </w:rPr>
              <w:framePr w:vAnchor="text" w:hAnchor="page" w:x="1656" w:y="279"/>
            </w:pPr>
            <w:r>
              <w:rPr>
                <w:rFonts w:hint="eastAsia" w:ascii="宋体" w:hAnsi="宋体" w:cs="宋体"/>
                <w:b/>
                <w:color w:val="000000"/>
                <w:sz w:val="24"/>
                <w:highlight w:val="none"/>
              </w:rPr>
              <w:t xml:space="preserve">小写</w:t>
            </w:r>
            <w:r>
              <w:rPr>
                <w:rFonts w:hint="eastAsia" w:ascii="宋体" w:hAnsi="宋体" w:cs="宋体"/>
                <w:b/>
                <w:color w:val="000000"/>
                <w:sz w:val="24"/>
                <w:highlight w:val="none"/>
              </w:rPr>
            </w:r>
            <w:r/>
          </w:p>
        </w:tc>
      </w:tr>
      <w:tr>
        <w:trPr>
          <w:trHeight w:val="976"/>
        </w:trPr>
        <w:tc>
          <w:tcPr>
            <w:tcW w:w="480" w:type="dxa"/>
            <w:vAlign w:val="center"/>
            <w:textDirection w:val="lrTb"/>
            <w:noWrap w:val="false"/>
          </w:tcPr>
          <w:p>
            <w:pPr>
              <w:pStyle w:val="1288"/>
              <w:jc w:val="center"/>
              <w:spacing w:line="360" w:lineRule="auto"/>
              <w:tabs>
                <w:tab w:val="left" w:pos="5580" w:leader="none"/>
              </w:tabs>
              <w:rPr>
                <w:rFonts w:hint="eastAsia" w:ascii="宋体" w:hAnsi="宋体" w:cs="宋体"/>
                <w:color w:val="000000"/>
                <w:sz w:val="24"/>
                <w:highlight w:val="none"/>
              </w:rPr>
              <w:framePr w:vAnchor="text" w:hAnchor="page" w:x="1656" w:y="279"/>
            </w:pPr>
            <w:r>
              <w:rPr>
                <w:rFonts w:hint="eastAsia" w:ascii="宋体" w:hAnsi="宋体" w:cs="宋体"/>
                <w:color w:val="000000"/>
                <w:sz w:val="24"/>
                <w:highlight w:val="none"/>
              </w:rPr>
            </w:r>
            <w:r/>
          </w:p>
        </w:tc>
        <w:tc>
          <w:tcPr>
            <w:tcW w:w="3389" w:type="dxa"/>
            <w:vAlign w:val="center"/>
            <w:textDirection w:val="lrTb"/>
            <w:noWrap w:val="false"/>
          </w:tcPr>
          <w:p>
            <w:pPr>
              <w:pStyle w:val="1288"/>
              <w:jc w:val="center"/>
              <w:spacing w:line="360" w:lineRule="auto"/>
              <w:tabs>
                <w:tab w:val="left" w:pos="5580" w:leader="none"/>
              </w:tabs>
              <w:rPr>
                <w:rFonts w:hint="eastAsia" w:ascii="宋体" w:hAnsi="宋体" w:cs="宋体"/>
                <w:color w:val="000000"/>
                <w:sz w:val="24"/>
                <w:highlight w:val="none"/>
              </w:rPr>
              <w:framePr w:vAnchor="text" w:hAnchor="page" w:x="1656" w:y="279"/>
            </w:pPr>
            <w:r>
              <w:rPr>
                <w:rFonts w:hint="eastAsia" w:ascii="宋体" w:hAnsi="宋体" w:cs="宋体"/>
                <w:color w:val="000000"/>
                <w:sz w:val="24"/>
                <w:highlight w:val="none"/>
              </w:rPr>
            </w:r>
            <w:r/>
          </w:p>
        </w:tc>
        <w:tc>
          <w:tcPr>
            <w:tcW w:w="2230" w:type="dxa"/>
            <w:vAlign w:val="center"/>
            <w:textDirection w:val="lrTb"/>
            <w:noWrap w:val="false"/>
          </w:tcPr>
          <w:p>
            <w:pPr>
              <w:pStyle w:val="1288"/>
              <w:jc w:val="center"/>
              <w:spacing w:line="360" w:lineRule="auto"/>
              <w:tabs>
                <w:tab w:val="left" w:pos="5580" w:leader="none"/>
              </w:tabs>
              <w:rPr>
                <w:rFonts w:hint="eastAsia" w:ascii="宋体" w:hAnsi="宋体" w:cs="宋体"/>
                <w:color w:val="000000"/>
                <w:sz w:val="24"/>
                <w:highlight w:val="none"/>
              </w:rPr>
              <w:framePr w:vAnchor="text" w:hAnchor="page" w:x="1656" w:y="279"/>
            </w:pPr>
            <w:r>
              <w:rPr>
                <w:rFonts w:hint="eastAsia" w:ascii="宋体" w:hAnsi="宋体" w:cs="宋体"/>
                <w:color w:val="000000"/>
                <w:sz w:val="24"/>
                <w:highlight w:val="none"/>
              </w:rPr>
            </w:r>
            <w:r/>
          </w:p>
        </w:tc>
        <w:tc>
          <w:tcPr>
            <w:tcW w:w="2133" w:type="dxa"/>
            <w:vAlign w:val="center"/>
            <w:textDirection w:val="lrTb"/>
            <w:noWrap w:val="false"/>
          </w:tcPr>
          <w:p>
            <w:pPr>
              <w:pStyle w:val="1288"/>
              <w:jc w:val="center"/>
              <w:spacing w:line="360" w:lineRule="auto"/>
              <w:tabs>
                <w:tab w:val="left" w:pos="5580" w:leader="none"/>
              </w:tabs>
              <w:rPr>
                <w:rFonts w:hint="eastAsia" w:ascii="宋体" w:hAnsi="宋体" w:cs="宋体"/>
                <w:color w:val="000000"/>
                <w:sz w:val="24"/>
                <w:highlight w:val="none"/>
              </w:rPr>
              <w:framePr w:vAnchor="text" w:hAnchor="page" w:x="1656" w:y="279"/>
            </w:pPr>
            <w:r>
              <w:rPr>
                <w:rFonts w:hint="eastAsia" w:ascii="宋体" w:hAnsi="宋体" w:cs="宋体"/>
                <w:color w:val="000000"/>
                <w:sz w:val="24"/>
                <w:highlight w:val="none"/>
              </w:rPr>
            </w:r>
            <w:r/>
          </w:p>
        </w:tc>
      </w:tr>
    </w:tbl>
    <w:p>
      <w:pPr>
        <w:pStyle w:val="1299"/>
        <w:tabs>
          <w:tab w:val="left" w:pos="567" w:leader="none"/>
        </w:tabs>
        <w:rPr>
          <w:color w:val="000000"/>
          <w:highlight w:val="none"/>
        </w:rPr>
      </w:pPr>
      <w:r>
        <w:rPr>
          <w:color w:val="000000"/>
          <w:highlight w:val="none"/>
        </w:rPr>
      </w:r>
      <w:r/>
    </w:p>
    <w:p>
      <w:pPr>
        <w:pStyle w:val="1288"/>
        <w:ind w:left="4200" w:hanging="4200"/>
        <w:rPr>
          <w:rFonts w:hint="eastAsia"/>
          <w:color w:val="000000"/>
          <w:highlight w:val="none"/>
        </w:rPr>
      </w:pPr>
      <w:r>
        <w:rPr>
          <w:rFonts w:hint="eastAsia"/>
          <w:color w:val="000000"/>
          <w:highlight w:val="none"/>
        </w:rPr>
        <w:t xml:space="preserve">            </w:t>
      </w:r>
      <w:r>
        <w:rPr>
          <w:rFonts w:hint="eastAsia"/>
          <w:color w:val="000000"/>
          <w:highlight w:val="none"/>
        </w:rPr>
      </w:r>
      <w:r/>
    </w:p>
    <w:p>
      <w:pPr>
        <w:pStyle w:val="1288"/>
        <w:ind w:left="4200" w:hanging="4200"/>
        <w:rPr>
          <w:color w:val="000000"/>
          <w:sz w:val="30"/>
          <w:szCs w:val="30"/>
          <w:highlight w:val="none"/>
        </w:rPr>
      </w:pPr>
      <w:r>
        <w:rPr>
          <w:rFonts w:hint="eastAsia"/>
          <w:color w:val="000000"/>
          <w:highlight w:val="none"/>
        </w:rPr>
        <w:t xml:space="preserve">                                          </w:t>
      </w:r>
      <w:r>
        <w:rPr>
          <w:color w:val="000000"/>
          <w:sz w:val="30"/>
          <w:szCs w:val="30"/>
          <w:highlight w:val="none"/>
        </w:rPr>
      </w:r>
      <w:r/>
    </w:p>
    <w:p>
      <w:pPr>
        <w:pStyle w:val="1288"/>
        <w:spacing w:before="25" w:after="25" w:line="360" w:lineRule="auto"/>
        <w:rPr>
          <w:rFonts w:hint="eastAsia" w:ascii="宋体" w:hAnsi="宋体"/>
          <w:b/>
          <w:bCs/>
          <w:color w:val="000000"/>
          <w:sz w:val="24"/>
          <w:highlight w:val="none"/>
        </w:rPr>
      </w:pPr>
      <w:r>
        <w:rPr>
          <w:rFonts w:hint="eastAsia" w:ascii="宋体" w:hAnsi="宋体"/>
          <w:b/>
          <w:bCs/>
          <w:color w:val="000000"/>
          <w:sz w:val="24"/>
          <w:highlight w:val="none"/>
        </w:rPr>
      </w:r>
      <w:r/>
    </w:p>
    <w:p>
      <w:pPr>
        <w:pStyle w:val="1288"/>
        <w:spacing w:before="25" w:after="25" w:line="360" w:lineRule="auto"/>
        <w:rPr>
          <w:rFonts w:hint="eastAsia" w:ascii="宋体" w:hAnsi="宋体"/>
          <w:b/>
          <w:bCs/>
          <w:color w:val="000000"/>
          <w:sz w:val="24"/>
          <w:highlight w:val="none"/>
        </w:rPr>
      </w:pPr>
      <w:r>
        <w:rPr>
          <w:rFonts w:hint="eastAsia" w:ascii="宋体" w:hAnsi="宋体"/>
          <w:b/>
          <w:bCs/>
          <w:color w:val="000000"/>
          <w:sz w:val="24"/>
          <w:highlight w:val="none"/>
        </w:rPr>
      </w:r>
      <w:r/>
    </w:p>
    <w:p>
      <w:pPr>
        <w:pStyle w:val="1288"/>
        <w:spacing w:before="25" w:after="25" w:line="360" w:lineRule="auto"/>
        <w:rPr>
          <w:rFonts w:hint="eastAsia" w:ascii="宋体" w:hAnsi="宋体"/>
          <w:b/>
          <w:bCs/>
          <w:color w:val="000000"/>
          <w:sz w:val="24"/>
          <w:highlight w:val="none"/>
        </w:rPr>
      </w:pPr>
      <w:r>
        <w:rPr>
          <w:rFonts w:hint="eastAsia" w:ascii="宋体" w:hAnsi="宋体"/>
          <w:b/>
          <w:bCs/>
          <w:color w:val="000000"/>
          <w:sz w:val="24"/>
          <w:highlight w:val="none"/>
        </w:rPr>
      </w:r>
      <w:r/>
    </w:p>
    <w:p>
      <w:pPr>
        <w:pStyle w:val="1288"/>
        <w:spacing w:before="25" w:after="25" w:line="360" w:lineRule="auto"/>
        <w:rPr>
          <w:rFonts w:hint="eastAsia" w:ascii="宋体" w:hAnsi="宋体"/>
          <w:b/>
          <w:bCs/>
          <w:color w:val="000000"/>
          <w:sz w:val="24"/>
          <w:highlight w:val="none"/>
        </w:rPr>
      </w:pPr>
      <w:r>
        <w:rPr>
          <w:rFonts w:hint="eastAsia" w:ascii="宋体" w:hAnsi="宋体"/>
          <w:b/>
          <w:bCs/>
          <w:color w:val="000000"/>
          <w:sz w:val="24"/>
          <w:highlight w:val="none"/>
        </w:rPr>
      </w:r>
      <w:r/>
    </w:p>
    <w:p>
      <w:pPr>
        <w:pStyle w:val="1288"/>
        <w:spacing w:before="25" w:after="25" w:line="360" w:lineRule="auto"/>
        <w:rPr>
          <w:rFonts w:hint="eastAsia" w:ascii="宋体" w:hAnsi="宋体"/>
          <w:b/>
          <w:bCs/>
          <w:color w:val="000000"/>
          <w:sz w:val="24"/>
          <w:highlight w:val="none"/>
        </w:rPr>
      </w:pPr>
      <w:r>
        <w:rPr>
          <w:rFonts w:hint="eastAsia" w:ascii="宋体" w:hAnsi="宋体"/>
          <w:b/>
          <w:bCs/>
          <w:color w:val="000000"/>
          <w:sz w:val="24"/>
          <w:highlight w:val="none"/>
        </w:rPr>
      </w:r>
      <w:r/>
    </w:p>
    <w:p>
      <w:pPr>
        <w:pStyle w:val="1288"/>
        <w:spacing w:before="25" w:after="25" w:line="360" w:lineRule="auto"/>
        <w:rPr>
          <w:rFonts w:hint="eastAsia" w:ascii="宋体" w:hAnsi="宋体"/>
          <w:b/>
          <w:bCs/>
          <w:color w:val="000000"/>
          <w:sz w:val="24"/>
          <w:highlight w:val="none"/>
        </w:rPr>
      </w:pPr>
      <w:r>
        <w:rPr>
          <w:rFonts w:hint="eastAsia" w:ascii="宋体" w:hAnsi="宋体"/>
          <w:b/>
          <w:bCs/>
          <w:color w:val="000000"/>
          <w:sz w:val="24"/>
          <w:highlight w:val="none"/>
        </w:rPr>
      </w:r>
      <w:r/>
    </w:p>
    <w:p>
      <w:pPr>
        <w:pStyle w:val="1288"/>
        <w:spacing w:before="25" w:after="25" w:line="360" w:lineRule="auto"/>
        <w:rPr>
          <w:rFonts w:hint="eastAsia" w:ascii="宋体" w:hAnsi="宋体"/>
          <w:b/>
          <w:bCs/>
          <w:color w:val="000000"/>
          <w:sz w:val="24"/>
          <w:highlight w:val="none"/>
        </w:rPr>
      </w:pPr>
      <w:r>
        <w:rPr>
          <w:rFonts w:hint="eastAsia" w:ascii="宋体" w:hAnsi="宋体"/>
          <w:b/>
          <w:bCs/>
          <w:color w:val="000000"/>
          <w:sz w:val="24"/>
          <w:highlight w:val="none"/>
        </w:rPr>
      </w:r>
      <w:r/>
    </w:p>
    <w:p>
      <w:pPr>
        <w:pStyle w:val="1288"/>
        <w:spacing w:before="25" w:after="25" w:line="360" w:lineRule="auto"/>
        <w:rPr>
          <w:rFonts w:hint="eastAsia" w:ascii="宋体" w:hAnsi="宋体"/>
          <w:b/>
          <w:bCs/>
          <w:color w:val="000000"/>
          <w:sz w:val="24"/>
          <w:highlight w:val="none"/>
        </w:rPr>
      </w:pPr>
      <w:r>
        <w:rPr>
          <w:rFonts w:hint="eastAsia" w:ascii="宋体" w:hAnsi="宋体"/>
          <w:b/>
          <w:bCs/>
          <w:color w:val="000000"/>
          <w:sz w:val="24"/>
          <w:highlight w:val="none"/>
        </w:rPr>
      </w:r>
      <w:r/>
    </w:p>
    <w:p>
      <w:pPr>
        <w:pStyle w:val="1288"/>
        <w:spacing w:before="25" w:after="25" w:line="360" w:lineRule="auto"/>
        <w:rPr>
          <w:rFonts w:hint="eastAsia" w:ascii="宋体" w:hAnsi="宋体"/>
          <w:b/>
          <w:bCs/>
          <w:color w:val="000000"/>
          <w:sz w:val="24"/>
          <w:highlight w:val="none"/>
        </w:rPr>
      </w:pPr>
      <w:r>
        <w:rPr>
          <w:rFonts w:hint="eastAsia" w:ascii="宋体" w:hAnsi="宋体"/>
          <w:b/>
          <w:bCs/>
          <w:color w:val="000000"/>
          <w:sz w:val="24"/>
          <w:highlight w:val="none"/>
        </w:rPr>
      </w:r>
      <w:r/>
    </w:p>
    <w:p>
      <w:pPr>
        <w:pStyle w:val="1288"/>
        <w:spacing w:before="25" w:after="25" w:line="360" w:lineRule="auto"/>
        <w:rPr>
          <w:rFonts w:hint="eastAsia" w:ascii="宋体" w:hAnsi="宋体"/>
          <w:b/>
          <w:bCs/>
          <w:color w:val="000000"/>
          <w:sz w:val="24"/>
          <w:highlight w:val="none"/>
        </w:rPr>
      </w:pPr>
      <w:r>
        <w:rPr>
          <w:rFonts w:hint="eastAsia" w:ascii="宋体" w:hAnsi="宋体"/>
          <w:b/>
          <w:bCs/>
          <w:color w:val="000000"/>
          <w:sz w:val="24"/>
          <w:highlight w:val="none"/>
        </w:rPr>
      </w:r>
      <w:r/>
    </w:p>
    <w:p>
      <w:pPr>
        <w:pStyle w:val="1288"/>
        <w:spacing w:before="25" w:after="25" w:line="360" w:lineRule="auto"/>
        <w:rPr>
          <w:rFonts w:hint="eastAsia" w:ascii="宋体" w:hAnsi="宋体"/>
          <w:bCs/>
          <w:color w:val="000000"/>
          <w:sz w:val="24"/>
          <w:highlight w:val="none"/>
        </w:rPr>
      </w:pPr>
      <w:r>
        <w:rPr>
          <w:rFonts w:hint="eastAsia" w:ascii="宋体" w:hAnsi="宋体"/>
          <w:b/>
          <w:bCs/>
          <w:color w:val="000000"/>
          <w:sz w:val="24"/>
          <w:highlight w:val="none"/>
        </w:rPr>
        <w:t xml:space="preserve">注：</w:t>
      </w:r>
      <w:r>
        <w:rPr>
          <w:rFonts w:hint="eastAsia" w:ascii="宋体" w:hAnsi="宋体"/>
          <w:bCs/>
          <w:color w:val="000000"/>
          <w:sz w:val="24"/>
          <w:highlight w:val="none"/>
        </w:rPr>
        <w:t xml:space="preserve">1.此表中，投标总价报价应和《分项报价表》中的总价相一致。</w:t>
      </w:r>
      <w:r>
        <w:rPr>
          <w:rFonts w:hint="eastAsia" w:ascii="宋体" w:hAnsi="宋体"/>
          <w:bCs/>
          <w:color w:val="000000"/>
          <w:sz w:val="24"/>
          <w:highlight w:val="none"/>
        </w:rPr>
      </w:r>
      <w:r/>
    </w:p>
    <w:p>
      <w:pPr>
        <w:pStyle w:val="1288"/>
        <w:ind w:firstLine="480"/>
        <w:spacing w:before="25" w:after="25" w:line="360" w:lineRule="auto"/>
        <w:rPr>
          <w:rFonts w:ascii="宋体" w:hAnsi="宋体"/>
          <w:b/>
          <w:bCs/>
          <w:color w:val="000000"/>
          <w:sz w:val="24"/>
          <w:highlight w:val="none"/>
        </w:rPr>
      </w:pPr>
      <w:r>
        <w:rPr>
          <w:rFonts w:hint="eastAsia" w:ascii="宋体" w:hAnsi="宋体"/>
          <w:color w:val="000000"/>
          <w:sz w:val="24"/>
          <w:highlight w:val="none"/>
        </w:rPr>
        <w:t xml:space="preserve">2.报价不得超过</w:t>
      </w:r>
      <w:r>
        <w:rPr>
          <w:rFonts w:hint="eastAsia"/>
          <w:color w:val="000000"/>
          <w:sz w:val="24"/>
          <w:highlight w:val="none"/>
        </w:rPr>
        <w:t xml:space="preserve">最高限价，否则投标无效。</w:t>
      </w:r>
      <w:r>
        <w:rPr>
          <w:rFonts w:ascii="宋体" w:hAnsi="宋体"/>
          <w:b/>
          <w:bCs/>
          <w:color w:val="000000"/>
          <w:sz w:val="24"/>
          <w:highlight w:val="none"/>
        </w:rPr>
      </w:r>
      <w:r/>
    </w:p>
    <w:p>
      <w:pPr>
        <w:pStyle w:val="1288"/>
        <w:spacing w:before="25" w:after="25" w:line="360" w:lineRule="auto"/>
        <w:rPr>
          <w:color w:val="000000"/>
          <w:sz w:val="24"/>
          <w:highlight w:val="none"/>
        </w:rPr>
      </w:pPr>
      <w:r>
        <w:rPr>
          <w:color w:val="000000"/>
          <w:sz w:val="24"/>
          <w:highlight w:val="none"/>
        </w:rPr>
      </w:r>
      <w:r/>
    </w:p>
    <w:p>
      <w:pPr>
        <w:pStyle w:val="1288"/>
        <w:spacing w:before="25" w:after="25" w:line="360" w:lineRule="auto"/>
        <w:rPr>
          <w:color w:val="000000"/>
          <w:sz w:val="24"/>
          <w:highlight w:val="none"/>
          <w:lang w:val="zh-CN"/>
        </w:rPr>
      </w:pPr>
      <w:r>
        <w:rPr>
          <w:color w:val="000000"/>
          <w:sz w:val="24"/>
          <w:highlight w:val="none"/>
        </w:rPr>
        <w:t xml:space="preserve">供应商名称（加盖公章）</w:t>
      </w:r>
      <w:r>
        <w:rPr>
          <w:color w:val="000000"/>
          <w:sz w:val="24"/>
          <w:highlight w:val="none"/>
          <w:lang w:val="zh-CN"/>
        </w:rPr>
        <w:t xml:space="preserve">：____________</w:t>
      </w:r>
      <w:r>
        <w:rPr>
          <w:color w:val="000000"/>
          <w:sz w:val="24"/>
          <w:highlight w:val="none"/>
          <w:lang w:val="zh-CN"/>
        </w:rPr>
      </w:r>
      <w:r/>
    </w:p>
    <w:p>
      <w:pPr>
        <w:pStyle w:val="1288"/>
        <w:spacing w:before="25" w:after="25" w:line="360" w:lineRule="auto"/>
        <w:rPr>
          <w:color w:val="000000"/>
          <w:sz w:val="24"/>
          <w:highlight w:val="none"/>
          <w:lang w:val="zh-CN"/>
        </w:rPr>
      </w:pPr>
      <w:r>
        <w:rPr>
          <w:color w:val="000000"/>
          <w:sz w:val="24"/>
          <w:szCs w:val="20"/>
          <w:highlight w:val="none"/>
        </w:rPr>
        <w:t xml:space="preserve">日期：_____年______月______日   </w:t>
      </w:r>
      <w:r>
        <w:rPr>
          <w:color w:val="000000"/>
          <w:sz w:val="24"/>
          <w:highlight w:val="none"/>
          <w:lang w:val="zh-CN"/>
        </w:rPr>
      </w:r>
      <w:r/>
    </w:p>
    <w:p>
      <w:pPr>
        <w:pStyle w:val="1288"/>
        <w:spacing w:before="25" w:after="25" w:line="360" w:lineRule="auto"/>
        <w:rPr>
          <w:color w:val="000000"/>
          <w:sz w:val="24"/>
          <w:szCs w:val="20"/>
          <w:highlight w:val="none"/>
        </w:rPr>
        <w:outlineLvl w:val="1"/>
      </w:pPr>
      <w:r/>
      <w:bookmarkStart w:id="864" w:name="_Toc305158901"/>
      <w:r/>
      <w:bookmarkStart w:id="865" w:name="_Toc142311060"/>
      <w:r/>
      <w:bookmarkStart w:id="866" w:name="_Toc226309803"/>
      <w:r/>
      <w:bookmarkStart w:id="867" w:name="_Toc195842924"/>
      <w:r/>
      <w:bookmarkStart w:id="868" w:name="_Toc127151558"/>
      <w:r/>
      <w:bookmarkStart w:id="869" w:name="_Toc226965749"/>
      <w:r/>
      <w:bookmarkStart w:id="870" w:name="_Toc150480796"/>
      <w:r/>
      <w:bookmarkStart w:id="871" w:name="_Toc265228397"/>
      <w:r/>
      <w:bookmarkStart w:id="872" w:name="_Toc264969249"/>
      <w:r/>
      <w:bookmarkStart w:id="873" w:name="_Toc226337255"/>
      <w:r/>
      <w:bookmarkStart w:id="874" w:name="_Toc226965832"/>
      <w:r/>
      <w:bookmarkStart w:id="875" w:name="_Toc305158827"/>
      <w:r/>
      <w:bookmarkStart w:id="876" w:name="_Toc150774763"/>
      <w:r>
        <w:rPr>
          <w:color w:val="000000"/>
          <w:sz w:val="24"/>
          <w:szCs w:val="20"/>
          <w:highlight w:val="none"/>
        </w:rPr>
        <w:br w:type="page" w:clear="all"/>
      </w:r>
      <w:bookmarkEnd w:id="864"/>
      <w:r/>
      <w:bookmarkEnd w:id="865"/>
      <w:r/>
      <w:bookmarkEnd w:id="866"/>
      <w:r/>
      <w:bookmarkEnd w:id="867"/>
      <w:r/>
      <w:bookmarkEnd w:id="868"/>
      <w:r/>
      <w:bookmarkEnd w:id="869"/>
      <w:r/>
      <w:bookmarkEnd w:id="870"/>
      <w:r/>
      <w:bookmarkEnd w:id="871"/>
      <w:r/>
      <w:bookmarkEnd w:id="872"/>
      <w:r/>
      <w:bookmarkEnd w:id="873"/>
      <w:r/>
      <w:bookmarkEnd w:id="874"/>
      <w:r/>
      <w:bookmarkEnd w:id="875"/>
      <w:r/>
      <w:bookmarkEnd w:id="876"/>
      <w:r>
        <w:rPr>
          <w:rFonts w:hint="eastAsia"/>
          <w:color w:val="000000"/>
          <w:sz w:val="24"/>
          <w:szCs w:val="20"/>
          <w:highlight w:val="none"/>
        </w:rPr>
        <w:t xml:space="preserve">9</w:t>
      </w:r>
      <w:r>
        <w:rPr>
          <w:color w:val="000000"/>
          <w:sz w:val="24"/>
          <w:szCs w:val="20"/>
          <w:highlight w:val="none"/>
        </w:rPr>
        <w:t xml:space="preserve"> 分项报价表</w:t>
      </w:r>
      <w:r>
        <w:rPr>
          <w:color w:val="000000"/>
          <w:sz w:val="24"/>
          <w:szCs w:val="20"/>
          <w:highlight w:val="none"/>
        </w:rPr>
      </w:r>
      <w:r/>
    </w:p>
    <w:p>
      <w:pPr>
        <w:pStyle w:val="1288"/>
        <w:jc w:val="center"/>
        <w:spacing w:line="360" w:lineRule="exact"/>
        <w:rPr>
          <w:color w:val="000000"/>
          <w:sz w:val="36"/>
          <w:szCs w:val="36"/>
          <w:highlight w:val="none"/>
        </w:rPr>
      </w:pPr>
      <w:r>
        <w:rPr>
          <w:color w:val="000000"/>
          <w:sz w:val="36"/>
          <w:szCs w:val="36"/>
          <w:highlight w:val="none"/>
        </w:rPr>
      </w:r>
      <w:r/>
    </w:p>
    <w:p>
      <w:pPr>
        <w:pStyle w:val="1288"/>
        <w:jc w:val="center"/>
        <w:spacing w:line="360" w:lineRule="exact"/>
        <w:rPr>
          <w:b/>
          <w:color w:val="000000"/>
          <w:sz w:val="36"/>
          <w:szCs w:val="36"/>
          <w:highlight w:val="none"/>
        </w:rPr>
      </w:pPr>
      <w:r>
        <w:rPr>
          <w:b/>
          <w:color w:val="000000"/>
          <w:sz w:val="36"/>
          <w:szCs w:val="36"/>
          <w:highlight w:val="none"/>
        </w:rPr>
        <w:t xml:space="preserve">分项报价表</w:t>
      </w:r>
      <w:r>
        <w:rPr>
          <w:b/>
          <w:color w:val="000000"/>
          <w:sz w:val="36"/>
          <w:szCs w:val="36"/>
          <w:highlight w:val="none"/>
        </w:rPr>
      </w:r>
      <w:r/>
    </w:p>
    <w:p>
      <w:pPr>
        <w:pStyle w:val="1288"/>
        <w:jc w:val="center"/>
        <w:spacing w:line="260" w:lineRule="exact"/>
        <w:rPr>
          <w:color w:val="000000"/>
          <w:sz w:val="36"/>
          <w:szCs w:val="36"/>
          <w:highlight w:val="none"/>
        </w:rPr>
      </w:pPr>
      <w:r>
        <w:rPr>
          <w:color w:val="000000"/>
          <w:sz w:val="36"/>
          <w:szCs w:val="36"/>
          <w:highlight w:val="none"/>
        </w:rPr>
      </w:r>
      <w:r/>
    </w:p>
    <w:p>
      <w:pPr>
        <w:pStyle w:val="1288"/>
        <w:jc w:val="center"/>
        <w:spacing w:line="260" w:lineRule="exact"/>
        <w:rPr>
          <w:color w:val="000000"/>
          <w:sz w:val="36"/>
          <w:szCs w:val="36"/>
          <w:highlight w:val="none"/>
        </w:rPr>
      </w:pPr>
      <w:r/>
      <w:bookmarkStart w:id="877" w:name="_Toc150480798"/>
      <w:r/>
      <w:bookmarkStart w:id="878" w:name="_Toc226309806"/>
      <w:r/>
      <w:bookmarkStart w:id="879" w:name="_Toc226965835"/>
      <w:r/>
      <w:bookmarkStart w:id="880" w:name="_Toc305158830"/>
      <w:r/>
      <w:bookmarkStart w:id="881" w:name="_Toc127151562"/>
      <w:r/>
      <w:bookmarkStart w:id="882" w:name="_Toc265228400"/>
      <w:r/>
      <w:bookmarkStart w:id="883" w:name="_Toc226965752"/>
      <w:r/>
      <w:bookmarkStart w:id="884" w:name="_Toc305158904"/>
      <w:r/>
      <w:bookmarkStart w:id="885" w:name="_Toc150774765"/>
      <w:r/>
      <w:bookmarkStart w:id="886" w:name="_Toc195842927"/>
      <w:r/>
      <w:bookmarkStart w:id="887" w:name="_Toc142311062"/>
      <w:r/>
      <w:bookmarkStart w:id="888" w:name="_Toc264969252"/>
      <w:r/>
      <w:bookmarkStart w:id="889" w:name="_Toc226337258"/>
      <w:r/>
      <w:bookmarkStart w:id="890" w:name="_Toc305158829"/>
      <w:r/>
      <w:bookmarkStart w:id="891" w:name="_Toc226965834"/>
      <w:r/>
      <w:bookmarkStart w:id="892" w:name="_Toc142311061"/>
      <w:r/>
      <w:bookmarkStart w:id="893" w:name="_Toc150480797"/>
      <w:r/>
      <w:bookmarkStart w:id="894" w:name="_Toc127151561"/>
      <w:r/>
      <w:bookmarkStart w:id="895" w:name="_Toc226965751"/>
      <w:r/>
      <w:bookmarkStart w:id="896" w:name="_Toc226337257"/>
      <w:r/>
      <w:bookmarkStart w:id="897" w:name="_Toc195842926"/>
      <w:r/>
      <w:bookmarkStart w:id="898" w:name="_Toc305158903"/>
      <w:r/>
      <w:bookmarkStart w:id="899" w:name="_Toc264969251"/>
      <w:r/>
      <w:bookmarkStart w:id="900" w:name="_Toc226309805"/>
      <w:r/>
      <w:bookmarkStart w:id="901" w:name="_Toc150774764"/>
      <w:r/>
      <w:bookmarkStart w:id="902" w:name="_Toc265228399"/>
      <w:r>
        <w:rPr>
          <w:color w:val="000000"/>
          <w:sz w:val="36"/>
          <w:szCs w:val="36"/>
          <w:highlight w:val="none"/>
        </w:rPr>
      </w:r>
      <w:r/>
    </w:p>
    <w:p>
      <w:pPr>
        <w:pStyle w:val="1288"/>
        <w:tabs>
          <w:tab w:val="left" w:pos="1800" w:leader="none"/>
          <w:tab w:val="left" w:pos="5580" w:leader="none"/>
        </w:tabs>
        <w:rPr>
          <w:rFonts w:hint="eastAsia"/>
          <w:color w:val="000000"/>
          <w:sz w:val="24"/>
          <w:highlight w:val="none"/>
        </w:rPr>
      </w:pPr>
      <w:r>
        <w:rPr>
          <w:color w:val="000000"/>
          <w:sz w:val="24"/>
          <w:highlight w:val="none"/>
        </w:rPr>
        <w:t xml:space="preserve">项目编号/包号：___________ 项目名称：__________报价单位：人民币（元）</w:t>
      </w:r>
      <w:r>
        <w:rPr>
          <w:rFonts w:hint="eastAsia"/>
          <w:color w:val="000000"/>
          <w:sz w:val="24"/>
          <w:highlight w:val="none"/>
        </w:rPr>
      </w:r>
      <w:r/>
    </w:p>
    <w:p>
      <w:pPr>
        <w:pStyle w:val="1288"/>
        <w:ind w:firstLine="480"/>
        <w:jc w:val="left"/>
        <w:tabs>
          <w:tab w:val="left" w:pos="1800" w:leader="none"/>
          <w:tab w:val="left" w:pos="5580" w:leader="none"/>
        </w:tabs>
        <w:rPr>
          <w:rFonts w:hint="eastAsia"/>
          <w:color w:val="000000"/>
          <w:sz w:val="24"/>
          <w:highlight w:val="none"/>
        </w:rPr>
      </w:pPr>
      <w:r>
        <w:rPr>
          <w:rFonts w:hint="eastAsia"/>
          <w:color w:val="000000"/>
          <w:sz w:val="24"/>
          <w:highlight w:val="none"/>
        </w:rPr>
      </w:r>
      <w:r/>
    </w:p>
    <w:p>
      <w:pPr>
        <w:pStyle w:val="1288"/>
        <w:ind w:firstLine="480"/>
        <w:jc w:val="left"/>
        <w:tabs>
          <w:tab w:val="left" w:pos="1800" w:leader="none"/>
          <w:tab w:val="left" w:pos="5580" w:leader="none"/>
        </w:tabs>
        <w:rPr>
          <w:rFonts w:hint="eastAsia"/>
          <w:color w:val="000000"/>
          <w:sz w:val="24"/>
          <w:highlight w:val="none"/>
        </w:rPr>
      </w:pPr>
      <w:r>
        <w:rPr>
          <w:rFonts w:hint="eastAsia"/>
          <w:color w:val="000000"/>
          <w:sz w:val="24"/>
          <w:highlight w:val="none"/>
        </w:rPr>
      </w:r>
      <w:r/>
    </w:p>
    <w:p>
      <w:pPr>
        <w:pStyle w:val="1288"/>
        <w:ind w:firstLine="480"/>
        <w:jc w:val="left"/>
        <w:tabs>
          <w:tab w:val="left" w:pos="1800" w:leader="none"/>
          <w:tab w:val="left" w:pos="5580" w:leader="none"/>
        </w:tabs>
        <w:rPr>
          <w:rFonts w:hint="eastAsia"/>
          <w:color w:val="000000"/>
          <w:sz w:val="24"/>
          <w:highlight w:val="none"/>
        </w:rPr>
      </w:pPr>
      <w:r>
        <w:rPr>
          <w:rFonts w:hint="eastAsia"/>
          <w:color w:val="000000"/>
          <w:sz w:val="24"/>
          <w:highlight w:val="none"/>
        </w:rPr>
      </w:r>
      <w:r/>
    </w:p>
    <w:p>
      <w:pPr>
        <w:pStyle w:val="1288"/>
        <w:ind w:firstLine="480"/>
        <w:jc w:val="left"/>
        <w:tabs>
          <w:tab w:val="left" w:pos="1800" w:leader="none"/>
          <w:tab w:val="left" w:pos="5580" w:leader="none"/>
        </w:tabs>
        <w:rPr>
          <w:rFonts w:hint="eastAsia"/>
          <w:color w:val="000000"/>
          <w:sz w:val="24"/>
          <w:highlight w:val="none"/>
        </w:rPr>
      </w:pPr>
      <w:r>
        <w:rPr>
          <w:rFonts w:hint="eastAsia"/>
          <w:color w:val="000000"/>
          <w:sz w:val="24"/>
          <w:highlight w:val="none"/>
        </w:rPr>
      </w:r>
      <w:r/>
    </w:p>
    <w:p>
      <w:pPr>
        <w:pStyle w:val="1288"/>
        <w:ind w:firstLine="480"/>
        <w:jc w:val="left"/>
        <w:tabs>
          <w:tab w:val="left" w:pos="1800" w:leader="none"/>
          <w:tab w:val="left" w:pos="5580" w:leader="none"/>
        </w:tabs>
        <w:rPr>
          <w:rFonts w:hint="eastAsia"/>
          <w:color w:val="000000"/>
          <w:sz w:val="24"/>
          <w:highlight w:val="none"/>
        </w:rPr>
      </w:pPr>
      <w:r>
        <w:rPr>
          <w:rFonts w:hint="eastAsia"/>
          <w:color w:val="000000"/>
          <w:sz w:val="24"/>
          <w:highlight w:val="none"/>
        </w:rPr>
      </w:r>
      <w:r/>
    </w:p>
    <w:p>
      <w:pPr>
        <w:pStyle w:val="1288"/>
        <w:jc w:val="center"/>
        <w:tabs>
          <w:tab w:val="left" w:pos="1800" w:leader="none"/>
          <w:tab w:val="left" w:pos="5580" w:leader="none"/>
        </w:tabs>
        <w:rPr>
          <w:color w:val="000000"/>
          <w:sz w:val="24"/>
          <w:highlight w:val="none"/>
        </w:rPr>
      </w:pPr>
      <w:r>
        <w:rPr>
          <w:rFonts w:hint="eastAsia"/>
          <w:color w:val="000000"/>
          <w:sz w:val="24"/>
          <w:highlight w:val="none"/>
        </w:rPr>
        <w:t xml:space="preserve">详见工程量清单报价表</w:t>
      </w:r>
      <w:r>
        <w:rPr>
          <w:color w:val="000000"/>
          <w:sz w:val="24"/>
          <w:highlight w:val="none"/>
        </w:rPr>
      </w:r>
      <w:r/>
    </w:p>
    <w:p>
      <w:pPr>
        <w:pStyle w:val="1288"/>
        <w:jc w:val="left"/>
        <w:tabs>
          <w:tab w:val="left" w:pos="1800" w:leader="none"/>
          <w:tab w:val="left" w:pos="5580" w:leader="none"/>
        </w:tabs>
        <w:rPr>
          <w:color w:val="000000"/>
          <w:sz w:val="24"/>
          <w:highlight w:val="none"/>
        </w:rPr>
      </w:pPr>
      <w:r>
        <w:rPr>
          <w:color w:val="000000"/>
          <w:sz w:val="24"/>
          <w:highlight w:val="none"/>
        </w:rPr>
      </w:r>
      <w:r/>
    </w:p>
    <w:p>
      <w:pPr>
        <w:pStyle w:val="1288"/>
        <w:jc w:val="left"/>
        <w:tabs>
          <w:tab w:val="left" w:pos="1800" w:leader="none"/>
          <w:tab w:val="left" w:pos="5580" w:leader="none"/>
        </w:tabs>
        <w:rPr>
          <w:color w:val="000000"/>
          <w:sz w:val="24"/>
          <w:highlight w:val="none"/>
        </w:rPr>
      </w:pPr>
      <w:r>
        <w:rPr>
          <w:color w:val="000000"/>
          <w:sz w:val="24"/>
          <w:highlight w:val="none"/>
        </w:rPr>
      </w:r>
      <w:r/>
    </w:p>
    <w:p>
      <w:pPr>
        <w:pStyle w:val="1288"/>
        <w:jc w:val="left"/>
        <w:tabs>
          <w:tab w:val="left" w:pos="1800" w:leader="none"/>
          <w:tab w:val="left" w:pos="5580" w:leader="none"/>
        </w:tabs>
        <w:rPr>
          <w:color w:val="000000"/>
          <w:sz w:val="24"/>
          <w:highlight w:val="none"/>
        </w:rPr>
      </w:pPr>
      <w:r>
        <w:rPr>
          <w:color w:val="000000"/>
          <w:sz w:val="24"/>
          <w:highlight w:val="none"/>
        </w:rPr>
      </w:r>
      <w:r/>
    </w:p>
    <w:p>
      <w:pPr>
        <w:pStyle w:val="1288"/>
        <w:jc w:val="left"/>
        <w:tabs>
          <w:tab w:val="left" w:pos="1800" w:leader="none"/>
          <w:tab w:val="left" w:pos="5580" w:leader="none"/>
        </w:tabs>
        <w:rPr>
          <w:color w:val="000000"/>
          <w:sz w:val="24"/>
          <w:highlight w:val="none"/>
        </w:rPr>
      </w:pPr>
      <w:r>
        <w:rPr>
          <w:color w:val="000000"/>
          <w:sz w:val="24"/>
          <w:highlight w:val="none"/>
        </w:rPr>
      </w:r>
      <w:r/>
    </w:p>
    <w:p>
      <w:pPr>
        <w:pStyle w:val="1288"/>
        <w:jc w:val="left"/>
        <w:tabs>
          <w:tab w:val="left" w:pos="1800" w:leader="none"/>
          <w:tab w:val="left" w:pos="5580" w:leader="none"/>
        </w:tabs>
        <w:rPr>
          <w:color w:val="000000"/>
          <w:sz w:val="24"/>
          <w:highlight w:val="none"/>
        </w:rPr>
      </w:pPr>
      <w:r>
        <w:rPr>
          <w:color w:val="000000"/>
          <w:sz w:val="24"/>
          <w:highlight w:val="none"/>
        </w:rPr>
      </w:r>
      <w:r/>
    </w:p>
    <w:p>
      <w:pPr>
        <w:pStyle w:val="1288"/>
        <w:jc w:val="left"/>
        <w:tabs>
          <w:tab w:val="left" w:pos="1800" w:leader="none"/>
          <w:tab w:val="left" w:pos="5580" w:leader="none"/>
        </w:tabs>
        <w:rPr>
          <w:color w:val="000000"/>
          <w:sz w:val="24"/>
          <w:highlight w:val="none"/>
        </w:rPr>
      </w:pPr>
      <w:r>
        <w:rPr>
          <w:color w:val="000000"/>
          <w:sz w:val="24"/>
          <w:highlight w:val="none"/>
        </w:rPr>
        <w:t xml:space="preserve">注：如果不提供分项报价将视为没有实质性响应谈判文件。</w:t>
      </w:r>
      <w:r>
        <w:rPr>
          <w:color w:val="000000"/>
          <w:sz w:val="24"/>
          <w:highlight w:val="none"/>
        </w:rPr>
      </w:r>
      <w:r/>
    </w:p>
    <w:p>
      <w:pPr>
        <w:pStyle w:val="1288"/>
        <w:jc w:val="left"/>
        <w:tabs>
          <w:tab w:val="left" w:pos="1800" w:leader="none"/>
          <w:tab w:val="left" w:pos="5580" w:leader="none"/>
        </w:tabs>
        <w:rPr>
          <w:color w:val="000000"/>
          <w:sz w:val="24"/>
          <w:highlight w:val="none"/>
        </w:rPr>
      </w:pPr>
      <w:r>
        <w:rPr>
          <w:color w:val="000000"/>
          <w:sz w:val="24"/>
          <w:highlight w:val="none"/>
        </w:rPr>
      </w:r>
      <w:r/>
    </w:p>
    <w:p>
      <w:pPr>
        <w:pStyle w:val="1288"/>
        <w:spacing w:before="25" w:after="25" w:line="360" w:lineRule="auto"/>
        <w:rPr>
          <w:color w:val="000000"/>
          <w:sz w:val="24"/>
          <w:highlight w:val="none"/>
          <w:lang w:val="zh-CN"/>
        </w:rPr>
      </w:pPr>
      <w:r>
        <w:rPr>
          <w:color w:val="000000"/>
          <w:sz w:val="24"/>
          <w:highlight w:val="none"/>
        </w:rPr>
        <w:t xml:space="preserve">供应商名称（加盖公章）</w:t>
      </w:r>
      <w:r>
        <w:rPr>
          <w:color w:val="000000"/>
          <w:sz w:val="24"/>
          <w:highlight w:val="none"/>
          <w:lang w:val="zh-CN"/>
        </w:rPr>
        <w:t xml:space="preserve">：____________</w:t>
      </w:r>
      <w:r>
        <w:rPr>
          <w:color w:val="000000"/>
          <w:sz w:val="24"/>
          <w:highlight w:val="none"/>
          <w:lang w:val="zh-CN"/>
        </w:rPr>
      </w:r>
      <w:r/>
    </w:p>
    <w:p>
      <w:pPr>
        <w:pStyle w:val="1288"/>
        <w:spacing w:before="25" w:after="25" w:line="360" w:lineRule="auto"/>
        <w:rPr>
          <w:color w:val="000000"/>
          <w:sz w:val="24"/>
          <w:highlight w:val="none"/>
          <w:lang w:val="zh-CN"/>
        </w:rPr>
      </w:pPr>
      <w:r>
        <w:rPr>
          <w:color w:val="000000"/>
          <w:sz w:val="24"/>
          <w:szCs w:val="20"/>
          <w:highlight w:val="none"/>
        </w:rPr>
        <w:t xml:space="preserve">日期：_____年______月______日   </w:t>
      </w:r>
      <w:r>
        <w:rPr>
          <w:color w:val="000000"/>
          <w:sz w:val="24"/>
          <w:highlight w:val="none"/>
          <w:lang w:val="zh-CN"/>
        </w:rPr>
      </w:r>
      <w:r/>
    </w:p>
    <w:p>
      <w:pPr>
        <w:pStyle w:val="1288"/>
        <w:spacing w:before="25" w:after="25" w:line="360" w:lineRule="auto"/>
        <w:rPr>
          <w:color w:val="000000"/>
          <w:sz w:val="24"/>
          <w:szCs w:val="20"/>
          <w:highlight w:val="none"/>
        </w:rPr>
        <w:outlineLvl w:val="1"/>
      </w:pPr>
      <w:r>
        <w:rPr>
          <w:color w:val="000000"/>
          <w:sz w:val="24"/>
          <w:szCs w:val="20"/>
          <w:highlight w:val="none"/>
        </w:rPr>
        <w:br w:type="page" w:clear="all"/>
      </w:r>
      <w:r>
        <w:rPr>
          <w:rFonts w:hint="eastAsia"/>
          <w:color w:val="000000"/>
          <w:sz w:val="24"/>
          <w:szCs w:val="20"/>
          <w:highlight w:val="none"/>
        </w:rPr>
        <w:t xml:space="preserve">10</w:t>
      </w:r>
      <w:r>
        <w:rPr>
          <w:color w:val="000000"/>
          <w:sz w:val="24"/>
          <w:szCs w:val="20"/>
          <w:highlight w:val="none"/>
        </w:rPr>
        <w:t xml:space="preserve"> </w:t>
      </w:r>
      <w:bookmarkEnd w:id="877"/>
      <w:r/>
      <w:bookmarkEnd w:id="878"/>
      <w:r/>
      <w:bookmarkEnd w:id="879"/>
      <w:r/>
      <w:bookmarkEnd w:id="880"/>
      <w:r/>
      <w:bookmarkEnd w:id="881"/>
      <w:r/>
      <w:bookmarkEnd w:id="882"/>
      <w:r/>
      <w:bookmarkEnd w:id="883"/>
      <w:r/>
      <w:bookmarkEnd w:id="884"/>
      <w:r/>
      <w:bookmarkEnd w:id="885"/>
      <w:r/>
      <w:bookmarkEnd w:id="886"/>
      <w:r/>
      <w:bookmarkEnd w:id="887"/>
      <w:r/>
      <w:bookmarkEnd w:id="888"/>
      <w:r/>
      <w:bookmarkEnd w:id="889"/>
      <w:r>
        <w:rPr>
          <w:rFonts w:hint="eastAsia"/>
          <w:color w:val="000000"/>
          <w:sz w:val="24"/>
          <w:szCs w:val="20"/>
          <w:highlight w:val="none"/>
        </w:rPr>
        <w:t xml:space="preserve">技术要求响应及偏离表</w:t>
      </w:r>
      <w:r>
        <w:rPr>
          <w:color w:val="000000"/>
          <w:sz w:val="24"/>
          <w:szCs w:val="20"/>
          <w:highlight w:val="none"/>
        </w:rPr>
      </w:r>
      <w:r/>
    </w:p>
    <w:p>
      <w:pPr>
        <w:pStyle w:val="1288"/>
        <w:spacing w:line="360" w:lineRule="auto"/>
        <w:rPr>
          <w:color w:val="000000"/>
          <w:sz w:val="24"/>
          <w:szCs w:val="20"/>
          <w:highlight w:val="none"/>
        </w:rPr>
      </w:pPr>
      <w:r>
        <w:rPr>
          <w:color w:val="000000"/>
          <w:sz w:val="24"/>
          <w:szCs w:val="20"/>
          <w:highlight w:val="none"/>
        </w:rPr>
      </w:r>
      <w:r/>
    </w:p>
    <w:p>
      <w:pPr>
        <w:pStyle w:val="1288"/>
        <w:jc w:val="center"/>
        <w:spacing w:line="360" w:lineRule="auto"/>
        <w:tabs>
          <w:tab w:val="left" w:pos="2775" w:leader="none"/>
          <w:tab w:val="center" w:pos="4153" w:leader="none"/>
        </w:tabs>
        <w:rPr>
          <w:b/>
          <w:color w:val="000000"/>
          <w:sz w:val="36"/>
          <w:szCs w:val="36"/>
          <w:highlight w:val="none"/>
        </w:rPr>
      </w:pPr>
      <w:r>
        <w:rPr>
          <w:rFonts w:hint="eastAsia"/>
          <w:b/>
          <w:color w:val="000000"/>
          <w:sz w:val="36"/>
          <w:szCs w:val="36"/>
          <w:highlight w:val="none"/>
        </w:rPr>
        <w:t xml:space="preserve">技术要求响应及偏离表</w:t>
      </w:r>
      <w:r>
        <w:rPr>
          <w:b/>
          <w:color w:val="000000"/>
          <w:sz w:val="36"/>
          <w:szCs w:val="36"/>
          <w:highlight w:val="none"/>
        </w:rPr>
      </w:r>
      <w:r/>
    </w:p>
    <w:p>
      <w:pPr>
        <w:pStyle w:val="1288"/>
        <w:spacing w:line="360" w:lineRule="auto"/>
        <w:rPr>
          <w:color w:val="000000"/>
          <w:sz w:val="24"/>
          <w:szCs w:val="20"/>
          <w:highlight w:val="none"/>
        </w:rPr>
      </w:pPr>
      <w:r>
        <w:rPr>
          <w:color w:val="000000"/>
          <w:sz w:val="24"/>
          <w:szCs w:val="20"/>
          <w:highlight w:val="none"/>
        </w:rPr>
      </w:r>
      <w:r/>
    </w:p>
    <w:p>
      <w:pPr>
        <w:pStyle w:val="1288"/>
        <w:ind w:firstLine="360"/>
        <w:jc w:val="left"/>
        <w:spacing w:line="360" w:lineRule="auto"/>
        <w:tabs>
          <w:tab w:val="left" w:pos="1800" w:leader="none"/>
          <w:tab w:val="left" w:pos="5580" w:leader="none"/>
        </w:tabs>
        <w:rPr>
          <w:color w:val="000000"/>
          <w:sz w:val="24"/>
          <w:highlight w:val="none"/>
        </w:rPr>
      </w:pPr>
      <w:r>
        <w:rPr>
          <w:color w:val="000000"/>
          <w:sz w:val="24"/>
          <w:highlight w:val="none"/>
        </w:rPr>
        <w:t xml:space="preserve">项目编号/包号：_____________________     项目名称：_____________</w:t>
      </w:r>
      <w:r>
        <w:rPr>
          <w:color w:val="000000"/>
          <w:sz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2"/>
        <w:gridCol w:w="1290"/>
        <w:gridCol w:w="1980"/>
        <w:gridCol w:w="1981"/>
        <w:gridCol w:w="2423"/>
        <w:gridCol w:w="782"/>
      </w:tblGrid>
      <w:tr>
        <w:trPr>
          <w:trHeight w:val="930"/>
        </w:trPr>
        <w:tc>
          <w:tcPr>
            <w:gridSpan w:val="6"/>
            <w:tcW w:w="9288" w:type="dxa"/>
            <w:vAlign w:val="center"/>
            <w:textDirection w:val="lrTb"/>
            <w:noWrap w:val="false"/>
          </w:tcPr>
          <w:p>
            <w:pPr>
              <w:pStyle w:val="1288"/>
              <w:jc w:val="left"/>
              <w:rPr>
                <w:b/>
                <w:color w:val="000000"/>
                <w:sz w:val="24"/>
                <w:highlight w:val="none"/>
              </w:rPr>
            </w:pPr>
            <w:r>
              <w:rPr>
                <w:b/>
                <w:color w:val="000000"/>
                <w:sz w:val="24"/>
                <w:highlight w:val="none"/>
              </w:rPr>
              <w:t xml:space="preserve">对本</w:t>
            </w:r>
            <w:r>
              <w:rPr>
                <w:rFonts w:hint="eastAsia"/>
                <w:b/>
                <w:color w:val="000000"/>
                <w:sz w:val="24"/>
                <w:highlight w:val="none"/>
              </w:rPr>
              <w:t xml:space="preserve">项目技术</w:t>
            </w:r>
            <w:r>
              <w:rPr>
                <w:b/>
                <w:color w:val="000000"/>
                <w:sz w:val="24"/>
                <w:highlight w:val="none"/>
              </w:rPr>
              <w:t xml:space="preserve">要求条款的偏离情况（请进行勾选）：</w:t>
            </w:r>
            <w:r>
              <w:rPr>
                <w:b/>
                <w:color w:val="000000"/>
                <w:sz w:val="24"/>
                <w:highlight w:val="none"/>
              </w:rPr>
            </w:r>
            <w:r/>
          </w:p>
          <w:p>
            <w:pPr>
              <w:pStyle w:val="1288"/>
              <w:jc w:val="left"/>
              <w:rPr>
                <w:b/>
                <w:color w:val="000000"/>
                <w:sz w:val="24"/>
                <w:highlight w:val="none"/>
              </w:rPr>
            </w:pPr>
            <w:r>
              <w:rPr>
                <w:rFonts w:hint="eastAsia"/>
                <w:b/>
                <w:color w:val="000000"/>
                <w:sz w:val="24"/>
                <w:highlight w:val="none"/>
              </w:rPr>
              <w:t xml:space="preserve">□</w:t>
            </w:r>
            <w:r>
              <w:rPr>
                <w:b/>
                <w:color w:val="000000"/>
                <w:sz w:val="24"/>
                <w:highlight w:val="none"/>
              </w:rPr>
              <w:t xml:space="preserve">无偏离</w:t>
            </w:r>
            <w:r>
              <w:rPr>
                <w:color w:val="000000"/>
                <w:sz w:val="24"/>
                <w:highlight w:val="none"/>
              </w:rPr>
              <w:t xml:space="preserve">（</w:t>
            </w:r>
            <w:r>
              <w:rPr>
                <w:color w:val="000000"/>
                <w:sz w:val="24"/>
                <w:szCs w:val="21"/>
                <w:highlight w:val="none"/>
              </w:rPr>
              <w:t xml:space="preserve">如无偏离，仅勾选无偏离即可</w:t>
            </w:r>
            <w:r>
              <w:rPr>
                <w:color w:val="000000"/>
                <w:sz w:val="24"/>
                <w:highlight w:val="none"/>
              </w:rPr>
              <w:t xml:space="preserve">）</w:t>
            </w:r>
            <w:r>
              <w:rPr>
                <w:b/>
                <w:color w:val="000000"/>
                <w:sz w:val="24"/>
                <w:highlight w:val="none"/>
              </w:rPr>
            </w:r>
            <w:r/>
          </w:p>
          <w:p>
            <w:pPr>
              <w:pStyle w:val="1288"/>
              <w:jc w:val="left"/>
              <w:rPr>
                <w:color w:val="000000"/>
                <w:sz w:val="24"/>
                <w:highlight w:val="none"/>
              </w:rPr>
            </w:pPr>
            <w:r>
              <w:rPr>
                <w:rFonts w:hint="eastAsia"/>
                <w:b/>
                <w:color w:val="000000"/>
                <w:sz w:val="24"/>
                <w:highlight w:val="none"/>
              </w:rPr>
              <w:t xml:space="preserve">□</w:t>
            </w:r>
            <w:r>
              <w:rPr>
                <w:b/>
                <w:color w:val="000000"/>
                <w:sz w:val="24"/>
                <w:highlight w:val="none"/>
              </w:rPr>
              <w:t xml:space="preserve">有偏离</w:t>
            </w:r>
            <w:r>
              <w:rPr>
                <w:color w:val="000000"/>
                <w:sz w:val="24"/>
                <w:highlight w:val="none"/>
              </w:rPr>
              <w:t xml:space="preserve">（如有</w:t>
            </w:r>
            <w:r>
              <w:rPr>
                <w:rFonts w:hint="eastAsia"/>
                <w:color w:val="000000"/>
                <w:sz w:val="24"/>
                <w:highlight w:val="none"/>
              </w:rPr>
              <w:t xml:space="preserve">超出或者</w:t>
            </w:r>
            <w:r>
              <w:rPr>
                <w:color w:val="000000"/>
                <w:sz w:val="24"/>
                <w:highlight w:val="none"/>
              </w:rPr>
              <w:t xml:space="preserve">偏离，则须在本表中对</w:t>
            </w:r>
            <w:r>
              <w:rPr>
                <w:rFonts w:hint="eastAsia"/>
                <w:color w:val="000000"/>
                <w:sz w:val="24"/>
                <w:highlight w:val="none"/>
              </w:rPr>
              <w:t xml:space="preserve">超出或者</w:t>
            </w:r>
            <w:r>
              <w:rPr>
                <w:color w:val="000000"/>
                <w:sz w:val="24"/>
                <w:highlight w:val="none"/>
              </w:rPr>
              <w:t xml:space="preserve">偏离项逐一列明）</w:t>
            </w:r>
            <w:r>
              <w:rPr>
                <w:color w:val="000000"/>
                <w:sz w:val="24"/>
                <w:highlight w:val="none"/>
              </w:rPr>
            </w:r>
            <w:r/>
          </w:p>
        </w:tc>
      </w:tr>
      <w:tr>
        <w:trPr>
          <w:trHeight w:val="930"/>
        </w:trPr>
        <w:tc>
          <w:tcPr>
            <w:tcW w:w="834" w:type="dxa"/>
            <w:vAlign w:val="center"/>
            <w:textDirection w:val="lrTb"/>
            <w:noWrap w:val="false"/>
          </w:tcPr>
          <w:p>
            <w:pPr>
              <w:pStyle w:val="1288"/>
              <w:jc w:val="center"/>
              <w:rPr>
                <w:color w:val="000000"/>
                <w:sz w:val="24"/>
                <w:highlight w:val="none"/>
              </w:rPr>
            </w:pPr>
            <w:r>
              <w:rPr>
                <w:color w:val="000000"/>
                <w:sz w:val="24"/>
                <w:highlight w:val="none"/>
              </w:rPr>
              <w:t xml:space="preserve">序号</w:t>
            </w:r>
            <w:r>
              <w:rPr>
                <w:color w:val="000000"/>
                <w:sz w:val="24"/>
                <w:highlight w:val="none"/>
              </w:rPr>
            </w:r>
            <w:r/>
          </w:p>
        </w:tc>
        <w:tc>
          <w:tcPr>
            <w:tcW w:w="1301" w:type="dxa"/>
            <w:vAlign w:val="center"/>
            <w:textDirection w:val="lrTb"/>
            <w:noWrap w:val="false"/>
          </w:tcPr>
          <w:p>
            <w:pPr>
              <w:pStyle w:val="1288"/>
              <w:jc w:val="center"/>
              <w:rPr>
                <w:color w:val="000000"/>
                <w:sz w:val="24"/>
                <w:highlight w:val="none"/>
              </w:rPr>
            </w:pPr>
            <w:r>
              <w:rPr>
                <w:color w:val="000000"/>
                <w:sz w:val="24"/>
                <w:szCs w:val="21"/>
                <w:highlight w:val="none"/>
              </w:rPr>
              <w:t xml:space="preserve">采购文件</w:t>
            </w:r>
            <w:r>
              <w:rPr>
                <w:color w:val="000000"/>
                <w:sz w:val="24"/>
                <w:highlight w:val="none"/>
              </w:rPr>
              <w:t xml:space="preserve">条目号（页码）</w:t>
            </w:r>
            <w:r>
              <w:rPr>
                <w:color w:val="000000"/>
                <w:sz w:val="24"/>
                <w:highlight w:val="none"/>
              </w:rPr>
            </w:r>
            <w:r/>
          </w:p>
        </w:tc>
        <w:tc>
          <w:tcPr>
            <w:tcW w:w="2007" w:type="dxa"/>
            <w:vAlign w:val="center"/>
            <w:textDirection w:val="lrTb"/>
            <w:noWrap w:val="false"/>
          </w:tcPr>
          <w:p>
            <w:pPr>
              <w:pStyle w:val="1288"/>
              <w:jc w:val="center"/>
              <w:rPr>
                <w:color w:val="000000"/>
                <w:sz w:val="24"/>
                <w:highlight w:val="none"/>
              </w:rPr>
            </w:pPr>
            <w:r>
              <w:rPr>
                <w:color w:val="000000"/>
                <w:sz w:val="24"/>
                <w:szCs w:val="21"/>
                <w:highlight w:val="none"/>
              </w:rPr>
              <w:t xml:space="preserve">采购文件</w:t>
            </w:r>
            <w:r>
              <w:rPr>
                <w:color w:val="000000"/>
                <w:sz w:val="24"/>
                <w:highlight w:val="none"/>
              </w:rPr>
              <w:t xml:space="preserve">要求</w:t>
            </w:r>
            <w:r>
              <w:rPr>
                <w:color w:val="000000"/>
                <w:sz w:val="24"/>
                <w:highlight w:val="none"/>
              </w:rPr>
            </w:r>
            <w:r/>
          </w:p>
        </w:tc>
        <w:tc>
          <w:tcPr>
            <w:tcW w:w="2008" w:type="dxa"/>
            <w:vAlign w:val="center"/>
            <w:textDirection w:val="lrTb"/>
            <w:noWrap w:val="false"/>
          </w:tcPr>
          <w:p>
            <w:pPr>
              <w:pStyle w:val="1288"/>
              <w:jc w:val="center"/>
              <w:rPr>
                <w:color w:val="000000"/>
                <w:sz w:val="24"/>
                <w:highlight w:val="none"/>
              </w:rPr>
            </w:pPr>
            <w:r>
              <w:rPr>
                <w:rFonts w:hint="eastAsia" w:ascii="宋体" w:hAnsi="宋体"/>
                <w:color w:val="000000"/>
                <w:sz w:val="24"/>
                <w:highlight w:val="none"/>
              </w:rPr>
              <w:t xml:space="preserve">投标响应情况</w:t>
            </w:r>
            <w:r>
              <w:rPr>
                <w:color w:val="000000"/>
                <w:sz w:val="24"/>
                <w:highlight w:val="none"/>
              </w:rPr>
            </w:r>
            <w:r/>
          </w:p>
        </w:tc>
        <w:tc>
          <w:tcPr>
            <w:tcW w:w="2458" w:type="dxa"/>
            <w:vAlign w:val="center"/>
            <w:textDirection w:val="lrTb"/>
            <w:noWrap w:val="false"/>
          </w:tcPr>
          <w:p>
            <w:pPr>
              <w:pStyle w:val="1288"/>
              <w:jc w:val="center"/>
              <w:rPr>
                <w:color w:val="000000"/>
                <w:sz w:val="24"/>
                <w:highlight w:val="none"/>
              </w:rPr>
            </w:pPr>
            <w:r>
              <w:rPr>
                <w:color w:val="000000"/>
                <w:sz w:val="24"/>
                <w:highlight w:val="none"/>
              </w:rPr>
              <w:t xml:space="preserve">偏离情况</w:t>
            </w:r>
            <w:r>
              <w:rPr>
                <w:color w:val="000000"/>
                <w:sz w:val="24"/>
                <w:highlight w:val="none"/>
              </w:rPr>
            </w:r>
            <w:r/>
          </w:p>
        </w:tc>
        <w:tc>
          <w:tcPr>
            <w:tcW w:w="788" w:type="dxa"/>
            <w:vAlign w:val="center"/>
            <w:textDirection w:val="lrTb"/>
            <w:noWrap w:val="false"/>
          </w:tcPr>
          <w:p>
            <w:pPr>
              <w:pStyle w:val="1288"/>
              <w:jc w:val="center"/>
              <w:rPr>
                <w:color w:val="000000"/>
                <w:sz w:val="24"/>
                <w:highlight w:val="none"/>
              </w:rPr>
            </w:pPr>
            <w:r>
              <w:rPr>
                <w:color w:val="000000"/>
                <w:sz w:val="24"/>
                <w:highlight w:val="none"/>
              </w:rPr>
              <w:t xml:space="preserve">说明</w:t>
            </w:r>
            <w:r>
              <w:rPr>
                <w:color w:val="000000"/>
                <w:sz w:val="24"/>
                <w:highlight w:val="none"/>
              </w:rPr>
            </w:r>
            <w:r/>
          </w:p>
        </w:tc>
      </w:tr>
      <w:tr>
        <w:trPr>
          <w:trHeight w:val="930"/>
        </w:trPr>
        <w:tc>
          <w:tcPr>
            <w:tcW w:w="834" w:type="dxa"/>
            <w:vAlign w:val="center"/>
            <w:textDirection w:val="lrTb"/>
            <w:noWrap w:val="false"/>
          </w:tcPr>
          <w:p>
            <w:pPr>
              <w:pStyle w:val="1288"/>
              <w:jc w:val="center"/>
              <w:rPr>
                <w:color w:val="000000"/>
                <w:sz w:val="24"/>
                <w:highlight w:val="none"/>
              </w:rPr>
            </w:pPr>
            <w:r>
              <w:rPr>
                <w:color w:val="000000"/>
                <w:sz w:val="24"/>
                <w:highlight w:val="none"/>
              </w:rPr>
            </w:r>
            <w:r/>
          </w:p>
        </w:tc>
        <w:tc>
          <w:tcPr>
            <w:tcW w:w="1301" w:type="dxa"/>
            <w:vAlign w:val="center"/>
            <w:textDirection w:val="lrTb"/>
            <w:noWrap w:val="false"/>
          </w:tcPr>
          <w:p>
            <w:pPr>
              <w:pStyle w:val="1288"/>
              <w:jc w:val="center"/>
              <w:rPr>
                <w:color w:val="000000"/>
                <w:sz w:val="24"/>
                <w:highlight w:val="none"/>
              </w:rPr>
            </w:pPr>
            <w:r>
              <w:rPr>
                <w:color w:val="000000"/>
                <w:sz w:val="24"/>
                <w:highlight w:val="none"/>
              </w:rPr>
            </w:r>
            <w:r/>
          </w:p>
        </w:tc>
        <w:tc>
          <w:tcPr>
            <w:tcW w:w="2007" w:type="dxa"/>
            <w:vAlign w:val="center"/>
            <w:textDirection w:val="lrTb"/>
            <w:noWrap w:val="false"/>
          </w:tcPr>
          <w:p>
            <w:pPr>
              <w:pStyle w:val="1288"/>
              <w:jc w:val="center"/>
              <w:rPr>
                <w:color w:val="000000"/>
                <w:sz w:val="24"/>
                <w:highlight w:val="none"/>
              </w:rPr>
            </w:pPr>
            <w:r>
              <w:rPr>
                <w:color w:val="000000"/>
                <w:sz w:val="24"/>
                <w:highlight w:val="none"/>
              </w:rPr>
            </w:r>
            <w:r/>
          </w:p>
        </w:tc>
        <w:tc>
          <w:tcPr>
            <w:tcW w:w="2008" w:type="dxa"/>
            <w:vAlign w:val="center"/>
            <w:textDirection w:val="lrTb"/>
            <w:noWrap w:val="false"/>
          </w:tcPr>
          <w:p>
            <w:pPr>
              <w:pStyle w:val="1288"/>
              <w:jc w:val="center"/>
              <w:rPr>
                <w:color w:val="000000"/>
                <w:sz w:val="24"/>
                <w:highlight w:val="none"/>
              </w:rPr>
            </w:pPr>
            <w:r>
              <w:rPr>
                <w:color w:val="000000"/>
                <w:sz w:val="24"/>
                <w:highlight w:val="none"/>
              </w:rPr>
            </w:r>
            <w:r/>
          </w:p>
        </w:tc>
        <w:tc>
          <w:tcPr>
            <w:tcW w:w="2458" w:type="dxa"/>
            <w:vAlign w:val="center"/>
            <w:textDirection w:val="lrTb"/>
            <w:noWrap w:val="false"/>
          </w:tcPr>
          <w:p>
            <w:pPr>
              <w:pStyle w:val="1288"/>
              <w:jc w:val="center"/>
              <w:rPr>
                <w:color w:val="000000"/>
                <w:sz w:val="24"/>
                <w:highlight w:val="none"/>
              </w:rPr>
            </w:pPr>
            <w:r>
              <w:rPr>
                <w:color w:val="000000"/>
                <w:sz w:val="24"/>
                <w:highlight w:val="none"/>
              </w:rPr>
            </w:r>
            <w:r/>
          </w:p>
        </w:tc>
        <w:tc>
          <w:tcPr>
            <w:tcW w:w="788" w:type="dxa"/>
            <w:vAlign w:val="center"/>
            <w:textDirection w:val="lrTb"/>
            <w:noWrap w:val="false"/>
          </w:tcPr>
          <w:p>
            <w:pPr>
              <w:pStyle w:val="1288"/>
              <w:jc w:val="center"/>
              <w:rPr>
                <w:color w:val="000000"/>
                <w:sz w:val="24"/>
                <w:highlight w:val="none"/>
              </w:rPr>
            </w:pPr>
            <w:r>
              <w:rPr>
                <w:color w:val="000000"/>
                <w:sz w:val="24"/>
                <w:highlight w:val="none"/>
              </w:rPr>
            </w:r>
            <w:r/>
          </w:p>
        </w:tc>
      </w:tr>
      <w:tr>
        <w:trPr>
          <w:trHeight w:val="930"/>
        </w:trPr>
        <w:tc>
          <w:tcPr>
            <w:tcW w:w="834" w:type="dxa"/>
            <w:vAlign w:val="center"/>
            <w:textDirection w:val="lrTb"/>
            <w:noWrap w:val="false"/>
          </w:tcPr>
          <w:p>
            <w:pPr>
              <w:pStyle w:val="1288"/>
              <w:jc w:val="center"/>
              <w:rPr>
                <w:color w:val="000000"/>
                <w:sz w:val="24"/>
                <w:highlight w:val="none"/>
              </w:rPr>
            </w:pPr>
            <w:r>
              <w:rPr>
                <w:color w:val="000000"/>
                <w:sz w:val="24"/>
                <w:highlight w:val="none"/>
              </w:rPr>
            </w:r>
            <w:r/>
          </w:p>
        </w:tc>
        <w:tc>
          <w:tcPr>
            <w:tcW w:w="1301" w:type="dxa"/>
            <w:vAlign w:val="center"/>
            <w:textDirection w:val="lrTb"/>
            <w:noWrap w:val="false"/>
          </w:tcPr>
          <w:p>
            <w:pPr>
              <w:pStyle w:val="1288"/>
              <w:jc w:val="center"/>
              <w:rPr>
                <w:color w:val="000000"/>
                <w:sz w:val="24"/>
                <w:highlight w:val="none"/>
              </w:rPr>
            </w:pPr>
            <w:r>
              <w:rPr>
                <w:color w:val="000000"/>
                <w:sz w:val="24"/>
                <w:highlight w:val="none"/>
              </w:rPr>
            </w:r>
            <w:r/>
          </w:p>
        </w:tc>
        <w:tc>
          <w:tcPr>
            <w:tcW w:w="2007" w:type="dxa"/>
            <w:vAlign w:val="center"/>
            <w:textDirection w:val="lrTb"/>
            <w:noWrap w:val="false"/>
          </w:tcPr>
          <w:p>
            <w:pPr>
              <w:pStyle w:val="1288"/>
              <w:jc w:val="center"/>
              <w:rPr>
                <w:color w:val="000000"/>
                <w:sz w:val="24"/>
                <w:highlight w:val="none"/>
              </w:rPr>
            </w:pPr>
            <w:r>
              <w:rPr>
                <w:color w:val="000000"/>
                <w:sz w:val="24"/>
                <w:highlight w:val="none"/>
              </w:rPr>
            </w:r>
            <w:r/>
          </w:p>
        </w:tc>
        <w:tc>
          <w:tcPr>
            <w:tcW w:w="2008" w:type="dxa"/>
            <w:vAlign w:val="center"/>
            <w:textDirection w:val="lrTb"/>
            <w:noWrap w:val="false"/>
          </w:tcPr>
          <w:p>
            <w:pPr>
              <w:pStyle w:val="1288"/>
              <w:jc w:val="center"/>
              <w:rPr>
                <w:color w:val="000000"/>
                <w:sz w:val="24"/>
                <w:highlight w:val="none"/>
              </w:rPr>
            </w:pPr>
            <w:r>
              <w:rPr>
                <w:color w:val="000000"/>
                <w:sz w:val="24"/>
                <w:highlight w:val="none"/>
              </w:rPr>
            </w:r>
            <w:r/>
          </w:p>
        </w:tc>
        <w:tc>
          <w:tcPr>
            <w:tcW w:w="2458" w:type="dxa"/>
            <w:vAlign w:val="center"/>
            <w:textDirection w:val="lrTb"/>
            <w:noWrap w:val="false"/>
          </w:tcPr>
          <w:p>
            <w:pPr>
              <w:pStyle w:val="1288"/>
              <w:jc w:val="center"/>
              <w:rPr>
                <w:color w:val="000000"/>
                <w:sz w:val="24"/>
                <w:highlight w:val="none"/>
              </w:rPr>
            </w:pPr>
            <w:r>
              <w:rPr>
                <w:color w:val="000000"/>
                <w:sz w:val="24"/>
                <w:highlight w:val="none"/>
              </w:rPr>
            </w:r>
            <w:r/>
          </w:p>
        </w:tc>
        <w:tc>
          <w:tcPr>
            <w:tcW w:w="788" w:type="dxa"/>
            <w:vAlign w:val="center"/>
            <w:textDirection w:val="lrTb"/>
            <w:noWrap w:val="false"/>
          </w:tcPr>
          <w:p>
            <w:pPr>
              <w:pStyle w:val="1288"/>
              <w:jc w:val="center"/>
              <w:rPr>
                <w:color w:val="000000"/>
                <w:sz w:val="24"/>
                <w:highlight w:val="none"/>
              </w:rPr>
            </w:pPr>
            <w:r>
              <w:rPr>
                <w:color w:val="000000"/>
                <w:sz w:val="24"/>
                <w:highlight w:val="none"/>
              </w:rPr>
            </w:r>
            <w:r/>
          </w:p>
        </w:tc>
      </w:tr>
      <w:tr>
        <w:trPr>
          <w:trHeight w:val="930"/>
        </w:trPr>
        <w:tc>
          <w:tcPr>
            <w:tcW w:w="834" w:type="dxa"/>
            <w:vAlign w:val="center"/>
            <w:textDirection w:val="lrTb"/>
            <w:noWrap w:val="false"/>
          </w:tcPr>
          <w:p>
            <w:pPr>
              <w:pStyle w:val="1288"/>
              <w:jc w:val="center"/>
              <w:rPr>
                <w:color w:val="000000"/>
                <w:sz w:val="24"/>
                <w:highlight w:val="none"/>
              </w:rPr>
            </w:pPr>
            <w:r>
              <w:rPr>
                <w:color w:val="000000"/>
                <w:sz w:val="24"/>
                <w:highlight w:val="none"/>
              </w:rPr>
            </w:r>
            <w:r/>
          </w:p>
        </w:tc>
        <w:tc>
          <w:tcPr>
            <w:tcW w:w="1301" w:type="dxa"/>
            <w:vAlign w:val="center"/>
            <w:textDirection w:val="lrTb"/>
            <w:noWrap w:val="false"/>
          </w:tcPr>
          <w:p>
            <w:pPr>
              <w:pStyle w:val="1288"/>
              <w:jc w:val="center"/>
              <w:rPr>
                <w:color w:val="000000"/>
                <w:sz w:val="24"/>
                <w:highlight w:val="none"/>
              </w:rPr>
            </w:pPr>
            <w:r>
              <w:rPr>
                <w:color w:val="000000"/>
                <w:sz w:val="24"/>
                <w:highlight w:val="none"/>
              </w:rPr>
            </w:r>
            <w:r/>
          </w:p>
        </w:tc>
        <w:tc>
          <w:tcPr>
            <w:tcW w:w="2007" w:type="dxa"/>
            <w:vAlign w:val="center"/>
            <w:textDirection w:val="lrTb"/>
            <w:noWrap w:val="false"/>
          </w:tcPr>
          <w:p>
            <w:pPr>
              <w:pStyle w:val="1288"/>
              <w:jc w:val="center"/>
              <w:rPr>
                <w:color w:val="000000"/>
                <w:sz w:val="24"/>
                <w:highlight w:val="none"/>
              </w:rPr>
            </w:pPr>
            <w:r>
              <w:rPr>
                <w:color w:val="000000"/>
                <w:sz w:val="24"/>
                <w:highlight w:val="none"/>
              </w:rPr>
            </w:r>
            <w:r/>
          </w:p>
        </w:tc>
        <w:tc>
          <w:tcPr>
            <w:tcW w:w="2008" w:type="dxa"/>
            <w:vAlign w:val="center"/>
            <w:textDirection w:val="lrTb"/>
            <w:noWrap w:val="false"/>
          </w:tcPr>
          <w:p>
            <w:pPr>
              <w:pStyle w:val="1288"/>
              <w:jc w:val="center"/>
              <w:rPr>
                <w:color w:val="000000"/>
                <w:sz w:val="24"/>
                <w:highlight w:val="none"/>
              </w:rPr>
            </w:pPr>
            <w:r>
              <w:rPr>
                <w:color w:val="000000"/>
                <w:sz w:val="24"/>
                <w:highlight w:val="none"/>
              </w:rPr>
            </w:r>
            <w:r/>
          </w:p>
        </w:tc>
        <w:tc>
          <w:tcPr>
            <w:tcW w:w="2458" w:type="dxa"/>
            <w:vAlign w:val="center"/>
            <w:textDirection w:val="lrTb"/>
            <w:noWrap w:val="false"/>
          </w:tcPr>
          <w:p>
            <w:pPr>
              <w:pStyle w:val="1288"/>
              <w:jc w:val="center"/>
              <w:rPr>
                <w:color w:val="000000"/>
                <w:sz w:val="24"/>
                <w:highlight w:val="none"/>
              </w:rPr>
            </w:pPr>
            <w:r>
              <w:rPr>
                <w:color w:val="000000"/>
                <w:sz w:val="24"/>
                <w:highlight w:val="none"/>
              </w:rPr>
            </w:r>
            <w:r/>
          </w:p>
        </w:tc>
        <w:tc>
          <w:tcPr>
            <w:tcW w:w="788" w:type="dxa"/>
            <w:vAlign w:val="center"/>
            <w:textDirection w:val="lrTb"/>
            <w:noWrap w:val="false"/>
          </w:tcPr>
          <w:p>
            <w:pPr>
              <w:pStyle w:val="1288"/>
              <w:jc w:val="center"/>
              <w:rPr>
                <w:color w:val="000000"/>
                <w:sz w:val="24"/>
                <w:highlight w:val="none"/>
              </w:rPr>
            </w:pPr>
            <w:r>
              <w:rPr>
                <w:color w:val="000000"/>
                <w:sz w:val="24"/>
                <w:highlight w:val="none"/>
              </w:rPr>
            </w:r>
            <w:r/>
          </w:p>
        </w:tc>
      </w:tr>
      <w:tr>
        <w:trPr>
          <w:trHeight w:val="930"/>
        </w:trPr>
        <w:tc>
          <w:tcPr>
            <w:tcW w:w="834" w:type="dxa"/>
            <w:vAlign w:val="center"/>
            <w:textDirection w:val="lrTb"/>
            <w:noWrap w:val="false"/>
          </w:tcPr>
          <w:p>
            <w:pPr>
              <w:pStyle w:val="1288"/>
              <w:jc w:val="center"/>
              <w:rPr>
                <w:color w:val="000000"/>
                <w:sz w:val="24"/>
                <w:highlight w:val="none"/>
              </w:rPr>
            </w:pPr>
            <w:r>
              <w:rPr>
                <w:color w:val="000000"/>
                <w:sz w:val="24"/>
                <w:highlight w:val="none"/>
              </w:rPr>
              <w:t xml:space="preserve">……</w:t>
            </w:r>
            <w:r>
              <w:rPr>
                <w:color w:val="000000"/>
                <w:sz w:val="24"/>
                <w:highlight w:val="none"/>
              </w:rPr>
            </w:r>
            <w:r/>
          </w:p>
        </w:tc>
        <w:tc>
          <w:tcPr>
            <w:tcW w:w="1301" w:type="dxa"/>
            <w:vAlign w:val="center"/>
            <w:textDirection w:val="lrTb"/>
            <w:noWrap w:val="false"/>
          </w:tcPr>
          <w:p>
            <w:pPr>
              <w:pStyle w:val="1288"/>
              <w:jc w:val="center"/>
              <w:rPr>
                <w:color w:val="000000"/>
                <w:sz w:val="24"/>
                <w:highlight w:val="none"/>
              </w:rPr>
            </w:pPr>
            <w:r>
              <w:rPr>
                <w:color w:val="000000"/>
                <w:sz w:val="24"/>
                <w:highlight w:val="none"/>
              </w:rPr>
            </w:r>
            <w:r/>
          </w:p>
        </w:tc>
        <w:tc>
          <w:tcPr>
            <w:tcW w:w="2007" w:type="dxa"/>
            <w:vAlign w:val="center"/>
            <w:textDirection w:val="lrTb"/>
            <w:noWrap w:val="false"/>
          </w:tcPr>
          <w:p>
            <w:pPr>
              <w:pStyle w:val="1288"/>
              <w:jc w:val="center"/>
              <w:rPr>
                <w:color w:val="000000"/>
                <w:sz w:val="24"/>
                <w:highlight w:val="none"/>
              </w:rPr>
            </w:pPr>
            <w:r>
              <w:rPr>
                <w:color w:val="000000"/>
                <w:sz w:val="24"/>
                <w:highlight w:val="none"/>
              </w:rPr>
            </w:r>
            <w:r/>
          </w:p>
        </w:tc>
        <w:tc>
          <w:tcPr>
            <w:tcW w:w="2008" w:type="dxa"/>
            <w:vAlign w:val="center"/>
            <w:textDirection w:val="lrTb"/>
            <w:noWrap w:val="false"/>
          </w:tcPr>
          <w:p>
            <w:pPr>
              <w:pStyle w:val="1288"/>
              <w:jc w:val="center"/>
              <w:rPr>
                <w:color w:val="000000"/>
                <w:sz w:val="24"/>
                <w:highlight w:val="none"/>
              </w:rPr>
            </w:pPr>
            <w:r>
              <w:rPr>
                <w:color w:val="000000"/>
                <w:sz w:val="24"/>
                <w:highlight w:val="none"/>
              </w:rPr>
            </w:r>
            <w:r/>
          </w:p>
        </w:tc>
        <w:tc>
          <w:tcPr>
            <w:tcW w:w="2458" w:type="dxa"/>
            <w:vAlign w:val="center"/>
            <w:textDirection w:val="lrTb"/>
            <w:noWrap w:val="false"/>
          </w:tcPr>
          <w:p>
            <w:pPr>
              <w:pStyle w:val="1288"/>
              <w:jc w:val="center"/>
              <w:rPr>
                <w:color w:val="000000"/>
                <w:sz w:val="24"/>
                <w:highlight w:val="none"/>
              </w:rPr>
            </w:pPr>
            <w:r>
              <w:rPr>
                <w:color w:val="000000"/>
                <w:sz w:val="24"/>
                <w:highlight w:val="none"/>
              </w:rPr>
            </w:r>
            <w:r/>
          </w:p>
        </w:tc>
        <w:tc>
          <w:tcPr>
            <w:tcW w:w="788" w:type="dxa"/>
            <w:vAlign w:val="center"/>
            <w:textDirection w:val="lrTb"/>
            <w:noWrap w:val="false"/>
          </w:tcPr>
          <w:p>
            <w:pPr>
              <w:pStyle w:val="1288"/>
              <w:jc w:val="center"/>
              <w:rPr>
                <w:color w:val="000000"/>
                <w:sz w:val="24"/>
                <w:highlight w:val="none"/>
              </w:rPr>
            </w:pPr>
            <w:r>
              <w:rPr>
                <w:color w:val="000000"/>
                <w:sz w:val="24"/>
                <w:highlight w:val="none"/>
              </w:rPr>
            </w:r>
            <w:r/>
          </w:p>
        </w:tc>
      </w:tr>
    </w:tbl>
    <w:p>
      <w:pPr>
        <w:pStyle w:val="1288"/>
        <w:jc w:val="left"/>
        <w:tabs>
          <w:tab w:val="left" w:pos="1800" w:leader="none"/>
          <w:tab w:val="left" w:pos="5580" w:leader="none"/>
        </w:tabs>
        <w:rPr>
          <w:color w:val="000000"/>
          <w:sz w:val="24"/>
          <w:highlight w:val="none"/>
        </w:rPr>
      </w:pPr>
      <w:r>
        <w:rPr>
          <w:color w:val="000000"/>
          <w:sz w:val="24"/>
          <w:highlight w:val="none"/>
        </w:rPr>
      </w:r>
      <w:r/>
    </w:p>
    <w:p>
      <w:pPr>
        <w:pStyle w:val="1288"/>
        <w:jc w:val="left"/>
        <w:tabs>
          <w:tab w:val="left" w:pos="1800" w:leader="none"/>
          <w:tab w:val="left" w:pos="5580" w:leader="none"/>
        </w:tabs>
        <w:rPr>
          <w:color w:val="000000"/>
          <w:sz w:val="24"/>
          <w:highlight w:val="none"/>
        </w:rPr>
      </w:pPr>
      <w:r>
        <w:rPr>
          <w:color w:val="000000"/>
          <w:sz w:val="24"/>
          <w:highlight w:val="none"/>
        </w:rPr>
        <w:t xml:space="preserve">注：</w:t>
      </w:r>
      <w:r>
        <w:rPr>
          <w:color w:val="000000"/>
          <w:sz w:val="24"/>
          <w:highlight w:val="none"/>
        </w:rPr>
      </w:r>
      <w:r/>
    </w:p>
    <w:p>
      <w:pPr>
        <w:pStyle w:val="1288"/>
        <w:jc w:val="left"/>
        <w:tabs>
          <w:tab w:val="left" w:pos="1800" w:leader="none"/>
          <w:tab w:val="left" w:pos="5580" w:leader="none"/>
        </w:tabs>
        <w:rPr>
          <w:color w:val="000000"/>
          <w:sz w:val="24"/>
          <w:highlight w:val="none"/>
        </w:rPr>
      </w:pPr>
      <w:r>
        <w:rPr>
          <w:rFonts w:hint="eastAsia"/>
          <w:color w:val="000000"/>
          <w:sz w:val="24"/>
          <w:highlight w:val="none"/>
        </w:rPr>
        <w:t xml:space="preserve">1</w:t>
      </w:r>
      <w:r>
        <w:rPr>
          <w:color w:val="000000"/>
          <w:sz w:val="24"/>
          <w:highlight w:val="none"/>
        </w:rPr>
        <w:t xml:space="preserve">. 对合同条款中的所有要求，除本表所列明的所有偏离外，均视作供应商已对之理解和</w:t>
      </w:r>
      <w:r>
        <w:rPr>
          <w:rFonts w:hint="eastAsia"/>
          <w:color w:val="000000"/>
          <w:sz w:val="24"/>
          <w:highlight w:val="none"/>
        </w:rPr>
        <w:t xml:space="preserve">响应</w:t>
      </w:r>
      <w:r>
        <w:rPr>
          <w:color w:val="000000"/>
          <w:sz w:val="24"/>
          <w:highlight w:val="none"/>
        </w:rPr>
        <w:t xml:space="preserve">。</w:t>
      </w:r>
      <w:r>
        <w:rPr>
          <w:color w:val="000000"/>
          <w:sz w:val="24"/>
          <w:highlight w:val="none"/>
        </w:rPr>
      </w:r>
      <w:r/>
    </w:p>
    <w:p>
      <w:pPr>
        <w:pStyle w:val="1288"/>
        <w:jc w:val="left"/>
        <w:tabs>
          <w:tab w:val="left" w:pos="1800" w:leader="none"/>
          <w:tab w:val="left" w:pos="5580" w:leader="none"/>
        </w:tabs>
        <w:rPr>
          <w:color w:val="000000"/>
          <w:sz w:val="24"/>
          <w:highlight w:val="none"/>
        </w:rPr>
      </w:pPr>
      <w:r>
        <w:rPr>
          <w:rFonts w:hint="eastAsia"/>
          <w:color w:val="000000"/>
          <w:sz w:val="24"/>
          <w:highlight w:val="none"/>
        </w:rPr>
        <w:t xml:space="preserve">2</w:t>
      </w:r>
      <w:r>
        <w:rPr>
          <w:color w:val="000000"/>
          <w:sz w:val="24"/>
          <w:highlight w:val="none"/>
        </w:rPr>
        <w:t xml:space="preserve">. </w:t>
      </w:r>
      <w:r>
        <w:rPr>
          <w:rFonts w:hint="eastAsia"/>
          <w:color w:val="000000"/>
          <w:sz w:val="24"/>
          <w:highlight w:val="none"/>
        </w:rPr>
        <w:t xml:space="preserve">“偏离情况”列应</w:t>
      </w:r>
      <w:r>
        <w:rPr>
          <w:color w:val="000000"/>
          <w:sz w:val="24"/>
          <w:highlight w:val="none"/>
        </w:rPr>
        <w:t xml:space="preserve">据实</w:t>
      </w:r>
      <w:r>
        <w:rPr>
          <w:rFonts w:hint="eastAsia"/>
          <w:color w:val="000000"/>
          <w:sz w:val="24"/>
          <w:highlight w:val="none"/>
        </w:rPr>
        <w:t xml:space="preserve">填写“正偏离”、“负偏离”。</w:t>
      </w:r>
      <w:r>
        <w:rPr>
          <w:color w:val="000000"/>
          <w:sz w:val="24"/>
          <w:highlight w:val="none"/>
        </w:rPr>
      </w:r>
      <w:r/>
    </w:p>
    <w:p>
      <w:pPr>
        <w:pStyle w:val="1288"/>
        <w:spacing w:line="360" w:lineRule="auto"/>
        <w:rPr>
          <w:color w:val="000000"/>
          <w:sz w:val="24"/>
          <w:szCs w:val="20"/>
          <w:highlight w:val="none"/>
        </w:rPr>
      </w:pPr>
      <w:r>
        <w:rPr>
          <w:color w:val="000000"/>
          <w:sz w:val="24"/>
          <w:szCs w:val="20"/>
          <w:highlight w:val="none"/>
        </w:rPr>
      </w:r>
      <w:r/>
    </w:p>
    <w:p>
      <w:pPr>
        <w:pStyle w:val="1288"/>
        <w:spacing w:before="25" w:after="25" w:line="360" w:lineRule="auto"/>
        <w:rPr>
          <w:color w:val="000000"/>
          <w:sz w:val="24"/>
          <w:highlight w:val="none"/>
          <w:lang w:val="zh-CN"/>
        </w:rPr>
      </w:pPr>
      <w:r>
        <w:rPr>
          <w:color w:val="000000"/>
          <w:sz w:val="24"/>
          <w:highlight w:val="none"/>
          <w:lang w:val="zh-CN"/>
        </w:rPr>
        <w:t xml:space="preserve">                      </w:t>
      </w:r>
      <w:r>
        <w:rPr>
          <w:color w:val="000000"/>
          <w:sz w:val="24"/>
          <w:highlight w:val="none"/>
          <w:lang w:val="zh-CN"/>
        </w:rPr>
      </w:r>
      <w:r/>
    </w:p>
    <w:p>
      <w:pPr>
        <w:pStyle w:val="1288"/>
        <w:spacing w:before="25" w:after="25" w:line="360" w:lineRule="auto"/>
        <w:rPr>
          <w:color w:val="000000"/>
          <w:sz w:val="24"/>
          <w:highlight w:val="none"/>
          <w:lang w:val="zh-CN"/>
        </w:rPr>
      </w:pPr>
      <w:r>
        <w:rPr>
          <w:color w:val="000000"/>
          <w:sz w:val="24"/>
          <w:highlight w:val="none"/>
        </w:rPr>
        <w:t xml:space="preserve">供应商名称（加盖公章）</w:t>
      </w:r>
      <w:r>
        <w:rPr>
          <w:color w:val="000000"/>
          <w:sz w:val="24"/>
          <w:highlight w:val="none"/>
          <w:lang w:val="zh-CN"/>
        </w:rPr>
        <w:t xml:space="preserve">：____________</w:t>
      </w:r>
      <w:r>
        <w:rPr>
          <w:color w:val="000000"/>
          <w:sz w:val="24"/>
          <w:highlight w:val="none"/>
          <w:lang w:val="zh-CN"/>
        </w:rPr>
      </w:r>
      <w:r/>
    </w:p>
    <w:p>
      <w:pPr>
        <w:pStyle w:val="1288"/>
        <w:spacing w:before="25" w:after="25" w:line="360" w:lineRule="auto"/>
        <w:rPr>
          <w:color w:val="000000"/>
          <w:sz w:val="24"/>
          <w:highlight w:val="none"/>
        </w:rPr>
      </w:pPr>
      <w:r>
        <w:rPr>
          <w:color w:val="000000"/>
          <w:sz w:val="24"/>
          <w:highlight w:val="none"/>
        </w:rPr>
        <w:t xml:space="preserve">日期：_____年______月______日   </w:t>
      </w:r>
      <w:r>
        <w:rPr>
          <w:color w:val="000000"/>
          <w:sz w:val="24"/>
          <w:highlight w:val="none"/>
        </w:rPr>
      </w:r>
      <w:r/>
    </w:p>
    <w:p>
      <w:pPr>
        <w:pStyle w:val="1288"/>
        <w:spacing w:before="25" w:after="25" w:line="360" w:lineRule="auto"/>
        <w:rPr>
          <w:color w:val="000000"/>
          <w:sz w:val="24"/>
          <w:szCs w:val="20"/>
          <w:highlight w:val="none"/>
        </w:rPr>
        <w:outlineLvl w:val="1"/>
      </w:pPr>
      <w:r>
        <w:rPr>
          <w:color w:val="000000"/>
          <w:sz w:val="24"/>
          <w:szCs w:val="20"/>
          <w:highlight w:val="none"/>
        </w:rPr>
        <w:br w:type="page" w:clear="all"/>
      </w:r>
      <w:bookmarkEnd w:id="890"/>
      <w:r/>
      <w:bookmarkEnd w:id="891"/>
      <w:r/>
      <w:bookmarkEnd w:id="892"/>
      <w:r/>
      <w:bookmarkEnd w:id="893"/>
      <w:r/>
      <w:bookmarkEnd w:id="894"/>
      <w:r/>
      <w:bookmarkEnd w:id="895"/>
      <w:r/>
      <w:bookmarkEnd w:id="896"/>
      <w:r/>
      <w:bookmarkEnd w:id="897"/>
      <w:r/>
      <w:bookmarkEnd w:id="898"/>
      <w:r/>
      <w:bookmarkEnd w:id="899"/>
      <w:r/>
      <w:bookmarkEnd w:id="900"/>
      <w:r/>
      <w:bookmarkEnd w:id="901"/>
      <w:r/>
      <w:bookmarkEnd w:id="902"/>
      <w:r>
        <w:rPr>
          <w:rFonts w:hint="eastAsia"/>
          <w:color w:val="000000"/>
          <w:sz w:val="24"/>
          <w:szCs w:val="20"/>
          <w:highlight w:val="none"/>
        </w:rPr>
        <w:t xml:space="preserve">11</w:t>
      </w:r>
      <w:r>
        <w:rPr>
          <w:color w:val="000000"/>
          <w:sz w:val="24"/>
          <w:szCs w:val="20"/>
          <w:highlight w:val="none"/>
        </w:rPr>
        <w:t xml:space="preserve"> </w:t>
      </w:r>
      <w:r>
        <w:rPr>
          <w:rFonts w:hint="eastAsia"/>
          <w:color w:val="000000"/>
          <w:sz w:val="24"/>
          <w:szCs w:val="20"/>
          <w:highlight w:val="none"/>
        </w:rPr>
        <w:t xml:space="preserve">商务要求响应及偏离表</w:t>
      </w:r>
      <w:r>
        <w:rPr>
          <w:color w:val="000000"/>
          <w:sz w:val="24"/>
          <w:szCs w:val="20"/>
          <w:highlight w:val="none"/>
        </w:rPr>
      </w:r>
      <w:r/>
    </w:p>
    <w:p>
      <w:pPr>
        <w:pStyle w:val="1288"/>
        <w:jc w:val="center"/>
        <w:spacing w:line="360" w:lineRule="auto"/>
        <w:rPr>
          <w:rFonts w:hint="eastAsia"/>
          <w:b/>
          <w:color w:val="000000"/>
          <w:sz w:val="36"/>
          <w:szCs w:val="36"/>
          <w:highlight w:val="none"/>
        </w:rPr>
      </w:pPr>
      <w:r>
        <w:rPr>
          <w:rFonts w:hint="eastAsia"/>
          <w:b/>
          <w:color w:val="000000"/>
          <w:sz w:val="36"/>
          <w:szCs w:val="36"/>
          <w:highlight w:val="none"/>
        </w:rPr>
      </w:r>
      <w:r/>
    </w:p>
    <w:p>
      <w:pPr>
        <w:pStyle w:val="1288"/>
        <w:jc w:val="center"/>
        <w:spacing w:line="360" w:lineRule="auto"/>
        <w:rPr>
          <w:b/>
          <w:color w:val="000000"/>
          <w:sz w:val="36"/>
          <w:szCs w:val="36"/>
          <w:highlight w:val="none"/>
        </w:rPr>
      </w:pPr>
      <w:r>
        <w:rPr>
          <w:rFonts w:hint="eastAsia"/>
          <w:b/>
          <w:color w:val="000000"/>
          <w:sz w:val="36"/>
          <w:szCs w:val="36"/>
          <w:highlight w:val="none"/>
        </w:rPr>
        <w:t xml:space="preserve">商务要求响应及偏离表</w:t>
      </w:r>
      <w:r>
        <w:rPr>
          <w:b/>
          <w:color w:val="000000"/>
          <w:sz w:val="36"/>
          <w:szCs w:val="36"/>
          <w:highlight w:val="none"/>
        </w:rPr>
      </w:r>
      <w:r/>
    </w:p>
    <w:p>
      <w:pPr>
        <w:pStyle w:val="1288"/>
        <w:ind w:firstLine="360"/>
        <w:jc w:val="left"/>
        <w:spacing w:line="360" w:lineRule="auto"/>
        <w:tabs>
          <w:tab w:val="left" w:pos="1800" w:leader="none"/>
          <w:tab w:val="left" w:pos="5580" w:leader="none"/>
        </w:tabs>
        <w:rPr>
          <w:rFonts w:hint="eastAsia"/>
          <w:color w:val="000000"/>
          <w:sz w:val="24"/>
          <w:highlight w:val="none"/>
        </w:rPr>
      </w:pPr>
      <w:r>
        <w:rPr>
          <w:color w:val="000000"/>
          <w:sz w:val="24"/>
          <w:highlight w:val="none"/>
        </w:rPr>
        <w:t xml:space="preserve">项目编号/包号：_____________________     项目名称：____________</w:t>
      </w:r>
      <w:r>
        <w:rPr>
          <w:rFonts w:hint="eastAsia"/>
          <w:color w:val="000000"/>
          <w:sz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2"/>
        <w:gridCol w:w="1290"/>
        <w:gridCol w:w="1980"/>
        <w:gridCol w:w="1981"/>
        <w:gridCol w:w="2423"/>
        <w:gridCol w:w="782"/>
      </w:tblGrid>
      <w:tr>
        <w:trPr>
          <w:trHeight w:val="930"/>
        </w:trPr>
        <w:tc>
          <w:tcPr>
            <w:gridSpan w:val="6"/>
            <w:tcW w:w="9288" w:type="dxa"/>
            <w:vAlign w:val="center"/>
            <w:textDirection w:val="lrTb"/>
            <w:noWrap w:val="false"/>
          </w:tcPr>
          <w:p>
            <w:pPr>
              <w:pStyle w:val="1288"/>
              <w:jc w:val="left"/>
              <w:rPr>
                <w:b/>
                <w:color w:val="000000"/>
                <w:sz w:val="24"/>
                <w:highlight w:val="none"/>
              </w:rPr>
            </w:pPr>
            <w:r>
              <w:rPr>
                <w:b/>
                <w:color w:val="000000"/>
                <w:sz w:val="24"/>
                <w:highlight w:val="none"/>
              </w:rPr>
              <w:t xml:space="preserve">对本</w:t>
            </w:r>
            <w:r>
              <w:rPr>
                <w:rFonts w:hint="eastAsia"/>
                <w:b/>
                <w:color w:val="000000"/>
                <w:sz w:val="24"/>
                <w:highlight w:val="none"/>
              </w:rPr>
              <w:t xml:space="preserve">项目技术</w:t>
            </w:r>
            <w:r>
              <w:rPr>
                <w:b/>
                <w:color w:val="000000"/>
                <w:sz w:val="24"/>
                <w:highlight w:val="none"/>
              </w:rPr>
              <w:t xml:space="preserve">要求条款的偏离情况（请进行勾选）：</w:t>
            </w:r>
            <w:r>
              <w:rPr>
                <w:b/>
                <w:color w:val="000000"/>
                <w:sz w:val="24"/>
                <w:highlight w:val="none"/>
              </w:rPr>
            </w:r>
            <w:r/>
          </w:p>
          <w:p>
            <w:pPr>
              <w:pStyle w:val="1288"/>
              <w:jc w:val="left"/>
              <w:rPr>
                <w:b/>
                <w:color w:val="000000"/>
                <w:sz w:val="24"/>
                <w:highlight w:val="none"/>
              </w:rPr>
            </w:pPr>
            <w:r>
              <w:rPr>
                <w:rFonts w:hint="eastAsia"/>
                <w:b/>
                <w:color w:val="000000"/>
                <w:sz w:val="24"/>
                <w:highlight w:val="none"/>
              </w:rPr>
              <w:t xml:space="preserve">□</w:t>
            </w:r>
            <w:r>
              <w:rPr>
                <w:b/>
                <w:color w:val="000000"/>
                <w:sz w:val="24"/>
                <w:highlight w:val="none"/>
              </w:rPr>
              <w:t xml:space="preserve">无偏离</w:t>
            </w:r>
            <w:r>
              <w:rPr>
                <w:color w:val="000000"/>
                <w:sz w:val="24"/>
                <w:highlight w:val="none"/>
              </w:rPr>
              <w:t xml:space="preserve">（</w:t>
            </w:r>
            <w:r>
              <w:rPr>
                <w:color w:val="000000"/>
                <w:sz w:val="24"/>
                <w:szCs w:val="21"/>
                <w:highlight w:val="none"/>
              </w:rPr>
              <w:t xml:space="preserve">如无偏离，仅勾选无偏离即可</w:t>
            </w:r>
            <w:r>
              <w:rPr>
                <w:color w:val="000000"/>
                <w:sz w:val="24"/>
                <w:highlight w:val="none"/>
              </w:rPr>
              <w:t xml:space="preserve">）</w:t>
            </w:r>
            <w:r>
              <w:rPr>
                <w:b/>
                <w:color w:val="000000"/>
                <w:sz w:val="24"/>
                <w:highlight w:val="none"/>
              </w:rPr>
            </w:r>
            <w:r/>
          </w:p>
          <w:p>
            <w:pPr>
              <w:pStyle w:val="1288"/>
              <w:jc w:val="left"/>
              <w:rPr>
                <w:color w:val="000000"/>
                <w:sz w:val="24"/>
                <w:highlight w:val="none"/>
              </w:rPr>
            </w:pPr>
            <w:r>
              <w:rPr>
                <w:rFonts w:hint="eastAsia"/>
                <w:b/>
                <w:color w:val="000000"/>
                <w:sz w:val="24"/>
                <w:highlight w:val="none"/>
              </w:rPr>
              <w:t xml:space="preserve">□</w:t>
            </w:r>
            <w:r>
              <w:rPr>
                <w:b/>
                <w:color w:val="000000"/>
                <w:sz w:val="24"/>
                <w:highlight w:val="none"/>
              </w:rPr>
              <w:t xml:space="preserve">有偏离</w:t>
            </w:r>
            <w:r>
              <w:rPr>
                <w:color w:val="000000"/>
                <w:sz w:val="24"/>
                <w:highlight w:val="none"/>
              </w:rPr>
              <w:t xml:space="preserve">（如有</w:t>
            </w:r>
            <w:r>
              <w:rPr>
                <w:rFonts w:hint="eastAsia"/>
                <w:color w:val="000000"/>
                <w:sz w:val="24"/>
                <w:highlight w:val="none"/>
              </w:rPr>
              <w:t xml:space="preserve">超出或者</w:t>
            </w:r>
            <w:r>
              <w:rPr>
                <w:color w:val="000000"/>
                <w:sz w:val="24"/>
                <w:highlight w:val="none"/>
              </w:rPr>
              <w:t xml:space="preserve">偏离，则须在本表中对</w:t>
            </w:r>
            <w:r>
              <w:rPr>
                <w:rFonts w:hint="eastAsia"/>
                <w:color w:val="000000"/>
                <w:sz w:val="24"/>
                <w:highlight w:val="none"/>
              </w:rPr>
              <w:t xml:space="preserve">超出或者</w:t>
            </w:r>
            <w:r>
              <w:rPr>
                <w:color w:val="000000"/>
                <w:sz w:val="24"/>
                <w:highlight w:val="none"/>
              </w:rPr>
              <w:t xml:space="preserve">偏离项逐一列明）</w:t>
            </w:r>
            <w:r>
              <w:rPr>
                <w:color w:val="000000"/>
                <w:sz w:val="24"/>
                <w:highlight w:val="none"/>
              </w:rPr>
            </w:r>
            <w:r/>
          </w:p>
        </w:tc>
      </w:tr>
      <w:tr>
        <w:trPr>
          <w:trHeight w:val="930"/>
        </w:trPr>
        <w:tc>
          <w:tcPr>
            <w:tcW w:w="834" w:type="dxa"/>
            <w:vAlign w:val="center"/>
            <w:textDirection w:val="lrTb"/>
            <w:noWrap w:val="false"/>
          </w:tcPr>
          <w:p>
            <w:pPr>
              <w:pStyle w:val="1288"/>
              <w:jc w:val="center"/>
              <w:rPr>
                <w:color w:val="000000"/>
                <w:sz w:val="24"/>
                <w:highlight w:val="none"/>
              </w:rPr>
            </w:pPr>
            <w:r>
              <w:rPr>
                <w:color w:val="000000"/>
                <w:sz w:val="24"/>
                <w:highlight w:val="none"/>
              </w:rPr>
              <w:t xml:space="preserve">序号</w:t>
            </w:r>
            <w:r>
              <w:rPr>
                <w:color w:val="000000"/>
                <w:sz w:val="24"/>
                <w:highlight w:val="none"/>
              </w:rPr>
            </w:r>
            <w:r/>
          </w:p>
        </w:tc>
        <w:tc>
          <w:tcPr>
            <w:tcW w:w="1301" w:type="dxa"/>
            <w:vAlign w:val="center"/>
            <w:textDirection w:val="lrTb"/>
            <w:noWrap w:val="false"/>
          </w:tcPr>
          <w:p>
            <w:pPr>
              <w:pStyle w:val="1288"/>
              <w:jc w:val="center"/>
              <w:rPr>
                <w:color w:val="000000"/>
                <w:sz w:val="24"/>
                <w:highlight w:val="none"/>
              </w:rPr>
            </w:pPr>
            <w:r>
              <w:rPr>
                <w:color w:val="000000"/>
                <w:sz w:val="24"/>
                <w:szCs w:val="21"/>
                <w:highlight w:val="none"/>
              </w:rPr>
              <w:t xml:space="preserve">采购文件</w:t>
            </w:r>
            <w:r>
              <w:rPr>
                <w:color w:val="000000"/>
                <w:sz w:val="24"/>
                <w:highlight w:val="none"/>
              </w:rPr>
              <w:t xml:space="preserve">条目号（页码）</w:t>
            </w:r>
            <w:r>
              <w:rPr>
                <w:color w:val="000000"/>
                <w:sz w:val="24"/>
                <w:highlight w:val="none"/>
              </w:rPr>
            </w:r>
            <w:r/>
          </w:p>
        </w:tc>
        <w:tc>
          <w:tcPr>
            <w:tcW w:w="2007" w:type="dxa"/>
            <w:vAlign w:val="center"/>
            <w:textDirection w:val="lrTb"/>
            <w:noWrap w:val="false"/>
          </w:tcPr>
          <w:p>
            <w:pPr>
              <w:pStyle w:val="1288"/>
              <w:jc w:val="center"/>
              <w:rPr>
                <w:color w:val="000000"/>
                <w:sz w:val="24"/>
                <w:highlight w:val="none"/>
              </w:rPr>
            </w:pPr>
            <w:r>
              <w:rPr>
                <w:color w:val="000000"/>
                <w:sz w:val="24"/>
                <w:szCs w:val="21"/>
                <w:highlight w:val="none"/>
              </w:rPr>
              <w:t xml:space="preserve">采购文件</w:t>
            </w:r>
            <w:r>
              <w:rPr>
                <w:color w:val="000000"/>
                <w:sz w:val="24"/>
                <w:highlight w:val="none"/>
              </w:rPr>
              <w:t xml:space="preserve">要求</w:t>
            </w:r>
            <w:r>
              <w:rPr>
                <w:color w:val="000000"/>
                <w:sz w:val="24"/>
                <w:highlight w:val="none"/>
              </w:rPr>
            </w:r>
            <w:r/>
          </w:p>
        </w:tc>
        <w:tc>
          <w:tcPr>
            <w:tcW w:w="2008" w:type="dxa"/>
            <w:vAlign w:val="center"/>
            <w:textDirection w:val="lrTb"/>
            <w:noWrap w:val="false"/>
          </w:tcPr>
          <w:p>
            <w:pPr>
              <w:pStyle w:val="1288"/>
              <w:jc w:val="center"/>
              <w:rPr>
                <w:color w:val="000000"/>
                <w:sz w:val="24"/>
                <w:highlight w:val="none"/>
              </w:rPr>
            </w:pPr>
            <w:r>
              <w:rPr>
                <w:rFonts w:hint="eastAsia" w:ascii="宋体" w:hAnsi="宋体"/>
                <w:color w:val="000000"/>
                <w:sz w:val="24"/>
                <w:highlight w:val="none"/>
              </w:rPr>
              <w:t xml:space="preserve">投标响应情况</w:t>
            </w:r>
            <w:r>
              <w:rPr>
                <w:color w:val="000000"/>
                <w:sz w:val="24"/>
                <w:highlight w:val="none"/>
              </w:rPr>
            </w:r>
            <w:r/>
          </w:p>
        </w:tc>
        <w:tc>
          <w:tcPr>
            <w:tcW w:w="2458" w:type="dxa"/>
            <w:vAlign w:val="center"/>
            <w:textDirection w:val="lrTb"/>
            <w:noWrap w:val="false"/>
          </w:tcPr>
          <w:p>
            <w:pPr>
              <w:pStyle w:val="1288"/>
              <w:jc w:val="center"/>
              <w:rPr>
                <w:color w:val="000000"/>
                <w:sz w:val="24"/>
                <w:highlight w:val="none"/>
              </w:rPr>
            </w:pPr>
            <w:r>
              <w:rPr>
                <w:color w:val="000000"/>
                <w:sz w:val="24"/>
                <w:highlight w:val="none"/>
              </w:rPr>
              <w:t xml:space="preserve">偏离情况</w:t>
            </w:r>
            <w:r>
              <w:rPr>
                <w:color w:val="000000"/>
                <w:sz w:val="24"/>
                <w:highlight w:val="none"/>
              </w:rPr>
            </w:r>
            <w:r/>
          </w:p>
        </w:tc>
        <w:tc>
          <w:tcPr>
            <w:tcW w:w="788" w:type="dxa"/>
            <w:vAlign w:val="center"/>
            <w:textDirection w:val="lrTb"/>
            <w:noWrap w:val="false"/>
          </w:tcPr>
          <w:p>
            <w:pPr>
              <w:pStyle w:val="1288"/>
              <w:jc w:val="center"/>
              <w:rPr>
                <w:color w:val="000000"/>
                <w:sz w:val="24"/>
                <w:highlight w:val="none"/>
              </w:rPr>
            </w:pPr>
            <w:r>
              <w:rPr>
                <w:color w:val="000000"/>
                <w:sz w:val="24"/>
                <w:highlight w:val="none"/>
              </w:rPr>
              <w:t xml:space="preserve">说明</w:t>
            </w:r>
            <w:r>
              <w:rPr>
                <w:color w:val="000000"/>
                <w:sz w:val="24"/>
                <w:highlight w:val="none"/>
              </w:rPr>
            </w:r>
            <w:r/>
          </w:p>
        </w:tc>
      </w:tr>
      <w:tr>
        <w:trPr>
          <w:trHeight w:val="930"/>
        </w:trPr>
        <w:tc>
          <w:tcPr>
            <w:tcW w:w="834" w:type="dxa"/>
            <w:vAlign w:val="center"/>
            <w:textDirection w:val="lrTb"/>
            <w:noWrap w:val="false"/>
          </w:tcPr>
          <w:p>
            <w:pPr>
              <w:pStyle w:val="1288"/>
              <w:jc w:val="center"/>
              <w:rPr>
                <w:color w:val="000000"/>
                <w:sz w:val="24"/>
                <w:highlight w:val="none"/>
              </w:rPr>
            </w:pPr>
            <w:r>
              <w:rPr>
                <w:color w:val="000000"/>
                <w:sz w:val="24"/>
                <w:highlight w:val="none"/>
              </w:rPr>
            </w:r>
            <w:r/>
          </w:p>
        </w:tc>
        <w:tc>
          <w:tcPr>
            <w:tcW w:w="1301" w:type="dxa"/>
            <w:vAlign w:val="center"/>
            <w:textDirection w:val="lrTb"/>
            <w:noWrap w:val="false"/>
          </w:tcPr>
          <w:p>
            <w:pPr>
              <w:pStyle w:val="1288"/>
              <w:jc w:val="center"/>
              <w:rPr>
                <w:color w:val="000000"/>
                <w:sz w:val="24"/>
                <w:highlight w:val="none"/>
              </w:rPr>
            </w:pPr>
            <w:r>
              <w:rPr>
                <w:color w:val="000000"/>
                <w:sz w:val="24"/>
                <w:highlight w:val="none"/>
              </w:rPr>
            </w:r>
            <w:r/>
          </w:p>
        </w:tc>
        <w:tc>
          <w:tcPr>
            <w:tcW w:w="2007" w:type="dxa"/>
            <w:vAlign w:val="center"/>
            <w:textDirection w:val="lrTb"/>
            <w:noWrap w:val="false"/>
          </w:tcPr>
          <w:p>
            <w:pPr>
              <w:pStyle w:val="1288"/>
              <w:jc w:val="center"/>
              <w:rPr>
                <w:color w:val="000000"/>
                <w:sz w:val="24"/>
                <w:highlight w:val="none"/>
              </w:rPr>
            </w:pPr>
            <w:r>
              <w:rPr>
                <w:color w:val="000000"/>
                <w:sz w:val="24"/>
                <w:highlight w:val="none"/>
              </w:rPr>
            </w:r>
            <w:r/>
          </w:p>
        </w:tc>
        <w:tc>
          <w:tcPr>
            <w:tcW w:w="2008" w:type="dxa"/>
            <w:vAlign w:val="center"/>
            <w:textDirection w:val="lrTb"/>
            <w:noWrap w:val="false"/>
          </w:tcPr>
          <w:p>
            <w:pPr>
              <w:pStyle w:val="1288"/>
              <w:jc w:val="center"/>
              <w:rPr>
                <w:color w:val="000000"/>
                <w:sz w:val="24"/>
                <w:highlight w:val="none"/>
              </w:rPr>
            </w:pPr>
            <w:r>
              <w:rPr>
                <w:color w:val="000000"/>
                <w:sz w:val="24"/>
                <w:highlight w:val="none"/>
              </w:rPr>
            </w:r>
            <w:r/>
          </w:p>
        </w:tc>
        <w:tc>
          <w:tcPr>
            <w:tcW w:w="2458" w:type="dxa"/>
            <w:vAlign w:val="center"/>
            <w:textDirection w:val="lrTb"/>
            <w:noWrap w:val="false"/>
          </w:tcPr>
          <w:p>
            <w:pPr>
              <w:pStyle w:val="1288"/>
              <w:jc w:val="center"/>
              <w:rPr>
                <w:color w:val="000000"/>
                <w:sz w:val="24"/>
                <w:highlight w:val="none"/>
              </w:rPr>
            </w:pPr>
            <w:r>
              <w:rPr>
                <w:color w:val="000000"/>
                <w:sz w:val="24"/>
                <w:highlight w:val="none"/>
              </w:rPr>
            </w:r>
            <w:r/>
          </w:p>
        </w:tc>
        <w:tc>
          <w:tcPr>
            <w:tcW w:w="788" w:type="dxa"/>
            <w:vAlign w:val="center"/>
            <w:textDirection w:val="lrTb"/>
            <w:noWrap w:val="false"/>
          </w:tcPr>
          <w:p>
            <w:pPr>
              <w:pStyle w:val="1288"/>
              <w:jc w:val="center"/>
              <w:rPr>
                <w:color w:val="000000"/>
                <w:sz w:val="24"/>
                <w:highlight w:val="none"/>
              </w:rPr>
            </w:pPr>
            <w:r>
              <w:rPr>
                <w:color w:val="000000"/>
                <w:sz w:val="24"/>
                <w:highlight w:val="none"/>
              </w:rPr>
            </w:r>
            <w:r/>
          </w:p>
        </w:tc>
      </w:tr>
      <w:tr>
        <w:trPr>
          <w:trHeight w:val="930"/>
        </w:trPr>
        <w:tc>
          <w:tcPr>
            <w:tcW w:w="834" w:type="dxa"/>
            <w:vAlign w:val="center"/>
            <w:textDirection w:val="lrTb"/>
            <w:noWrap w:val="false"/>
          </w:tcPr>
          <w:p>
            <w:pPr>
              <w:pStyle w:val="1288"/>
              <w:jc w:val="center"/>
              <w:rPr>
                <w:color w:val="000000"/>
                <w:sz w:val="24"/>
                <w:highlight w:val="none"/>
              </w:rPr>
            </w:pPr>
            <w:r>
              <w:rPr>
                <w:color w:val="000000"/>
                <w:sz w:val="24"/>
                <w:highlight w:val="none"/>
              </w:rPr>
            </w:r>
            <w:r/>
          </w:p>
        </w:tc>
        <w:tc>
          <w:tcPr>
            <w:tcW w:w="1301" w:type="dxa"/>
            <w:vAlign w:val="center"/>
            <w:textDirection w:val="lrTb"/>
            <w:noWrap w:val="false"/>
          </w:tcPr>
          <w:p>
            <w:pPr>
              <w:pStyle w:val="1288"/>
              <w:jc w:val="center"/>
              <w:rPr>
                <w:color w:val="000000"/>
                <w:sz w:val="24"/>
                <w:highlight w:val="none"/>
              </w:rPr>
            </w:pPr>
            <w:r>
              <w:rPr>
                <w:color w:val="000000"/>
                <w:sz w:val="24"/>
                <w:highlight w:val="none"/>
              </w:rPr>
            </w:r>
            <w:r/>
          </w:p>
        </w:tc>
        <w:tc>
          <w:tcPr>
            <w:tcW w:w="2007" w:type="dxa"/>
            <w:vAlign w:val="center"/>
            <w:textDirection w:val="lrTb"/>
            <w:noWrap w:val="false"/>
          </w:tcPr>
          <w:p>
            <w:pPr>
              <w:pStyle w:val="1288"/>
              <w:jc w:val="center"/>
              <w:rPr>
                <w:color w:val="000000"/>
                <w:sz w:val="24"/>
                <w:highlight w:val="none"/>
              </w:rPr>
            </w:pPr>
            <w:r>
              <w:rPr>
                <w:color w:val="000000"/>
                <w:sz w:val="24"/>
                <w:highlight w:val="none"/>
              </w:rPr>
            </w:r>
            <w:r/>
          </w:p>
        </w:tc>
        <w:tc>
          <w:tcPr>
            <w:tcW w:w="2008" w:type="dxa"/>
            <w:vAlign w:val="center"/>
            <w:textDirection w:val="lrTb"/>
            <w:noWrap w:val="false"/>
          </w:tcPr>
          <w:p>
            <w:pPr>
              <w:pStyle w:val="1288"/>
              <w:jc w:val="center"/>
              <w:rPr>
                <w:color w:val="000000"/>
                <w:sz w:val="24"/>
                <w:highlight w:val="none"/>
              </w:rPr>
            </w:pPr>
            <w:r>
              <w:rPr>
                <w:color w:val="000000"/>
                <w:sz w:val="24"/>
                <w:highlight w:val="none"/>
              </w:rPr>
            </w:r>
            <w:r/>
          </w:p>
        </w:tc>
        <w:tc>
          <w:tcPr>
            <w:tcW w:w="2458" w:type="dxa"/>
            <w:vAlign w:val="center"/>
            <w:textDirection w:val="lrTb"/>
            <w:noWrap w:val="false"/>
          </w:tcPr>
          <w:p>
            <w:pPr>
              <w:pStyle w:val="1288"/>
              <w:jc w:val="center"/>
              <w:rPr>
                <w:color w:val="000000"/>
                <w:sz w:val="24"/>
                <w:highlight w:val="none"/>
              </w:rPr>
            </w:pPr>
            <w:r>
              <w:rPr>
                <w:color w:val="000000"/>
                <w:sz w:val="24"/>
                <w:highlight w:val="none"/>
              </w:rPr>
            </w:r>
            <w:r/>
          </w:p>
        </w:tc>
        <w:tc>
          <w:tcPr>
            <w:tcW w:w="788" w:type="dxa"/>
            <w:vAlign w:val="center"/>
            <w:textDirection w:val="lrTb"/>
            <w:noWrap w:val="false"/>
          </w:tcPr>
          <w:p>
            <w:pPr>
              <w:pStyle w:val="1288"/>
              <w:jc w:val="center"/>
              <w:rPr>
                <w:color w:val="000000"/>
                <w:sz w:val="24"/>
                <w:highlight w:val="none"/>
              </w:rPr>
            </w:pPr>
            <w:r>
              <w:rPr>
                <w:color w:val="000000"/>
                <w:sz w:val="24"/>
                <w:highlight w:val="none"/>
              </w:rPr>
            </w:r>
            <w:r/>
          </w:p>
        </w:tc>
      </w:tr>
      <w:tr>
        <w:trPr>
          <w:trHeight w:val="930"/>
        </w:trPr>
        <w:tc>
          <w:tcPr>
            <w:tcW w:w="834" w:type="dxa"/>
            <w:vAlign w:val="center"/>
            <w:textDirection w:val="lrTb"/>
            <w:noWrap w:val="false"/>
          </w:tcPr>
          <w:p>
            <w:pPr>
              <w:pStyle w:val="1288"/>
              <w:jc w:val="center"/>
              <w:rPr>
                <w:color w:val="000000"/>
                <w:sz w:val="24"/>
                <w:highlight w:val="none"/>
              </w:rPr>
            </w:pPr>
            <w:r>
              <w:rPr>
                <w:color w:val="000000"/>
                <w:sz w:val="24"/>
                <w:highlight w:val="none"/>
              </w:rPr>
            </w:r>
            <w:r/>
          </w:p>
        </w:tc>
        <w:tc>
          <w:tcPr>
            <w:tcW w:w="1301" w:type="dxa"/>
            <w:vAlign w:val="center"/>
            <w:textDirection w:val="lrTb"/>
            <w:noWrap w:val="false"/>
          </w:tcPr>
          <w:p>
            <w:pPr>
              <w:pStyle w:val="1288"/>
              <w:jc w:val="center"/>
              <w:rPr>
                <w:color w:val="000000"/>
                <w:sz w:val="24"/>
                <w:highlight w:val="none"/>
              </w:rPr>
            </w:pPr>
            <w:r>
              <w:rPr>
                <w:color w:val="000000"/>
                <w:sz w:val="24"/>
                <w:highlight w:val="none"/>
              </w:rPr>
            </w:r>
            <w:r/>
          </w:p>
        </w:tc>
        <w:tc>
          <w:tcPr>
            <w:tcW w:w="2007" w:type="dxa"/>
            <w:vAlign w:val="center"/>
            <w:textDirection w:val="lrTb"/>
            <w:noWrap w:val="false"/>
          </w:tcPr>
          <w:p>
            <w:pPr>
              <w:pStyle w:val="1288"/>
              <w:jc w:val="center"/>
              <w:rPr>
                <w:color w:val="000000"/>
                <w:sz w:val="24"/>
                <w:highlight w:val="none"/>
              </w:rPr>
            </w:pPr>
            <w:r>
              <w:rPr>
                <w:color w:val="000000"/>
                <w:sz w:val="24"/>
                <w:highlight w:val="none"/>
              </w:rPr>
            </w:r>
            <w:r/>
          </w:p>
        </w:tc>
        <w:tc>
          <w:tcPr>
            <w:tcW w:w="2008" w:type="dxa"/>
            <w:vAlign w:val="center"/>
            <w:textDirection w:val="lrTb"/>
            <w:noWrap w:val="false"/>
          </w:tcPr>
          <w:p>
            <w:pPr>
              <w:pStyle w:val="1288"/>
              <w:jc w:val="center"/>
              <w:rPr>
                <w:color w:val="000000"/>
                <w:sz w:val="24"/>
                <w:highlight w:val="none"/>
              </w:rPr>
            </w:pPr>
            <w:r>
              <w:rPr>
                <w:color w:val="000000"/>
                <w:sz w:val="24"/>
                <w:highlight w:val="none"/>
              </w:rPr>
            </w:r>
            <w:r/>
          </w:p>
        </w:tc>
        <w:tc>
          <w:tcPr>
            <w:tcW w:w="2458" w:type="dxa"/>
            <w:vAlign w:val="center"/>
            <w:textDirection w:val="lrTb"/>
            <w:noWrap w:val="false"/>
          </w:tcPr>
          <w:p>
            <w:pPr>
              <w:pStyle w:val="1288"/>
              <w:jc w:val="center"/>
              <w:rPr>
                <w:color w:val="000000"/>
                <w:sz w:val="24"/>
                <w:highlight w:val="none"/>
              </w:rPr>
            </w:pPr>
            <w:r>
              <w:rPr>
                <w:color w:val="000000"/>
                <w:sz w:val="24"/>
                <w:highlight w:val="none"/>
              </w:rPr>
            </w:r>
            <w:r/>
          </w:p>
        </w:tc>
        <w:tc>
          <w:tcPr>
            <w:tcW w:w="788" w:type="dxa"/>
            <w:vAlign w:val="center"/>
            <w:textDirection w:val="lrTb"/>
            <w:noWrap w:val="false"/>
          </w:tcPr>
          <w:p>
            <w:pPr>
              <w:pStyle w:val="1288"/>
              <w:jc w:val="center"/>
              <w:rPr>
                <w:color w:val="000000"/>
                <w:sz w:val="24"/>
                <w:highlight w:val="none"/>
              </w:rPr>
            </w:pPr>
            <w:r>
              <w:rPr>
                <w:color w:val="000000"/>
                <w:sz w:val="24"/>
                <w:highlight w:val="none"/>
              </w:rPr>
            </w:r>
            <w:r/>
          </w:p>
        </w:tc>
      </w:tr>
      <w:tr>
        <w:trPr>
          <w:trHeight w:val="930"/>
        </w:trPr>
        <w:tc>
          <w:tcPr>
            <w:tcW w:w="834" w:type="dxa"/>
            <w:vAlign w:val="center"/>
            <w:textDirection w:val="lrTb"/>
            <w:noWrap w:val="false"/>
          </w:tcPr>
          <w:p>
            <w:pPr>
              <w:pStyle w:val="1288"/>
              <w:jc w:val="center"/>
              <w:rPr>
                <w:color w:val="000000"/>
                <w:sz w:val="24"/>
                <w:highlight w:val="none"/>
              </w:rPr>
            </w:pPr>
            <w:r>
              <w:rPr>
                <w:color w:val="000000"/>
                <w:sz w:val="24"/>
                <w:highlight w:val="none"/>
              </w:rPr>
              <w:t xml:space="preserve">……</w:t>
            </w:r>
            <w:r>
              <w:rPr>
                <w:color w:val="000000"/>
                <w:sz w:val="24"/>
                <w:highlight w:val="none"/>
              </w:rPr>
            </w:r>
            <w:r/>
          </w:p>
        </w:tc>
        <w:tc>
          <w:tcPr>
            <w:tcW w:w="1301" w:type="dxa"/>
            <w:vAlign w:val="center"/>
            <w:textDirection w:val="lrTb"/>
            <w:noWrap w:val="false"/>
          </w:tcPr>
          <w:p>
            <w:pPr>
              <w:pStyle w:val="1288"/>
              <w:jc w:val="center"/>
              <w:rPr>
                <w:color w:val="000000"/>
                <w:sz w:val="24"/>
                <w:highlight w:val="none"/>
              </w:rPr>
            </w:pPr>
            <w:r>
              <w:rPr>
                <w:color w:val="000000"/>
                <w:sz w:val="24"/>
                <w:highlight w:val="none"/>
              </w:rPr>
            </w:r>
            <w:r/>
          </w:p>
        </w:tc>
        <w:tc>
          <w:tcPr>
            <w:tcW w:w="2007" w:type="dxa"/>
            <w:vAlign w:val="center"/>
            <w:textDirection w:val="lrTb"/>
            <w:noWrap w:val="false"/>
          </w:tcPr>
          <w:p>
            <w:pPr>
              <w:pStyle w:val="1288"/>
              <w:jc w:val="center"/>
              <w:rPr>
                <w:color w:val="000000"/>
                <w:sz w:val="24"/>
                <w:highlight w:val="none"/>
              </w:rPr>
            </w:pPr>
            <w:r>
              <w:rPr>
                <w:color w:val="000000"/>
                <w:sz w:val="24"/>
                <w:highlight w:val="none"/>
              </w:rPr>
            </w:r>
            <w:r/>
          </w:p>
        </w:tc>
        <w:tc>
          <w:tcPr>
            <w:tcW w:w="2008" w:type="dxa"/>
            <w:vAlign w:val="center"/>
            <w:textDirection w:val="lrTb"/>
            <w:noWrap w:val="false"/>
          </w:tcPr>
          <w:p>
            <w:pPr>
              <w:pStyle w:val="1288"/>
              <w:jc w:val="center"/>
              <w:rPr>
                <w:color w:val="000000"/>
                <w:sz w:val="24"/>
                <w:highlight w:val="none"/>
              </w:rPr>
            </w:pPr>
            <w:r>
              <w:rPr>
                <w:color w:val="000000"/>
                <w:sz w:val="24"/>
                <w:highlight w:val="none"/>
              </w:rPr>
            </w:r>
            <w:r/>
          </w:p>
        </w:tc>
        <w:tc>
          <w:tcPr>
            <w:tcW w:w="2458" w:type="dxa"/>
            <w:vAlign w:val="center"/>
            <w:textDirection w:val="lrTb"/>
            <w:noWrap w:val="false"/>
          </w:tcPr>
          <w:p>
            <w:pPr>
              <w:pStyle w:val="1288"/>
              <w:jc w:val="center"/>
              <w:rPr>
                <w:color w:val="000000"/>
                <w:sz w:val="24"/>
                <w:highlight w:val="none"/>
              </w:rPr>
            </w:pPr>
            <w:r>
              <w:rPr>
                <w:color w:val="000000"/>
                <w:sz w:val="24"/>
                <w:highlight w:val="none"/>
              </w:rPr>
            </w:r>
            <w:r/>
          </w:p>
        </w:tc>
        <w:tc>
          <w:tcPr>
            <w:tcW w:w="788" w:type="dxa"/>
            <w:vAlign w:val="center"/>
            <w:textDirection w:val="lrTb"/>
            <w:noWrap w:val="false"/>
          </w:tcPr>
          <w:p>
            <w:pPr>
              <w:pStyle w:val="1288"/>
              <w:jc w:val="center"/>
              <w:rPr>
                <w:color w:val="000000"/>
                <w:sz w:val="24"/>
                <w:highlight w:val="none"/>
              </w:rPr>
            </w:pPr>
            <w:r>
              <w:rPr>
                <w:color w:val="000000"/>
                <w:sz w:val="24"/>
                <w:highlight w:val="none"/>
              </w:rPr>
            </w:r>
            <w:r/>
          </w:p>
        </w:tc>
      </w:tr>
    </w:tbl>
    <w:p>
      <w:pPr>
        <w:pStyle w:val="1288"/>
        <w:jc w:val="left"/>
        <w:tabs>
          <w:tab w:val="left" w:pos="1800" w:leader="none"/>
          <w:tab w:val="left" w:pos="5580" w:leader="none"/>
        </w:tabs>
        <w:rPr>
          <w:color w:val="000000"/>
          <w:sz w:val="24"/>
          <w:highlight w:val="none"/>
        </w:rPr>
      </w:pPr>
      <w:r>
        <w:rPr>
          <w:color w:val="000000"/>
          <w:sz w:val="24"/>
          <w:highlight w:val="none"/>
        </w:rPr>
        <w:t xml:space="preserve">注：</w:t>
      </w:r>
      <w:r>
        <w:rPr>
          <w:color w:val="000000"/>
          <w:sz w:val="24"/>
          <w:highlight w:val="none"/>
        </w:rPr>
      </w:r>
      <w:r/>
    </w:p>
    <w:p>
      <w:pPr>
        <w:pStyle w:val="1288"/>
        <w:jc w:val="left"/>
        <w:tabs>
          <w:tab w:val="left" w:pos="1800" w:leader="none"/>
          <w:tab w:val="left" w:pos="5580" w:leader="none"/>
        </w:tabs>
        <w:rPr>
          <w:color w:val="000000"/>
          <w:sz w:val="24"/>
          <w:highlight w:val="none"/>
        </w:rPr>
      </w:pPr>
      <w:r>
        <w:rPr>
          <w:rFonts w:hint="eastAsia"/>
          <w:color w:val="000000"/>
          <w:sz w:val="24"/>
          <w:highlight w:val="none"/>
        </w:rPr>
        <w:t xml:space="preserve">1</w:t>
      </w:r>
      <w:r>
        <w:rPr>
          <w:color w:val="000000"/>
          <w:sz w:val="24"/>
          <w:highlight w:val="none"/>
        </w:rPr>
        <w:t xml:space="preserve">. 对合同条款中的所有要求，除本表所列明的所有偏离外，均视作供应商已对之理解和</w:t>
      </w:r>
      <w:r>
        <w:rPr>
          <w:rFonts w:hint="eastAsia"/>
          <w:color w:val="000000"/>
          <w:sz w:val="24"/>
          <w:highlight w:val="none"/>
        </w:rPr>
        <w:t xml:space="preserve">响应</w:t>
      </w:r>
      <w:r>
        <w:rPr>
          <w:color w:val="000000"/>
          <w:sz w:val="24"/>
          <w:highlight w:val="none"/>
        </w:rPr>
        <w:t xml:space="preserve">。</w:t>
      </w:r>
      <w:r>
        <w:rPr>
          <w:color w:val="000000"/>
          <w:sz w:val="24"/>
          <w:highlight w:val="none"/>
        </w:rPr>
      </w:r>
      <w:r/>
    </w:p>
    <w:p>
      <w:pPr>
        <w:pStyle w:val="1288"/>
        <w:jc w:val="left"/>
        <w:tabs>
          <w:tab w:val="left" w:pos="1800" w:leader="none"/>
          <w:tab w:val="left" w:pos="5580" w:leader="none"/>
        </w:tabs>
        <w:rPr>
          <w:color w:val="000000"/>
          <w:sz w:val="24"/>
          <w:highlight w:val="none"/>
        </w:rPr>
      </w:pPr>
      <w:r>
        <w:rPr>
          <w:rFonts w:hint="eastAsia"/>
          <w:color w:val="000000"/>
          <w:sz w:val="24"/>
          <w:highlight w:val="none"/>
        </w:rPr>
        <w:t xml:space="preserve">2</w:t>
      </w:r>
      <w:r>
        <w:rPr>
          <w:color w:val="000000"/>
          <w:sz w:val="24"/>
          <w:highlight w:val="none"/>
        </w:rPr>
        <w:t xml:space="preserve">. </w:t>
      </w:r>
      <w:r>
        <w:rPr>
          <w:rFonts w:hint="eastAsia"/>
          <w:color w:val="000000"/>
          <w:sz w:val="24"/>
          <w:highlight w:val="none"/>
        </w:rPr>
        <w:t xml:space="preserve">“偏离情况”列应</w:t>
      </w:r>
      <w:r>
        <w:rPr>
          <w:color w:val="000000"/>
          <w:sz w:val="24"/>
          <w:highlight w:val="none"/>
        </w:rPr>
        <w:t xml:space="preserve">据实</w:t>
      </w:r>
      <w:r>
        <w:rPr>
          <w:rFonts w:hint="eastAsia"/>
          <w:color w:val="000000"/>
          <w:sz w:val="24"/>
          <w:highlight w:val="none"/>
        </w:rPr>
        <w:t xml:space="preserve">填写“正偏离”、“负偏离”。</w:t>
      </w:r>
      <w:r>
        <w:rPr>
          <w:color w:val="000000"/>
          <w:sz w:val="24"/>
          <w:highlight w:val="none"/>
        </w:rPr>
      </w:r>
      <w:r/>
    </w:p>
    <w:p>
      <w:pPr>
        <w:pStyle w:val="1288"/>
        <w:jc w:val="left"/>
        <w:tabs>
          <w:tab w:val="left" w:pos="1800" w:leader="none"/>
          <w:tab w:val="left" w:pos="5580" w:leader="none"/>
        </w:tabs>
        <w:rPr>
          <w:color w:val="000000"/>
          <w:sz w:val="24"/>
          <w:highlight w:val="none"/>
        </w:rPr>
      </w:pPr>
      <w:r>
        <w:rPr>
          <w:color w:val="000000"/>
          <w:sz w:val="24"/>
          <w:highlight w:val="none"/>
        </w:rPr>
      </w:r>
      <w:r/>
    </w:p>
    <w:p>
      <w:pPr>
        <w:pStyle w:val="1288"/>
        <w:jc w:val="left"/>
        <w:tabs>
          <w:tab w:val="left" w:pos="1800" w:leader="none"/>
          <w:tab w:val="left" w:pos="5580" w:leader="none"/>
        </w:tabs>
        <w:rPr>
          <w:color w:val="000000"/>
          <w:sz w:val="24"/>
          <w:highlight w:val="none"/>
        </w:rPr>
      </w:pPr>
      <w:r>
        <w:rPr>
          <w:color w:val="000000"/>
          <w:sz w:val="24"/>
          <w:highlight w:val="none"/>
        </w:rPr>
      </w:r>
      <w:r/>
    </w:p>
    <w:p>
      <w:pPr>
        <w:pStyle w:val="1288"/>
        <w:rPr>
          <w:color w:val="000000"/>
          <w:sz w:val="24"/>
          <w:szCs w:val="20"/>
          <w:highlight w:val="none"/>
        </w:rPr>
      </w:pPr>
      <w:r>
        <w:rPr>
          <w:color w:val="000000"/>
          <w:sz w:val="24"/>
          <w:szCs w:val="20"/>
          <w:highlight w:val="none"/>
        </w:rPr>
      </w:r>
      <w:r/>
    </w:p>
    <w:p>
      <w:pPr>
        <w:pStyle w:val="1288"/>
        <w:spacing w:before="25" w:after="25" w:line="360" w:lineRule="auto"/>
        <w:rPr>
          <w:color w:val="000000"/>
          <w:sz w:val="24"/>
          <w:highlight w:val="none"/>
          <w:lang w:val="zh-CN"/>
        </w:rPr>
      </w:pPr>
      <w:r>
        <w:rPr>
          <w:color w:val="000000"/>
          <w:sz w:val="24"/>
          <w:highlight w:val="none"/>
          <w:lang w:val="zh-CN"/>
        </w:rPr>
        <w:t xml:space="preserve">                  </w:t>
      </w:r>
      <w:r>
        <w:rPr>
          <w:color w:val="000000"/>
          <w:sz w:val="24"/>
          <w:highlight w:val="none"/>
          <w:lang w:val="zh-CN"/>
        </w:rPr>
      </w:r>
      <w:r/>
    </w:p>
    <w:p>
      <w:pPr>
        <w:pStyle w:val="1288"/>
        <w:spacing w:before="25" w:after="25" w:line="360" w:lineRule="auto"/>
        <w:rPr>
          <w:color w:val="000000"/>
          <w:sz w:val="24"/>
          <w:highlight w:val="none"/>
          <w:lang w:val="zh-CN"/>
        </w:rPr>
      </w:pPr>
      <w:r>
        <w:rPr>
          <w:color w:val="000000"/>
          <w:sz w:val="24"/>
          <w:highlight w:val="none"/>
        </w:rPr>
        <w:t xml:space="preserve">供应商名称（加盖公章）</w:t>
      </w:r>
      <w:r>
        <w:rPr>
          <w:color w:val="000000"/>
          <w:sz w:val="24"/>
          <w:highlight w:val="none"/>
          <w:lang w:val="zh-CN"/>
        </w:rPr>
        <w:t xml:space="preserve">：____________</w:t>
      </w:r>
      <w:r>
        <w:rPr>
          <w:color w:val="000000"/>
          <w:sz w:val="24"/>
          <w:highlight w:val="none"/>
          <w:lang w:val="zh-CN"/>
        </w:rPr>
      </w:r>
      <w:r/>
    </w:p>
    <w:p>
      <w:pPr>
        <w:pStyle w:val="1288"/>
        <w:spacing w:before="25" w:after="25" w:line="360" w:lineRule="auto"/>
        <w:rPr>
          <w:color w:val="000000"/>
          <w:sz w:val="24"/>
          <w:highlight w:val="none"/>
        </w:rPr>
      </w:pPr>
      <w:r/>
      <w:bookmarkStart w:id="903" w:name="OLE_LINK99"/>
      <w:r/>
      <w:bookmarkStart w:id="904" w:name="OLE_LINK100"/>
      <w:r>
        <w:rPr>
          <w:color w:val="000000"/>
          <w:sz w:val="24"/>
          <w:highlight w:val="none"/>
        </w:rPr>
        <w:t xml:space="preserve">日期：_____年______月______日   </w:t>
      </w:r>
      <w:r>
        <w:rPr>
          <w:color w:val="000000"/>
          <w:sz w:val="24"/>
          <w:highlight w:val="none"/>
        </w:rPr>
      </w:r>
      <w:r/>
    </w:p>
    <w:p>
      <w:pPr>
        <w:pStyle w:val="1288"/>
        <w:rPr>
          <w:color w:val="000000"/>
          <w:sz w:val="24"/>
          <w:szCs w:val="20"/>
          <w:highlight w:val="none"/>
        </w:rPr>
      </w:pPr>
      <w:r/>
      <w:bookmarkEnd w:id="903"/>
      <w:r/>
      <w:bookmarkEnd w:id="904"/>
      <w:r>
        <w:rPr>
          <w:color w:val="000000"/>
          <w:sz w:val="24"/>
          <w:szCs w:val="20"/>
          <w:highlight w:val="none"/>
        </w:rPr>
      </w:r>
      <w:r/>
    </w:p>
    <w:p>
      <w:pPr>
        <w:pStyle w:val="1288"/>
        <w:rPr>
          <w:color w:val="000000"/>
          <w:sz w:val="24"/>
          <w:szCs w:val="20"/>
          <w:highlight w:val="none"/>
        </w:rPr>
      </w:pPr>
      <w:r>
        <w:rPr>
          <w:color w:val="000000"/>
          <w:sz w:val="24"/>
          <w:szCs w:val="20"/>
          <w:highlight w:val="none"/>
        </w:rPr>
      </w:r>
      <w:r/>
    </w:p>
    <w:p>
      <w:pPr>
        <w:pStyle w:val="1288"/>
        <w:spacing w:line="360" w:lineRule="auto"/>
        <w:rPr>
          <w:color w:val="000000"/>
          <w:sz w:val="24"/>
          <w:szCs w:val="20"/>
          <w:highlight w:val="none"/>
        </w:rPr>
        <w:outlineLvl w:val="1"/>
      </w:pPr>
      <w:r>
        <w:rPr>
          <w:color w:val="000000"/>
          <w:sz w:val="24"/>
          <w:szCs w:val="20"/>
          <w:highlight w:val="none"/>
        </w:rPr>
        <w:br w:type="page" w:clear="all"/>
      </w:r>
      <w:bookmarkStart w:id="905" w:name="_Toc87538864"/>
      <w:r>
        <w:rPr>
          <w:rFonts w:hint="eastAsia"/>
          <w:color w:val="000000"/>
          <w:sz w:val="24"/>
          <w:szCs w:val="20"/>
          <w:highlight w:val="none"/>
        </w:rPr>
        <w:t xml:space="preserve">12项目完整技术和实施方案</w:t>
      </w:r>
      <w:r>
        <w:rPr>
          <w:color w:val="000000"/>
          <w:sz w:val="24"/>
          <w:szCs w:val="20"/>
          <w:highlight w:val="none"/>
        </w:rPr>
      </w:r>
      <w:r/>
    </w:p>
    <w:p>
      <w:pPr>
        <w:pStyle w:val="1288"/>
        <w:ind w:firstLine="480"/>
        <w:jc w:val="left"/>
        <w:spacing w:line="360" w:lineRule="auto"/>
        <w:tabs>
          <w:tab w:val="left" w:pos="1800" w:leader="none"/>
          <w:tab w:val="left" w:pos="5580" w:leader="none"/>
        </w:tabs>
        <w:rPr>
          <w:color w:val="000000"/>
          <w:sz w:val="24"/>
          <w:highlight w:val="none"/>
        </w:rPr>
      </w:pPr>
      <w:r>
        <w:rPr>
          <w:rFonts w:hint="eastAsia"/>
          <w:color w:val="000000"/>
          <w:sz w:val="24"/>
          <w:highlight w:val="none"/>
        </w:rPr>
        <w:t xml:space="preserve">本项目的完整的技术和实施方案，包括但不限于：项目技术、组织、实施方案；项目管理方案；拟达到的标准，配备的人员、设备配置等；培训方案、技术支持等方案；优惠条款或承诺；其他。</w:t>
      </w:r>
      <w:r>
        <w:rPr>
          <w:color w:val="000000"/>
          <w:sz w:val="24"/>
          <w:highlight w:val="none"/>
        </w:rPr>
      </w:r>
      <w:r/>
    </w:p>
    <w:p>
      <w:pPr>
        <w:pStyle w:val="1288"/>
        <w:rPr>
          <w:color w:val="000000"/>
          <w:highlight w:val="none"/>
        </w:rPr>
      </w:pPr>
      <w:r>
        <w:rPr>
          <w:color w:val="000000"/>
          <w:highlight w:val="none"/>
        </w:rPr>
      </w:r>
      <w:r/>
    </w:p>
    <w:p>
      <w:pPr>
        <w:pStyle w:val="1288"/>
        <w:spacing w:line="360" w:lineRule="auto"/>
        <w:rPr>
          <w:color w:val="000000"/>
          <w:sz w:val="24"/>
          <w:szCs w:val="20"/>
          <w:highlight w:val="none"/>
        </w:rPr>
        <w:outlineLvl w:val="1"/>
      </w:pPr>
      <w:r/>
      <w:bookmarkEnd w:id="905"/>
      <w:r>
        <w:rPr>
          <w:color w:val="000000"/>
          <w:sz w:val="24"/>
          <w:szCs w:val="20"/>
          <w:highlight w:val="none"/>
        </w:rPr>
        <w:br w:type="page" w:clear="all"/>
      </w:r>
      <w:r>
        <w:rPr>
          <w:rFonts w:hint="eastAsia"/>
          <w:color w:val="000000"/>
          <w:sz w:val="24"/>
          <w:szCs w:val="20"/>
          <w:highlight w:val="none"/>
        </w:rPr>
        <w:t xml:space="preserve">13  参加本项目人员一览表</w:t>
      </w:r>
      <w:r>
        <w:rPr>
          <w:color w:val="000000"/>
          <w:sz w:val="24"/>
          <w:szCs w:val="20"/>
          <w:highlight w:val="none"/>
        </w:rPr>
      </w:r>
      <w:r/>
    </w:p>
    <w:p>
      <w:pPr>
        <w:pStyle w:val="1288"/>
        <w:jc w:val="center"/>
        <w:spacing w:line="360" w:lineRule="auto"/>
        <w:rPr>
          <w:rFonts w:ascii="宋体" w:hAnsi="宋体"/>
          <w:b/>
          <w:color w:val="000000"/>
          <w:sz w:val="32"/>
          <w:szCs w:val="32"/>
          <w:highlight w:val="none"/>
        </w:rPr>
      </w:pPr>
      <w:r>
        <w:rPr>
          <w:rFonts w:ascii="宋体" w:hAnsi="宋体"/>
          <w:b/>
          <w:color w:val="000000"/>
          <w:sz w:val="32"/>
          <w:szCs w:val="32"/>
          <w:highlight w:val="none"/>
        </w:rPr>
      </w:r>
      <w:r/>
    </w:p>
    <w:p>
      <w:pPr>
        <w:pStyle w:val="1288"/>
        <w:jc w:val="center"/>
        <w:spacing w:line="360" w:lineRule="auto"/>
        <w:rPr>
          <w:rFonts w:ascii="宋体" w:hAnsi="宋体"/>
          <w:b/>
          <w:color w:val="000000"/>
          <w:sz w:val="32"/>
          <w:szCs w:val="32"/>
          <w:highlight w:val="none"/>
        </w:rPr>
      </w:pPr>
      <w:r>
        <w:rPr>
          <w:rFonts w:hint="eastAsia" w:ascii="宋体" w:hAnsi="宋体"/>
          <w:b/>
          <w:color w:val="000000"/>
          <w:sz w:val="32"/>
          <w:szCs w:val="32"/>
          <w:highlight w:val="none"/>
        </w:rPr>
        <w:t xml:space="preserve">参加本项目人员一览表</w:t>
      </w:r>
      <w:r>
        <w:rPr>
          <w:rFonts w:ascii="宋体" w:hAnsi="宋体"/>
          <w:b/>
          <w:color w:val="000000"/>
          <w:sz w:val="32"/>
          <w:szCs w:val="32"/>
          <w:highlight w:val="none"/>
        </w:rPr>
      </w:r>
      <w:r/>
    </w:p>
    <w:p>
      <w:pPr>
        <w:pStyle w:val="1288"/>
        <w:spacing w:line="360" w:lineRule="auto"/>
        <w:rPr>
          <w:rFonts w:ascii="宋体" w:hAnsi="宋体"/>
          <w:color w:val="000000"/>
          <w:sz w:val="22"/>
          <w:highlight w:val="none"/>
        </w:rPr>
      </w:pPr>
      <w:r>
        <w:rPr>
          <w:rFonts w:ascii="宋体" w:hAnsi="宋体"/>
          <w:color w:val="000000"/>
          <w:sz w:val="22"/>
          <w:highlight w:val="none"/>
        </w:rPr>
      </w:r>
      <w:r/>
    </w:p>
    <w:p>
      <w:pPr>
        <w:pStyle w:val="1288"/>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项目编号：</w:t>
      </w:r>
      <w:r>
        <w:rPr>
          <w:rFonts w:hint="eastAsia" w:ascii="宋体" w:hAnsi="宋体" w:cs="宋体"/>
          <w:color w:val="000000"/>
          <w:sz w:val="24"/>
          <w:highlight w:val="none"/>
          <w:u w:val="single"/>
        </w:rPr>
        <w:t xml:space="preserve">                     </w:t>
      </w:r>
      <w:r>
        <w:rPr>
          <w:rFonts w:ascii="宋体" w:hAnsi="宋体" w:cs="宋体"/>
          <w:color w:val="000000"/>
          <w:sz w:val="24"/>
          <w:highlight w:val="none"/>
        </w:rPr>
      </w:r>
      <w:r/>
    </w:p>
    <w:tbl>
      <w:tblPr>
        <w:tblW w:w="5000" w:type="pct"/>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1161"/>
        <w:gridCol w:w="1161"/>
        <w:gridCol w:w="1161"/>
        <w:gridCol w:w="1161"/>
        <w:gridCol w:w="1161"/>
        <w:gridCol w:w="1161"/>
        <w:gridCol w:w="1161"/>
        <w:gridCol w:w="1161"/>
      </w:tblGrid>
      <w:tr>
        <w:trPr/>
        <w:tc>
          <w:tcPr>
            <w:tcW w:w="625" w:type="dxa"/>
            <w:vAlign w:val="center"/>
            <w:textDirection w:val="lrTb"/>
            <w:noWrap w:val="false"/>
          </w:tcPr>
          <w:p>
            <w:pPr>
              <w:pStyle w:val="1288"/>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序号</w:t>
            </w:r>
            <w:r>
              <w:rPr>
                <w:rFonts w:ascii="宋体" w:hAnsi="宋体" w:cs="宋体"/>
                <w:color w:val="000000"/>
                <w:sz w:val="24"/>
                <w:highlight w:val="none"/>
              </w:rPr>
            </w:r>
            <w:r/>
          </w:p>
        </w:tc>
        <w:tc>
          <w:tcPr>
            <w:tcW w:w="625" w:type="dxa"/>
            <w:vAlign w:val="center"/>
            <w:textDirection w:val="lrTb"/>
            <w:noWrap w:val="false"/>
          </w:tcPr>
          <w:p>
            <w:pPr>
              <w:pStyle w:val="1288"/>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姓名</w:t>
            </w:r>
            <w:r>
              <w:rPr>
                <w:rFonts w:ascii="宋体" w:hAnsi="宋体" w:cs="宋体"/>
                <w:color w:val="000000"/>
                <w:sz w:val="24"/>
                <w:highlight w:val="none"/>
              </w:rPr>
            </w:r>
            <w:r/>
          </w:p>
        </w:tc>
        <w:tc>
          <w:tcPr>
            <w:tcW w:w="625" w:type="dxa"/>
            <w:vAlign w:val="center"/>
            <w:textDirection w:val="lrTb"/>
            <w:noWrap w:val="false"/>
          </w:tcPr>
          <w:p>
            <w:pPr>
              <w:pStyle w:val="1288"/>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性别</w:t>
            </w:r>
            <w:r>
              <w:rPr>
                <w:rFonts w:ascii="宋体" w:hAnsi="宋体" w:cs="宋体"/>
                <w:color w:val="000000"/>
                <w:sz w:val="24"/>
                <w:highlight w:val="none"/>
              </w:rPr>
            </w:r>
            <w:r/>
          </w:p>
        </w:tc>
        <w:tc>
          <w:tcPr>
            <w:tcW w:w="625" w:type="dxa"/>
            <w:vAlign w:val="center"/>
            <w:textDirection w:val="lrTb"/>
            <w:noWrap w:val="false"/>
          </w:tcPr>
          <w:p>
            <w:pPr>
              <w:pStyle w:val="1288"/>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学历</w:t>
            </w:r>
            <w:r>
              <w:rPr>
                <w:rFonts w:ascii="宋体" w:hAnsi="宋体" w:cs="宋体"/>
                <w:color w:val="000000"/>
                <w:sz w:val="24"/>
                <w:highlight w:val="none"/>
              </w:rPr>
            </w:r>
            <w:r/>
          </w:p>
        </w:tc>
        <w:tc>
          <w:tcPr>
            <w:tcW w:w="625" w:type="dxa"/>
            <w:vAlign w:val="center"/>
            <w:textDirection w:val="lrTb"/>
            <w:noWrap w:val="false"/>
          </w:tcPr>
          <w:p>
            <w:pPr>
              <w:pStyle w:val="1288"/>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专业</w:t>
            </w:r>
            <w:r>
              <w:rPr>
                <w:rFonts w:ascii="宋体" w:hAnsi="宋体" w:cs="宋体"/>
                <w:color w:val="000000"/>
                <w:sz w:val="24"/>
                <w:highlight w:val="none"/>
              </w:rPr>
            </w:r>
            <w:r/>
          </w:p>
        </w:tc>
        <w:tc>
          <w:tcPr>
            <w:tcW w:w="625" w:type="dxa"/>
            <w:vAlign w:val="center"/>
            <w:textDirection w:val="lrTb"/>
            <w:noWrap w:val="false"/>
          </w:tcPr>
          <w:p>
            <w:pPr>
              <w:pStyle w:val="1288"/>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职称</w:t>
            </w:r>
            <w:r>
              <w:rPr>
                <w:rFonts w:ascii="宋体" w:hAnsi="宋体" w:cs="宋体"/>
                <w:color w:val="000000"/>
                <w:sz w:val="24"/>
                <w:highlight w:val="none"/>
              </w:rPr>
            </w:r>
            <w:r/>
          </w:p>
        </w:tc>
        <w:tc>
          <w:tcPr>
            <w:tcW w:w="625" w:type="dxa"/>
            <w:vAlign w:val="center"/>
            <w:textDirection w:val="lrTb"/>
            <w:noWrap w:val="false"/>
          </w:tcPr>
          <w:p>
            <w:pPr>
              <w:pStyle w:val="1288"/>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责任</w:t>
            </w:r>
            <w:r>
              <w:rPr>
                <w:rFonts w:ascii="宋体" w:hAnsi="宋体" w:cs="宋体"/>
                <w:color w:val="000000"/>
                <w:sz w:val="24"/>
                <w:highlight w:val="none"/>
              </w:rPr>
            </w:r>
            <w:r/>
          </w:p>
          <w:p>
            <w:pPr>
              <w:pStyle w:val="1288"/>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或分工</w:t>
            </w:r>
            <w:r>
              <w:rPr>
                <w:rFonts w:ascii="宋体" w:hAnsi="宋体" w:cs="宋体"/>
                <w:color w:val="000000"/>
                <w:sz w:val="24"/>
                <w:highlight w:val="none"/>
              </w:rPr>
            </w:r>
            <w:r/>
          </w:p>
        </w:tc>
        <w:tc>
          <w:tcPr>
            <w:tcW w:w="625" w:type="dxa"/>
            <w:vAlign w:val="top"/>
            <w:textDirection w:val="lrTb"/>
            <w:noWrap w:val="false"/>
          </w:tcPr>
          <w:p>
            <w:pPr>
              <w:pStyle w:val="1288"/>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备注</w:t>
            </w:r>
            <w:r>
              <w:rPr>
                <w:rFonts w:ascii="宋体" w:hAnsi="宋体" w:cs="宋体"/>
                <w:color w:val="000000"/>
                <w:sz w:val="24"/>
                <w:highlight w:val="none"/>
              </w:rPr>
            </w:r>
            <w:r/>
          </w:p>
        </w:tc>
      </w:tr>
      <w:tr>
        <w:trPr/>
        <w:tc>
          <w:tcPr>
            <w:tcW w:w="625" w:type="dxa"/>
            <w:vAlign w:val="top"/>
            <w:textDirection w:val="lrTb"/>
            <w:noWrap w:val="false"/>
          </w:tcPr>
          <w:p>
            <w:pPr>
              <w:pStyle w:val="128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625" w:type="dxa"/>
            <w:vAlign w:val="top"/>
            <w:textDirection w:val="lrTb"/>
            <w:noWrap w:val="false"/>
          </w:tcPr>
          <w:p>
            <w:pPr>
              <w:pStyle w:val="128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625" w:type="dxa"/>
            <w:vAlign w:val="top"/>
            <w:textDirection w:val="lrTb"/>
            <w:noWrap w:val="false"/>
          </w:tcPr>
          <w:p>
            <w:pPr>
              <w:pStyle w:val="128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625" w:type="dxa"/>
            <w:vAlign w:val="top"/>
            <w:textDirection w:val="lrTb"/>
            <w:noWrap w:val="false"/>
          </w:tcPr>
          <w:p>
            <w:pPr>
              <w:pStyle w:val="128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625" w:type="dxa"/>
            <w:vAlign w:val="top"/>
            <w:textDirection w:val="lrTb"/>
            <w:noWrap w:val="false"/>
          </w:tcPr>
          <w:p>
            <w:pPr>
              <w:pStyle w:val="128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625" w:type="dxa"/>
            <w:vAlign w:val="top"/>
            <w:textDirection w:val="lrTb"/>
            <w:noWrap w:val="false"/>
          </w:tcPr>
          <w:p>
            <w:pPr>
              <w:pStyle w:val="128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625" w:type="dxa"/>
            <w:vAlign w:val="top"/>
            <w:textDirection w:val="lrTb"/>
            <w:noWrap w:val="false"/>
          </w:tcPr>
          <w:p>
            <w:pPr>
              <w:pStyle w:val="128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625" w:type="dxa"/>
            <w:vAlign w:val="top"/>
            <w:textDirection w:val="lrTb"/>
            <w:noWrap w:val="false"/>
          </w:tcPr>
          <w:p>
            <w:pPr>
              <w:pStyle w:val="128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625" w:type="dxa"/>
            <w:vAlign w:val="top"/>
            <w:textDirection w:val="lrTb"/>
            <w:noWrap w:val="false"/>
          </w:tcPr>
          <w:p>
            <w:pPr>
              <w:pStyle w:val="128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625" w:type="dxa"/>
            <w:vAlign w:val="top"/>
            <w:textDirection w:val="lrTb"/>
            <w:noWrap w:val="false"/>
          </w:tcPr>
          <w:p>
            <w:pPr>
              <w:pStyle w:val="128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625" w:type="dxa"/>
            <w:vAlign w:val="top"/>
            <w:textDirection w:val="lrTb"/>
            <w:noWrap w:val="false"/>
          </w:tcPr>
          <w:p>
            <w:pPr>
              <w:pStyle w:val="128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625" w:type="dxa"/>
            <w:vAlign w:val="top"/>
            <w:textDirection w:val="lrTb"/>
            <w:noWrap w:val="false"/>
          </w:tcPr>
          <w:p>
            <w:pPr>
              <w:pStyle w:val="128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625" w:type="dxa"/>
            <w:vAlign w:val="top"/>
            <w:textDirection w:val="lrTb"/>
            <w:noWrap w:val="false"/>
          </w:tcPr>
          <w:p>
            <w:pPr>
              <w:pStyle w:val="128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625" w:type="dxa"/>
            <w:vAlign w:val="top"/>
            <w:textDirection w:val="lrTb"/>
            <w:noWrap w:val="false"/>
          </w:tcPr>
          <w:p>
            <w:pPr>
              <w:pStyle w:val="128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625" w:type="dxa"/>
            <w:vAlign w:val="top"/>
            <w:textDirection w:val="lrTb"/>
            <w:noWrap w:val="false"/>
          </w:tcPr>
          <w:p>
            <w:pPr>
              <w:pStyle w:val="128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625" w:type="dxa"/>
            <w:vAlign w:val="top"/>
            <w:textDirection w:val="lrTb"/>
            <w:noWrap w:val="false"/>
          </w:tcPr>
          <w:p>
            <w:pPr>
              <w:pStyle w:val="128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625" w:type="dxa"/>
            <w:vAlign w:val="top"/>
            <w:textDirection w:val="lrTb"/>
            <w:noWrap w:val="false"/>
          </w:tcPr>
          <w:p>
            <w:pPr>
              <w:pStyle w:val="128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625" w:type="dxa"/>
            <w:vAlign w:val="top"/>
            <w:textDirection w:val="lrTb"/>
            <w:noWrap w:val="false"/>
          </w:tcPr>
          <w:p>
            <w:pPr>
              <w:pStyle w:val="128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625" w:type="dxa"/>
            <w:vAlign w:val="top"/>
            <w:textDirection w:val="lrTb"/>
            <w:noWrap w:val="false"/>
          </w:tcPr>
          <w:p>
            <w:pPr>
              <w:pStyle w:val="128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625" w:type="dxa"/>
            <w:vAlign w:val="top"/>
            <w:textDirection w:val="lrTb"/>
            <w:noWrap w:val="false"/>
          </w:tcPr>
          <w:p>
            <w:pPr>
              <w:pStyle w:val="128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625" w:type="dxa"/>
            <w:vAlign w:val="top"/>
            <w:textDirection w:val="lrTb"/>
            <w:noWrap w:val="false"/>
          </w:tcPr>
          <w:p>
            <w:pPr>
              <w:pStyle w:val="128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625" w:type="dxa"/>
            <w:vAlign w:val="top"/>
            <w:textDirection w:val="lrTb"/>
            <w:noWrap w:val="false"/>
          </w:tcPr>
          <w:p>
            <w:pPr>
              <w:pStyle w:val="128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625" w:type="dxa"/>
            <w:vAlign w:val="top"/>
            <w:textDirection w:val="lrTb"/>
            <w:noWrap w:val="false"/>
          </w:tcPr>
          <w:p>
            <w:pPr>
              <w:pStyle w:val="128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625" w:type="dxa"/>
            <w:vAlign w:val="top"/>
            <w:textDirection w:val="lrTb"/>
            <w:noWrap w:val="false"/>
          </w:tcPr>
          <w:p>
            <w:pPr>
              <w:pStyle w:val="128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625" w:type="dxa"/>
            <w:vAlign w:val="top"/>
            <w:textDirection w:val="lrTb"/>
            <w:noWrap w:val="false"/>
          </w:tcPr>
          <w:p>
            <w:pPr>
              <w:pStyle w:val="128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625" w:type="dxa"/>
            <w:vAlign w:val="top"/>
            <w:textDirection w:val="lrTb"/>
            <w:noWrap w:val="false"/>
          </w:tcPr>
          <w:p>
            <w:pPr>
              <w:pStyle w:val="128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625" w:type="dxa"/>
            <w:vAlign w:val="top"/>
            <w:textDirection w:val="lrTb"/>
            <w:noWrap w:val="false"/>
          </w:tcPr>
          <w:p>
            <w:pPr>
              <w:pStyle w:val="128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625" w:type="dxa"/>
            <w:vAlign w:val="top"/>
            <w:textDirection w:val="lrTb"/>
            <w:noWrap w:val="false"/>
          </w:tcPr>
          <w:p>
            <w:pPr>
              <w:pStyle w:val="128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625" w:type="dxa"/>
            <w:vAlign w:val="top"/>
            <w:textDirection w:val="lrTb"/>
            <w:noWrap w:val="false"/>
          </w:tcPr>
          <w:p>
            <w:pPr>
              <w:pStyle w:val="128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625" w:type="dxa"/>
            <w:vAlign w:val="top"/>
            <w:textDirection w:val="lrTb"/>
            <w:noWrap w:val="false"/>
          </w:tcPr>
          <w:p>
            <w:pPr>
              <w:pStyle w:val="128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625" w:type="dxa"/>
            <w:vAlign w:val="top"/>
            <w:textDirection w:val="lrTb"/>
            <w:noWrap w:val="false"/>
          </w:tcPr>
          <w:p>
            <w:pPr>
              <w:pStyle w:val="128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625" w:type="dxa"/>
            <w:vAlign w:val="top"/>
            <w:textDirection w:val="lrTb"/>
            <w:noWrap w:val="false"/>
          </w:tcPr>
          <w:p>
            <w:pPr>
              <w:pStyle w:val="128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625" w:type="dxa"/>
            <w:vAlign w:val="top"/>
            <w:textDirection w:val="lrTb"/>
            <w:noWrap w:val="false"/>
          </w:tcPr>
          <w:p>
            <w:pPr>
              <w:pStyle w:val="128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625" w:type="dxa"/>
            <w:vAlign w:val="top"/>
            <w:textDirection w:val="lrTb"/>
            <w:noWrap w:val="false"/>
          </w:tcPr>
          <w:p>
            <w:pPr>
              <w:pStyle w:val="128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625" w:type="dxa"/>
            <w:vAlign w:val="top"/>
            <w:textDirection w:val="lrTb"/>
            <w:noWrap w:val="false"/>
          </w:tcPr>
          <w:p>
            <w:pPr>
              <w:pStyle w:val="128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625" w:type="dxa"/>
            <w:vAlign w:val="top"/>
            <w:textDirection w:val="lrTb"/>
            <w:noWrap w:val="false"/>
          </w:tcPr>
          <w:p>
            <w:pPr>
              <w:pStyle w:val="128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625" w:type="dxa"/>
            <w:vAlign w:val="top"/>
            <w:textDirection w:val="lrTb"/>
            <w:noWrap w:val="false"/>
          </w:tcPr>
          <w:p>
            <w:pPr>
              <w:pStyle w:val="128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625" w:type="dxa"/>
            <w:vAlign w:val="top"/>
            <w:textDirection w:val="lrTb"/>
            <w:noWrap w:val="false"/>
          </w:tcPr>
          <w:p>
            <w:pPr>
              <w:pStyle w:val="128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625" w:type="dxa"/>
            <w:vAlign w:val="top"/>
            <w:textDirection w:val="lrTb"/>
            <w:noWrap w:val="false"/>
          </w:tcPr>
          <w:p>
            <w:pPr>
              <w:pStyle w:val="128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625" w:type="dxa"/>
            <w:vAlign w:val="top"/>
            <w:textDirection w:val="lrTb"/>
            <w:noWrap w:val="false"/>
          </w:tcPr>
          <w:p>
            <w:pPr>
              <w:pStyle w:val="128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625" w:type="dxa"/>
            <w:vAlign w:val="top"/>
            <w:textDirection w:val="lrTb"/>
            <w:noWrap w:val="false"/>
          </w:tcPr>
          <w:p>
            <w:pPr>
              <w:pStyle w:val="128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625" w:type="dxa"/>
            <w:vAlign w:val="top"/>
            <w:textDirection w:val="lrTb"/>
            <w:noWrap w:val="false"/>
          </w:tcPr>
          <w:p>
            <w:pPr>
              <w:pStyle w:val="128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625" w:type="dxa"/>
            <w:vAlign w:val="top"/>
            <w:textDirection w:val="lrTb"/>
            <w:noWrap w:val="false"/>
          </w:tcPr>
          <w:p>
            <w:pPr>
              <w:pStyle w:val="128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625" w:type="dxa"/>
            <w:vAlign w:val="top"/>
            <w:textDirection w:val="lrTb"/>
            <w:noWrap w:val="false"/>
          </w:tcPr>
          <w:p>
            <w:pPr>
              <w:pStyle w:val="128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625" w:type="dxa"/>
            <w:vAlign w:val="top"/>
            <w:textDirection w:val="lrTb"/>
            <w:noWrap w:val="false"/>
          </w:tcPr>
          <w:p>
            <w:pPr>
              <w:pStyle w:val="128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625" w:type="dxa"/>
            <w:vAlign w:val="top"/>
            <w:textDirection w:val="lrTb"/>
            <w:noWrap w:val="false"/>
          </w:tcPr>
          <w:p>
            <w:pPr>
              <w:pStyle w:val="128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625" w:type="dxa"/>
            <w:vAlign w:val="top"/>
            <w:textDirection w:val="lrTb"/>
            <w:noWrap w:val="false"/>
          </w:tcPr>
          <w:p>
            <w:pPr>
              <w:pStyle w:val="128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625" w:type="dxa"/>
            <w:vAlign w:val="top"/>
            <w:textDirection w:val="lrTb"/>
            <w:noWrap w:val="false"/>
          </w:tcPr>
          <w:p>
            <w:pPr>
              <w:pStyle w:val="128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bl>
    <w:p>
      <w:pPr>
        <w:pStyle w:val="1288"/>
        <w:tabs>
          <w:tab w:val="left" w:pos="9765" w:leader="none"/>
        </w:tabs>
        <w:rPr>
          <w:rFonts w:ascii="宋体" w:hAnsi="宋体" w:cs="宋体"/>
          <w:b/>
          <w:color w:val="000000"/>
          <w:sz w:val="24"/>
          <w:highlight w:val="none"/>
          <w:lang w:val="zh-CN"/>
        </w:rPr>
      </w:pPr>
      <w:r>
        <w:rPr>
          <w:rFonts w:ascii="宋体" w:hAnsi="宋体" w:cs="宋体"/>
          <w:b/>
          <w:color w:val="000000"/>
          <w:sz w:val="24"/>
          <w:highlight w:val="none"/>
          <w:lang w:val="zh-CN"/>
        </w:rPr>
      </w:r>
      <w:r/>
    </w:p>
    <w:p>
      <w:pPr>
        <w:pStyle w:val="1288"/>
        <w:spacing w:line="360" w:lineRule="auto"/>
        <w:tabs>
          <w:tab w:val="left" w:pos="9765" w:leader="none"/>
        </w:tabs>
        <w:rPr>
          <w:rFonts w:ascii="宋体" w:hAnsi="宋体" w:cs="宋体"/>
          <w:b/>
          <w:color w:val="000000"/>
          <w:sz w:val="24"/>
          <w:highlight w:val="none"/>
          <w:lang w:val="zh-CN"/>
        </w:rPr>
      </w:pPr>
      <w:r>
        <w:rPr>
          <w:rFonts w:hint="eastAsia" w:ascii="宋体" w:hAnsi="宋体" w:cs="宋体"/>
          <w:b/>
          <w:color w:val="000000"/>
          <w:sz w:val="24"/>
          <w:highlight w:val="none"/>
          <w:lang w:val="zh-CN"/>
        </w:rPr>
        <w:t xml:space="preserve">注：参加本项目人员须是供应商正式职工。</w:t>
      </w:r>
      <w:r>
        <w:rPr>
          <w:rFonts w:ascii="宋体" w:hAnsi="宋体" w:cs="宋体"/>
          <w:b/>
          <w:color w:val="000000"/>
          <w:sz w:val="24"/>
          <w:highlight w:val="none"/>
          <w:lang w:val="zh-CN"/>
        </w:rPr>
      </w:r>
      <w:r/>
    </w:p>
    <w:p>
      <w:pPr>
        <w:pStyle w:val="1288"/>
        <w:spacing w:line="360" w:lineRule="auto"/>
        <w:rPr>
          <w:rFonts w:ascii="宋体" w:hAnsi="宋体"/>
          <w:color w:val="000000"/>
          <w:sz w:val="24"/>
          <w:highlight w:val="none"/>
        </w:rPr>
      </w:pPr>
      <w:r>
        <w:rPr>
          <w:rFonts w:ascii="宋体" w:hAnsi="宋体"/>
          <w:color w:val="000000"/>
          <w:sz w:val="24"/>
          <w:highlight w:val="none"/>
        </w:rPr>
      </w:r>
      <w:r/>
    </w:p>
    <w:p>
      <w:pPr>
        <w:pStyle w:val="1288"/>
        <w:spacing w:before="25" w:after="25" w:line="360" w:lineRule="auto"/>
        <w:rPr>
          <w:color w:val="000000"/>
          <w:sz w:val="24"/>
          <w:highlight w:val="none"/>
          <w:lang w:val="zh-CN"/>
        </w:rPr>
      </w:pPr>
      <w:r>
        <w:rPr>
          <w:color w:val="000000"/>
          <w:sz w:val="24"/>
          <w:highlight w:val="none"/>
        </w:rPr>
        <w:t xml:space="preserve">供应商名称（加盖公章）</w:t>
      </w:r>
      <w:r>
        <w:rPr>
          <w:color w:val="000000"/>
          <w:sz w:val="24"/>
          <w:highlight w:val="none"/>
          <w:lang w:val="zh-CN"/>
        </w:rPr>
        <w:t xml:space="preserve">：___________</w:t>
      </w:r>
      <w:r>
        <w:rPr>
          <w:color w:val="000000"/>
          <w:sz w:val="24"/>
          <w:highlight w:val="none"/>
          <w:lang w:val="zh-CN"/>
        </w:rPr>
      </w:r>
      <w:r/>
    </w:p>
    <w:p>
      <w:pPr>
        <w:pStyle w:val="1288"/>
        <w:spacing w:before="25" w:after="25" w:line="360" w:lineRule="auto"/>
        <w:rPr>
          <w:color w:val="000000"/>
          <w:sz w:val="24"/>
          <w:highlight w:val="none"/>
        </w:rPr>
      </w:pPr>
      <w:r>
        <w:rPr>
          <w:color w:val="000000"/>
          <w:sz w:val="24"/>
          <w:highlight w:val="none"/>
        </w:rPr>
        <w:t xml:space="preserve">日期：_____年______月______日</w:t>
      </w:r>
      <w:r>
        <w:rPr>
          <w:color w:val="000000"/>
          <w:sz w:val="24"/>
          <w:highlight w:val="none"/>
        </w:rPr>
      </w:r>
      <w:r/>
    </w:p>
    <w:p>
      <w:pPr>
        <w:pStyle w:val="1288"/>
        <w:spacing w:line="360" w:lineRule="auto"/>
        <w:rPr>
          <w:color w:val="000000"/>
          <w:sz w:val="24"/>
          <w:szCs w:val="20"/>
          <w:highlight w:val="none"/>
        </w:rPr>
        <w:outlineLvl w:val="1"/>
      </w:pPr>
      <w:r>
        <w:rPr>
          <w:color w:val="000000"/>
          <w:sz w:val="24"/>
          <w:highlight w:val="none"/>
        </w:rPr>
        <w:br w:type="page" w:clear="all"/>
      </w:r>
      <w:bookmarkStart w:id="906" w:name="_Toc288738397"/>
      <w:r/>
      <w:bookmarkStart w:id="907" w:name="_Toc288738839"/>
      <w:r>
        <w:rPr>
          <w:rFonts w:hint="eastAsia"/>
          <w:color w:val="000000"/>
          <w:sz w:val="24"/>
          <w:szCs w:val="20"/>
          <w:highlight w:val="none"/>
        </w:rPr>
        <w:t xml:space="preserve">1</w:t>
      </w:r>
      <w:bookmarkStart w:id="908" w:name="OLE_LINK102"/>
      <w:r/>
      <w:bookmarkStart w:id="909" w:name="OLE_LINK103"/>
      <w:r>
        <w:rPr>
          <w:rFonts w:hint="eastAsia"/>
          <w:color w:val="000000"/>
          <w:sz w:val="24"/>
          <w:szCs w:val="20"/>
          <w:highlight w:val="none"/>
        </w:rPr>
        <w:t xml:space="preserve">4</w:t>
      </w:r>
      <w:bookmarkEnd w:id="908"/>
      <w:r/>
      <w:bookmarkEnd w:id="909"/>
      <w:r>
        <w:rPr>
          <w:rFonts w:hint="eastAsia"/>
          <w:color w:val="000000"/>
          <w:sz w:val="24"/>
          <w:szCs w:val="20"/>
          <w:highlight w:val="none"/>
        </w:rPr>
        <w:t xml:space="preserve"> 相关业绩案例一览表</w:t>
      </w:r>
      <w:r>
        <w:rPr>
          <w:color w:val="000000"/>
          <w:sz w:val="24"/>
          <w:szCs w:val="20"/>
          <w:highlight w:val="none"/>
        </w:rPr>
      </w:r>
      <w:r/>
    </w:p>
    <w:p>
      <w:pPr>
        <w:pStyle w:val="1288"/>
        <w:rPr>
          <w:color w:val="000000"/>
          <w:sz w:val="24"/>
          <w:szCs w:val="20"/>
          <w:highlight w:val="none"/>
        </w:rPr>
      </w:pPr>
      <w:r>
        <w:rPr>
          <w:color w:val="000000"/>
          <w:sz w:val="24"/>
          <w:szCs w:val="20"/>
          <w:highlight w:val="none"/>
        </w:rPr>
      </w:r>
      <w:r/>
    </w:p>
    <w:p>
      <w:pPr>
        <w:pStyle w:val="1288"/>
        <w:jc w:val="center"/>
        <w:rPr>
          <w:rFonts w:ascii="宋体" w:hAnsi="宋体"/>
          <w:b/>
          <w:color w:val="000000"/>
          <w:sz w:val="32"/>
          <w:szCs w:val="32"/>
          <w:highlight w:val="none"/>
        </w:rPr>
      </w:pPr>
      <w:r>
        <w:rPr>
          <w:rFonts w:hint="eastAsia" w:ascii="宋体" w:hAnsi="宋体"/>
          <w:b/>
          <w:color w:val="000000"/>
          <w:sz w:val="32"/>
          <w:szCs w:val="32"/>
          <w:highlight w:val="none"/>
        </w:rPr>
        <w:t xml:space="preserve">相关业绩案例一览表</w:t>
      </w:r>
      <w:bookmarkEnd w:id="906"/>
      <w:r/>
      <w:bookmarkEnd w:id="907"/>
      <w:r>
        <w:rPr>
          <w:rFonts w:ascii="宋体" w:hAnsi="宋体"/>
          <w:b/>
          <w:color w:val="000000"/>
          <w:sz w:val="32"/>
          <w:szCs w:val="32"/>
          <w:highlight w:val="none"/>
        </w:rPr>
      </w:r>
      <w:r/>
    </w:p>
    <w:p>
      <w:pPr>
        <w:pStyle w:val="1288"/>
        <w:jc w:val="center"/>
        <w:spacing w:line="360" w:lineRule="auto"/>
        <w:rPr>
          <w:rFonts w:ascii="宋体" w:hAnsi="宋体"/>
          <w:b/>
          <w:color w:val="000000"/>
          <w:sz w:val="28"/>
          <w:szCs w:val="30"/>
          <w:highlight w:val="none"/>
        </w:rPr>
      </w:pPr>
      <w:r>
        <w:rPr>
          <w:rFonts w:ascii="宋体" w:hAnsi="宋体"/>
          <w:b/>
          <w:color w:val="000000"/>
          <w:sz w:val="28"/>
          <w:szCs w:val="30"/>
          <w:highlight w:val="none"/>
        </w:rPr>
      </w:r>
      <w:r/>
    </w:p>
    <w:p>
      <w:pPr>
        <w:pStyle w:val="1288"/>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项目编号：</w:t>
      </w:r>
      <w:r>
        <w:rPr>
          <w:rFonts w:hint="eastAsia" w:ascii="宋体" w:hAnsi="宋体" w:cs="宋体"/>
          <w:color w:val="000000"/>
          <w:sz w:val="24"/>
          <w:highlight w:val="none"/>
          <w:u w:val="single"/>
        </w:rPr>
        <w:t xml:space="preserve">                   </w:t>
      </w:r>
      <w:r>
        <w:rPr>
          <w:rFonts w:ascii="宋体" w:hAnsi="宋体" w:cs="宋体"/>
          <w:color w:val="000000"/>
          <w:sz w:val="24"/>
          <w:highlight w:val="none"/>
        </w:rPr>
      </w:r>
      <w:r/>
    </w:p>
    <w:tbl>
      <w:tblPr>
        <w:tblW w:w="5000" w:type="pct"/>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1383"/>
        <w:gridCol w:w="1809"/>
        <w:gridCol w:w="1637"/>
        <w:gridCol w:w="1839"/>
        <w:gridCol w:w="1310"/>
        <w:gridCol w:w="1310"/>
      </w:tblGrid>
      <w:tr>
        <w:trPr>
          <w:trHeight w:val="498"/>
        </w:trPr>
        <w:tc>
          <w:tcPr>
            <w:tcBorders>
              <w:top w:val="single" w:color="000000" w:sz="6" w:space="0"/>
              <w:left w:val="single" w:color="000000" w:sz="6" w:space="0"/>
              <w:bottom w:val="single" w:color="000000" w:sz="6" w:space="0"/>
              <w:right w:val="single" w:color="000000" w:sz="6" w:space="0"/>
            </w:tcBorders>
            <w:tcW w:w="745" w:type="dxa"/>
            <w:vAlign w:val="center"/>
            <w:textDirection w:val="lrTb"/>
            <w:noWrap w:val="false"/>
          </w:tcPr>
          <w:p>
            <w:pPr>
              <w:pStyle w:val="1288"/>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序号</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974" w:type="dxa"/>
            <w:vAlign w:val="center"/>
            <w:textDirection w:val="lrTb"/>
            <w:noWrap w:val="false"/>
          </w:tcPr>
          <w:p>
            <w:pPr>
              <w:pStyle w:val="1288"/>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项目甲方单位</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881" w:type="dxa"/>
            <w:vAlign w:val="center"/>
            <w:textDirection w:val="lrTb"/>
            <w:noWrap w:val="false"/>
          </w:tcPr>
          <w:p>
            <w:pPr>
              <w:pStyle w:val="1288"/>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项目名称</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990" w:type="dxa"/>
            <w:vAlign w:val="center"/>
            <w:textDirection w:val="lrTb"/>
            <w:noWrap w:val="false"/>
          </w:tcPr>
          <w:p>
            <w:pPr>
              <w:pStyle w:val="1288"/>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合同签订时间</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705" w:type="dxa"/>
            <w:vAlign w:val="top"/>
            <w:textDirection w:val="lrTb"/>
            <w:noWrap w:val="false"/>
          </w:tcPr>
          <w:p>
            <w:pPr>
              <w:pStyle w:val="1288"/>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项目类型</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705" w:type="dxa"/>
            <w:vAlign w:val="center"/>
            <w:textDirection w:val="lrTb"/>
            <w:noWrap w:val="false"/>
          </w:tcPr>
          <w:p>
            <w:pPr>
              <w:pStyle w:val="1288"/>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备注</w:t>
            </w:r>
            <w:r>
              <w:rPr>
                <w:rFonts w:ascii="宋体" w:hAnsi="宋体" w:cs="宋体"/>
                <w:color w:val="000000"/>
                <w:sz w:val="24"/>
                <w:highlight w:val="none"/>
                <w:lang w:val="zh-CN"/>
              </w:rPr>
            </w:r>
            <w:r/>
          </w:p>
        </w:tc>
      </w:tr>
      <w:tr>
        <w:trPr/>
        <w:tc>
          <w:tcPr>
            <w:tcBorders>
              <w:top w:val="single" w:color="000000" w:sz="6" w:space="0"/>
              <w:left w:val="single" w:color="000000" w:sz="6" w:space="0"/>
              <w:bottom w:val="single" w:color="000000" w:sz="6" w:space="0"/>
              <w:right w:val="single" w:color="000000" w:sz="6" w:space="0"/>
            </w:tcBorders>
            <w:tcW w:w="745" w:type="dxa"/>
            <w:vAlign w:val="center"/>
            <w:textDirection w:val="lrTb"/>
            <w:noWrap w:val="false"/>
          </w:tcPr>
          <w:p>
            <w:pPr>
              <w:pStyle w:val="1288"/>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974" w:type="dxa"/>
            <w:vAlign w:val="center"/>
            <w:textDirection w:val="lrTb"/>
            <w:noWrap w:val="false"/>
          </w:tcPr>
          <w:p>
            <w:pPr>
              <w:pStyle w:val="1288"/>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881" w:type="dxa"/>
            <w:vAlign w:val="center"/>
            <w:textDirection w:val="lrTb"/>
            <w:noWrap w:val="false"/>
          </w:tcPr>
          <w:p>
            <w:pPr>
              <w:pStyle w:val="1288"/>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990" w:type="dxa"/>
            <w:vAlign w:val="center"/>
            <w:textDirection w:val="lrTb"/>
            <w:noWrap w:val="false"/>
          </w:tcPr>
          <w:p>
            <w:pPr>
              <w:pStyle w:val="1288"/>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705" w:type="dxa"/>
            <w:vAlign w:val="top"/>
            <w:textDirection w:val="lrTb"/>
            <w:noWrap w:val="false"/>
          </w:tcPr>
          <w:p>
            <w:pPr>
              <w:pStyle w:val="1288"/>
              <w:ind w:hanging="523"/>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705" w:type="dxa"/>
            <w:vAlign w:val="center"/>
            <w:textDirection w:val="lrTb"/>
            <w:noWrap w:val="false"/>
          </w:tcPr>
          <w:p>
            <w:pPr>
              <w:pStyle w:val="1288"/>
              <w:ind w:hanging="523"/>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745" w:type="dxa"/>
            <w:vAlign w:val="top"/>
            <w:textDirection w:val="lrTb"/>
            <w:noWrap w:val="false"/>
          </w:tcPr>
          <w:p>
            <w:pPr>
              <w:pStyle w:val="128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974" w:type="dxa"/>
            <w:vAlign w:val="top"/>
            <w:textDirection w:val="lrTb"/>
            <w:noWrap w:val="false"/>
          </w:tcPr>
          <w:p>
            <w:pPr>
              <w:pStyle w:val="1288"/>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881" w:type="dxa"/>
            <w:vAlign w:val="top"/>
            <w:textDirection w:val="lrTb"/>
            <w:noWrap w:val="false"/>
          </w:tcPr>
          <w:p>
            <w:pPr>
              <w:pStyle w:val="128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990" w:type="dxa"/>
            <w:vAlign w:val="top"/>
            <w:textDirection w:val="lrTb"/>
            <w:noWrap w:val="false"/>
          </w:tcPr>
          <w:p>
            <w:pPr>
              <w:pStyle w:val="128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705" w:type="dxa"/>
            <w:vAlign w:val="top"/>
            <w:textDirection w:val="lrTb"/>
            <w:noWrap w:val="false"/>
          </w:tcPr>
          <w:p>
            <w:pPr>
              <w:pStyle w:val="128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705" w:type="dxa"/>
            <w:vAlign w:val="top"/>
            <w:textDirection w:val="lrTb"/>
            <w:noWrap w:val="false"/>
          </w:tcPr>
          <w:p>
            <w:pPr>
              <w:pStyle w:val="128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745" w:type="dxa"/>
            <w:vAlign w:val="top"/>
            <w:textDirection w:val="lrTb"/>
            <w:noWrap w:val="false"/>
          </w:tcPr>
          <w:p>
            <w:pPr>
              <w:pStyle w:val="128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974" w:type="dxa"/>
            <w:vAlign w:val="top"/>
            <w:textDirection w:val="lrTb"/>
            <w:noWrap w:val="false"/>
          </w:tcPr>
          <w:p>
            <w:pPr>
              <w:pStyle w:val="128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881" w:type="dxa"/>
            <w:vAlign w:val="top"/>
            <w:textDirection w:val="lrTb"/>
            <w:noWrap w:val="false"/>
          </w:tcPr>
          <w:p>
            <w:pPr>
              <w:pStyle w:val="128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990" w:type="dxa"/>
            <w:vAlign w:val="top"/>
            <w:textDirection w:val="lrTb"/>
            <w:noWrap w:val="false"/>
          </w:tcPr>
          <w:p>
            <w:pPr>
              <w:pStyle w:val="128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705" w:type="dxa"/>
            <w:vAlign w:val="top"/>
            <w:textDirection w:val="lrTb"/>
            <w:noWrap w:val="false"/>
          </w:tcPr>
          <w:p>
            <w:pPr>
              <w:pStyle w:val="128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705" w:type="dxa"/>
            <w:vAlign w:val="top"/>
            <w:textDirection w:val="lrTb"/>
            <w:noWrap w:val="false"/>
          </w:tcPr>
          <w:p>
            <w:pPr>
              <w:pStyle w:val="128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745" w:type="dxa"/>
            <w:vAlign w:val="top"/>
            <w:textDirection w:val="lrTb"/>
            <w:noWrap w:val="false"/>
          </w:tcPr>
          <w:p>
            <w:pPr>
              <w:pStyle w:val="128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974" w:type="dxa"/>
            <w:vAlign w:val="top"/>
            <w:textDirection w:val="lrTb"/>
            <w:noWrap w:val="false"/>
          </w:tcPr>
          <w:p>
            <w:pPr>
              <w:pStyle w:val="128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881" w:type="dxa"/>
            <w:vAlign w:val="top"/>
            <w:textDirection w:val="lrTb"/>
            <w:noWrap w:val="false"/>
          </w:tcPr>
          <w:p>
            <w:pPr>
              <w:pStyle w:val="128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990" w:type="dxa"/>
            <w:vAlign w:val="top"/>
            <w:textDirection w:val="lrTb"/>
            <w:noWrap w:val="false"/>
          </w:tcPr>
          <w:p>
            <w:pPr>
              <w:pStyle w:val="128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705" w:type="dxa"/>
            <w:vAlign w:val="top"/>
            <w:textDirection w:val="lrTb"/>
            <w:noWrap w:val="false"/>
          </w:tcPr>
          <w:p>
            <w:pPr>
              <w:pStyle w:val="128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705" w:type="dxa"/>
            <w:vAlign w:val="top"/>
            <w:textDirection w:val="lrTb"/>
            <w:noWrap w:val="false"/>
          </w:tcPr>
          <w:p>
            <w:pPr>
              <w:pStyle w:val="128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745" w:type="dxa"/>
            <w:vAlign w:val="top"/>
            <w:textDirection w:val="lrTb"/>
            <w:noWrap w:val="false"/>
          </w:tcPr>
          <w:p>
            <w:pPr>
              <w:pStyle w:val="128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974" w:type="dxa"/>
            <w:vAlign w:val="top"/>
            <w:textDirection w:val="lrTb"/>
            <w:noWrap w:val="false"/>
          </w:tcPr>
          <w:p>
            <w:pPr>
              <w:pStyle w:val="128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881" w:type="dxa"/>
            <w:vAlign w:val="top"/>
            <w:textDirection w:val="lrTb"/>
            <w:noWrap w:val="false"/>
          </w:tcPr>
          <w:p>
            <w:pPr>
              <w:pStyle w:val="128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990" w:type="dxa"/>
            <w:vAlign w:val="top"/>
            <w:textDirection w:val="lrTb"/>
            <w:noWrap w:val="false"/>
          </w:tcPr>
          <w:p>
            <w:pPr>
              <w:pStyle w:val="128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705" w:type="dxa"/>
            <w:vAlign w:val="top"/>
            <w:textDirection w:val="lrTb"/>
            <w:noWrap w:val="false"/>
          </w:tcPr>
          <w:p>
            <w:pPr>
              <w:pStyle w:val="128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705" w:type="dxa"/>
            <w:vAlign w:val="top"/>
            <w:textDirection w:val="lrTb"/>
            <w:noWrap w:val="false"/>
          </w:tcPr>
          <w:p>
            <w:pPr>
              <w:pStyle w:val="128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745" w:type="dxa"/>
            <w:vAlign w:val="top"/>
            <w:textDirection w:val="lrTb"/>
            <w:noWrap w:val="false"/>
          </w:tcPr>
          <w:p>
            <w:pPr>
              <w:pStyle w:val="128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974" w:type="dxa"/>
            <w:vAlign w:val="top"/>
            <w:textDirection w:val="lrTb"/>
            <w:noWrap w:val="false"/>
          </w:tcPr>
          <w:p>
            <w:pPr>
              <w:pStyle w:val="128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881" w:type="dxa"/>
            <w:vAlign w:val="top"/>
            <w:textDirection w:val="lrTb"/>
            <w:noWrap w:val="false"/>
          </w:tcPr>
          <w:p>
            <w:pPr>
              <w:pStyle w:val="128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990" w:type="dxa"/>
            <w:vAlign w:val="top"/>
            <w:textDirection w:val="lrTb"/>
            <w:noWrap w:val="false"/>
          </w:tcPr>
          <w:p>
            <w:pPr>
              <w:pStyle w:val="128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705" w:type="dxa"/>
            <w:vAlign w:val="top"/>
            <w:textDirection w:val="lrTb"/>
            <w:noWrap w:val="false"/>
          </w:tcPr>
          <w:p>
            <w:pPr>
              <w:pStyle w:val="128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705" w:type="dxa"/>
            <w:vAlign w:val="top"/>
            <w:textDirection w:val="lrTb"/>
            <w:noWrap w:val="false"/>
          </w:tcPr>
          <w:p>
            <w:pPr>
              <w:pStyle w:val="128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745" w:type="dxa"/>
            <w:vAlign w:val="top"/>
            <w:textDirection w:val="lrTb"/>
            <w:noWrap w:val="false"/>
          </w:tcPr>
          <w:p>
            <w:pPr>
              <w:pStyle w:val="128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974" w:type="dxa"/>
            <w:vAlign w:val="top"/>
            <w:textDirection w:val="lrTb"/>
            <w:noWrap w:val="false"/>
          </w:tcPr>
          <w:p>
            <w:pPr>
              <w:pStyle w:val="128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881" w:type="dxa"/>
            <w:vAlign w:val="top"/>
            <w:textDirection w:val="lrTb"/>
            <w:noWrap w:val="false"/>
          </w:tcPr>
          <w:p>
            <w:pPr>
              <w:pStyle w:val="128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990" w:type="dxa"/>
            <w:vAlign w:val="top"/>
            <w:textDirection w:val="lrTb"/>
            <w:noWrap w:val="false"/>
          </w:tcPr>
          <w:p>
            <w:pPr>
              <w:pStyle w:val="128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705" w:type="dxa"/>
            <w:vAlign w:val="top"/>
            <w:textDirection w:val="lrTb"/>
            <w:noWrap w:val="false"/>
          </w:tcPr>
          <w:p>
            <w:pPr>
              <w:pStyle w:val="128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705" w:type="dxa"/>
            <w:vAlign w:val="top"/>
            <w:textDirection w:val="lrTb"/>
            <w:noWrap w:val="false"/>
          </w:tcPr>
          <w:p>
            <w:pPr>
              <w:pStyle w:val="128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745" w:type="dxa"/>
            <w:vAlign w:val="top"/>
            <w:textDirection w:val="lrTb"/>
            <w:noWrap w:val="false"/>
          </w:tcPr>
          <w:p>
            <w:pPr>
              <w:pStyle w:val="128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974" w:type="dxa"/>
            <w:vAlign w:val="top"/>
            <w:textDirection w:val="lrTb"/>
            <w:noWrap w:val="false"/>
          </w:tcPr>
          <w:p>
            <w:pPr>
              <w:pStyle w:val="128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881" w:type="dxa"/>
            <w:vAlign w:val="top"/>
            <w:textDirection w:val="lrTb"/>
            <w:noWrap w:val="false"/>
          </w:tcPr>
          <w:p>
            <w:pPr>
              <w:pStyle w:val="128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990" w:type="dxa"/>
            <w:vAlign w:val="top"/>
            <w:textDirection w:val="lrTb"/>
            <w:noWrap w:val="false"/>
          </w:tcPr>
          <w:p>
            <w:pPr>
              <w:pStyle w:val="128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705" w:type="dxa"/>
            <w:vAlign w:val="top"/>
            <w:textDirection w:val="lrTb"/>
            <w:noWrap w:val="false"/>
          </w:tcPr>
          <w:p>
            <w:pPr>
              <w:pStyle w:val="128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705" w:type="dxa"/>
            <w:vAlign w:val="top"/>
            <w:textDirection w:val="lrTb"/>
            <w:noWrap w:val="false"/>
          </w:tcPr>
          <w:p>
            <w:pPr>
              <w:pStyle w:val="128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745" w:type="dxa"/>
            <w:vAlign w:val="top"/>
            <w:textDirection w:val="lrTb"/>
            <w:noWrap w:val="false"/>
          </w:tcPr>
          <w:p>
            <w:pPr>
              <w:pStyle w:val="128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974" w:type="dxa"/>
            <w:vAlign w:val="top"/>
            <w:textDirection w:val="lrTb"/>
            <w:noWrap w:val="false"/>
          </w:tcPr>
          <w:p>
            <w:pPr>
              <w:pStyle w:val="128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881" w:type="dxa"/>
            <w:vAlign w:val="top"/>
            <w:textDirection w:val="lrTb"/>
            <w:noWrap w:val="false"/>
          </w:tcPr>
          <w:p>
            <w:pPr>
              <w:pStyle w:val="128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990" w:type="dxa"/>
            <w:vAlign w:val="top"/>
            <w:textDirection w:val="lrTb"/>
            <w:noWrap w:val="false"/>
          </w:tcPr>
          <w:p>
            <w:pPr>
              <w:pStyle w:val="128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705" w:type="dxa"/>
            <w:vAlign w:val="top"/>
            <w:textDirection w:val="lrTb"/>
            <w:noWrap w:val="false"/>
          </w:tcPr>
          <w:p>
            <w:pPr>
              <w:pStyle w:val="128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705" w:type="dxa"/>
            <w:vAlign w:val="top"/>
            <w:textDirection w:val="lrTb"/>
            <w:noWrap w:val="false"/>
          </w:tcPr>
          <w:p>
            <w:pPr>
              <w:pStyle w:val="128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bl>
    <w:p>
      <w:pPr>
        <w:pStyle w:val="1288"/>
        <w:tabs>
          <w:tab w:val="left" w:pos="9765" w:leader="none"/>
        </w:tabs>
        <w:rPr>
          <w:rFonts w:ascii="宋体" w:hAnsi="宋体" w:cs="宋体"/>
          <w:color w:val="000000"/>
          <w:sz w:val="24"/>
          <w:highlight w:val="none"/>
          <w:lang w:val="zh-CN"/>
        </w:rPr>
      </w:pPr>
      <w:r>
        <w:rPr>
          <w:rFonts w:ascii="宋体" w:hAnsi="宋体" w:cs="宋体"/>
          <w:color w:val="000000"/>
          <w:sz w:val="24"/>
          <w:highlight w:val="none"/>
          <w:lang w:val="zh-CN"/>
        </w:rPr>
      </w:r>
      <w:r/>
    </w:p>
    <w:p>
      <w:pPr>
        <w:pStyle w:val="1288"/>
        <w:spacing w:line="360" w:lineRule="auto"/>
        <w:rPr>
          <w:b/>
          <w:color w:val="000000"/>
          <w:sz w:val="24"/>
          <w:szCs w:val="20"/>
          <w:highlight w:val="none"/>
        </w:rPr>
      </w:pPr>
      <w:r>
        <w:rPr>
          <w:rFonts w:hint="eastAsia"/>
          <w:b/>
          <w:color w:val="000000"/>
          <w:sz w:val="24"/>
          <w:szCs w:val="20"/>
          <w:highlight w:val="none"/>
        </w:rPr>
        <w:t xml:space="preserve">注：需提供合同复印件并加盖公章。</w:t>
      </w:r>
      <w:r>
        <w:rPr>
          <w:b/>
          <w:color w:val="000000"/>
          <w:sz w:val="24"/>
          <w:szCs w:val="20"/>
          <w:highlight w:val="none"/>
        </w:rPr>
      </w:r>
      <w:r/>
    </w:p>
    <w:p>
      <w:pPr>
        <w:pStyle w:val="1299"/>
        <w:tabs>
          <w:tab w:val="left" w:pos="567" w:leader="none"/>
        </w:tabs>
        <w:rPr>
          <w:color w:val="000000"/>
          <w:highlight w:val="none"/>
        </w:rPr>
      </w:pPr>
      <w:r>
        <w:rPr>
          <w:color w:val="000000"/>
          <w:highlight w:val="none"/>
        </w:rPr>
      </w:r>
      <w:r/>
    </w:p>
    <w:p>
      <w:pPr>
        <w:pStyle w:val="1288"/>
        <w:rPr>
          <w:color w:val="000000"/>
          <w:highlight w:val="none"/>
        </w:rPr>
      </w:pPr>
      <w:r>
        <w:rPr>
          <w:color w:val="000000"/>
          <w:highlight w:val="none"/>
        </w:rPr>
      </w:r>
      <w:r/>
    </w:p>
    <w:p>
      <w:pPr>
        <w:pStyle w:val="1288"/>
        <w:spacing w:before="25" w:after="25" w:line="360" w:lineRule="auto"/>
        <w:rPr>
          <w:color w:val="000000"/>
          <w:sz w:val="24"/>
          <w:highlight w:val="none"/>
          <w:lang w:val="zh-CN"/>
        </w:rPr>
      </w:pPr>
      <w:r>
        <w:rPr>
          <w:color w:val="000000"/>
          <w:sz w:val="24"/>
          <w:highlight w:val="none"/>
        </w:rPr>
        <w:t xml:space="preserve">供应商名称（加盖公章）</w:t>
      </w:r>
      <w:r>
        <w:rPr>
          <w:color w:val="000000"/>
          <w:sz w:val="24"/>
          <w:highlight w:val="none"/>
          <w:lang w:val="zh-CN"/>
        </w:rPr>
        <w:t xml:space="preserve">：____________</w:t>
      </w:r>
      <w:r>
        <w:rPr>
          <w:color w:val="000000"/>
          <w:sz w:val="24"/>
          <w:highlight w:val="none"/>
          <w:lang w:val="zh-CN"/>
        </w:rPr>
      </w:r>
      <w:r/>
    </w:p>
    <w:p>
      <w:pPr>
        <w:pStyle w:val="1288"/>
        <w:spacing w:before="25" w:after="25" w:line="360" w:lineRule="auto"/>
        <w:rPr>
          <w:color w:val="000000"/>
          <w:sz w:val="24"/>
          <w:highlight w:val="none"/>
        </w:rPr>
      </w:pPr>
      <w:r>
        <w:rPr>
          <w:color w:val="000000"/>
          <w:sz w:val="24"/>
          <w:szCs w:val="20"/>
          <w:highlight w:val="none"/>
        </w:rPr>
        <w:t xml:space="preserve">日期：_____年______月______日</w:t>
      </w:r>
      <w:r>
        <w:rPr>
          <w:color w:val="000000"/>
          <w:sz w:val="24"/>
          <w:highlight w:val="none"/>
        </w:rPr>
      </w:r>
      <w:r/>
    </w:p>
    <w:p>
      <w:pPr>
        <w:pStyle w:val="1288"/>
        <w:spacing w:line="360" w:lineRule="auto"/>
        <w:rPr>
          <w:color w:val="000000"/>
          <w:sz w:val="24"/>
          <w:szCs w:val="20"/>
          <w:highlight w:val="none"/>
        </w:rPr>
        <w:outlineLvl w:val="1"/>
      </w:pPr>
      <w:r>
        <w:rPr>
          <w:color w:val="000000"/>
          <w:highlight w:val="none"/>
        </w:rPr>
        <w:br w:type="page" w:clear="all"/>
      </w:r>
      <w:r>
        <w:rPr>
          <w:rFonts w:hint="eastAsia"/>
          <w:color w:val="000000"/>
          <w:sz w:val="24"/>
          <w:szCs w:val="20"/>
          <w:highlight w:val="none"/>
        </w:rPr>
        <w:t xml:space="preserve">15 谈判文件要求提供或供应商认为应附的其他材料</w:t>
      </w:r>
      <w:r>
        <w:rPr>
          <w:color w:val="000000"/>
          <w:sz w:val="24"/>
          <w:szCs w:val="20"/>
          <w:highlight w:val="none"/>
        </w:rPr>
      </w:r>
      <w:r/>
    </w:p>
    <w:sectPr>
      <w:headerReference w:type="even" r:id="rId13"/>
      <w:headerReference w:type="first" r:id="rId14"/>
      <w:footerReference w:type="even" r:id="rId25"/>
      <w:footerReference w:type="first" r:id="rId26"/>
      <w:footnotePr/>
      <w:endnotePr/>
      <w:type w:val="nextPage"/>
      <w:pgSz w:w="11907" w:h="16840" w:orient="portrait"/>
      <w:pgMar w:top="1418" w:right="1134" w:bottom="1418" w:left="1701" w:header="851" w:footer="851"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楷体_GB2312">
    <w:panose1 w:val="02010609060101010101"/>
  </w:font>
  <w:font w:name="仿宋">
    <w:panose1 w:val="02010609060101010101"/>
  </w:font>
  <w:font w:name="Segoe UI Symbol">
    <w:panose1 w:val="020B0502040204020203"/>
  </w:font>
  <w:font w:name="Cambria Math">
    <w:panose1 w:val="02040503050406030204"/>
  </w:font>
  <w:font w:name="MS Gothic">
    <w:panose1 w:val="020B0609070205080204"/>
  </w:font>
  <w:font w:name="CESI黑体-GB2312">
    <w:panose1 w:val="020B0503020202020204"/>
  </w:font>
  <w:font w:name="Symbol">
    <w:panose1 w:val="05050102010706020507"/>
  </w:font>
  <w:font w:name="华文楷体">
    <w:panose1 w:val="02010600040101010101"/>
  </w:font>
  <w:font w:name="Wingdings">
    <w:panose1 w:val="05000000000000000000"/>
  </w:font>
  <w:font w:name="Calibri">
    <w:panose1 w:val="020F0502020204030204"/>
  </w:font>
  <w:font w:name="微软雅黑">
    <w:panose1 w:val="020B0503020204020204"/>
  </w:font>
  <w:font w:name="Courier New">
    <w:panose1 w:val="02070309020205020404"/>
  </w:font>
  <w:font w:name="Century Gothic">
    <w:panose1 w:val="020B0502020202020204"/>
  </w:font>
  <w:font w:name="仿宋_GB2312">
    <w:panose1 w:val="02010609060101010101"/>
  </w:font>
  <w:font w:name="黑体">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07"/>
      <w:tabs>
        <w:tab w:val="center" w:pos="4153" w:leader="none"/>
        <w:tab w:val="right" w:pos="8306" w:leader="none"/>
      </w:tabs>
      <w:rPr>
        <w:szCs w:val="18"/>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307"/>
                            <w:tabs>
                              <w:tab w:val="clear" w:pos="4153" w:leader="none"/>
                              <w:tab w:val="clear" w:pos="8306" w:leader="none"/>
                            </w:tabs>
                          </w:pPr>
                          <w:r>
                            <w:fldChar w:fldCharType="begin"/>
                          </w:r>
                          <w:r>
                            <w:instrText xml:space="preserve"> PAGE  \* MERGEFORMAT </w:instrText>
                          </w:r>
                          <w:r>
                            <w:fldChar w:fldCharType="separate"/>
                          </w:r>
                          <w:r>
                            <w:t xml:space="preserve">8</w:t>
                          </w:r>
                          <w:r>
                            <w:fldChar w:fldCharType="end"/>
                          </w:r>
                          <w:r/>
                        </w:p>
                        <w:p>
                          <w:pPr>
                            <w:pStyle w:val="1288"/>
                          </w:pPr>
                          <w:r/>
                          <w:r/>
                        </w:p>
                      </w:txbxContent>
                    </wps:txbx>
                    <wps:bodyPr wrap="none" lIns="0" tIns="0" rIns="0" bIns="0" upright="1">
                      <a:spAutoFit/>
                    </wps:bodyPr>
                  </wps:wsp>
                </a:graphicData>
              </a:graphic>
            </wp:anchor>
          </w:drawing>
        </mc:Choice>
        <mc:Fallback>
          <w:pict>
            <v:shape id="shape 1" o:spid="_x0000_s1"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307"/>
                      <w:tabs>
                        <w:tab w:val="clear" w:pos="4153" w:leader="none"/>
                        <w:tab w:val="clear" w:pos="8306" w:leader="none"/>
                      </w:tabs>
                    </w:pPr>
                    <w:r>
                      <w:fldChar w:fldCharType="begin"/>
                    </w:r>
                    <w:r>
                      <w:instrText xml:space="preserve"> PAGE  \* MERGEFORMAT </w:instrText>
                    </w:r>
                    <w:r>
                      <w:fldChar w:fldCharType="separate"/>
                    </w:r>
                    <w:r>
                      <w:t xml:space="preserve">8</w:t>
                    </w:r>
                    <w:r>
                      <w:fldChar w:fldCharType="end"/>
                    </w:r>
                    <w:r/>
                  </w:p>
                  <w:p>
                    <w:pPr>
                      <w:pStyle w:val="1288"/>
                    </w:pPr>
                    <w:r/>
                    <w:r/>
                  </w:p>
                </w:txbxContent>
              </v:textbox>
            </v:shape>
          </w:pict>
        </mc:Fallback>
      </mc:AlternateContent>
    </w:r>
    <w:r>
      <w:rPr>
        <w:szCs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07"/>
      <w:tabs>
        <w:tab w:val="center" w:pos="4153" w:leader="none"/>
        <w:tab w:val="right" w:pos="8306" w:leader="none"/>
      </w:tabs>
      <w:rPr>
        <w:szCs w:val="18"/>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307"/>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288"/>
                          </w:pPr>
                          <w:r/>
                          <w:r/>
                        </w:p>
                      </w:txbxContent>
                    </wps:txbx>
                    <wps:bodyPr wrap="none" lIns="0" tIns="0" rIns="0" bIns="0" upright="1">
                      <a:spAutoFit/>
                    </wps:bodyPr>
                  </wps:wsp>
                </a:graphicData>
              </a:graphic>
            </wp:anchor>
          </w:drawing>
        </mc:Choice>
        <mc:Fallback>
          <w:pict>
            <v:shape id="shape 2" o:spid="_x0000_s2" o:spt="202" type="#_x0000_t202" style="position:absolute;z-index:25165824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307"/>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288"/>
                    </w:pPr>
                    <w:r/>
                    <w:r/>
                  </w:p>
                </w:txbxContent>
              </v:textbox>
            </v:shape>
          </w:pict>
        </mc:Fallback>
      </mc:AlternateContent>
    </w:r>
    <w:r>
      <w:rPr>
        <w:szCs w:val="18"/>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07"/>
      <w:tabs>
        <w:tab w:val="center" w:pos="4153" w:leader="none"/>
        <w:tab w:val="right" w:pos="8306" w:leader="none"/>
      </w:tabs>
      <w:rPr>
        <w:rStyle w:val="1322"/>
      </w:rPr>
      <w:framePr w:wrap="around" w:vAnchor="text" w:hAnchor="margin" w:xAlign="right" w:y="1"/>
    </w:pPr>
    <w:r>
      <w:fldChar w:fldCharType="begin"/>
    </w:r>
    <w:r>
      <w:rPr>
        <w:rStyle w:val="1322"/>
      </w:rPr>
      <w:instrText xml:space="preserve">PAGE  </w:instrText>
    </w:r>
    <w:r>
      <w:fldChar w:fldCharType="end"/>
    </w:r>
    <w:r>
      <w:rPr>
        <w:rStyle w:val="1322"/>
      </w:rPr>
    </w:r>
    <w:r/>
  </w:p>
  <w:p>
    <w:pPr>
      <w:pStyle w:val="1307"/>
      <w:ind w:right="360"/>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07"/>
      <w:tabs>
        <w:tab w:val="center" w:pos="4153" w:leader="none"/>
        <w:tab w:val="right" w:pos="8306" w:leader="none"/>
      </w:tabs>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07"/>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307"/>
                            <w:tabs>
                              <w:tab w:val="clear" w:pos="4153" w:leader="none"/>
                              <w:tab w:val="clear" w:pos="8306" w:leader="none"/>
                            </w:tabs>
                          </w:pPr>
                          <w:r>
                            <w:fldChar w:fldCharType="begin"/>
                          </w:r>
                          <w:r>
                            <w:instrText xml:space="preserve"> PAGE  \* MERGEFORMAT </w:instrText>
                          </w:r>
                          <w:r>
                            <w:fldChar w:fldCharType="separate"/>
                          </w:r>
                          <w:r>
                            <w:t xml:space="preserve">48</w:t>
                          </w:r>
                          <w:r>
                            <w:fldChar w:fldCharType="end"/>
                          </w:r>
                          <w:r/>
                        </w:p>
                        <w:p>
                          <w:pPr>
                            <w:pStyle w:val="1288"/>
                          </w:pPr>
                          <w:r/>
                          <w:r/>
                        </w:p>
                      </w:txbxContent>
                    </wps:txbx>
                    <wps:bodyPr wrap="none" lIns="0" tIns="0" rIns="0" bIns="0" upright="1">
                      <a:spAutoFit/>
                    </wps:bodyPr>
                  </wps:wsp>
                </a:graphicData>
              </a:graphic>
            </wp:anchor>
          </w:drawing>
        </mc:Choice>
        <mc:Fallback>
          <w:pict>
            <v:shape id="shape 3" o:spid="_x0000_s3"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307"/>
                      <w:tabs>
                        <w:tab w:val="clear" w:pos="4153" w:leader="none"/>
                        <w:tab w:val="clear" w:pos="8306" w:leader="none"/>
                      </w:tabs>
                    </w:pPr>
                    <w:r>
                      <w:fldChar w:fldCharType="begin"/>
                    </w:r>
                    <w:r>
                      <w:instrText xml:space="preserve"> PAGE  \* MERGEFORMAT </w:instrText>
                    </w:r>
                    <w:r>
                      <w:fldChar w:fldCharType="separate"/>
                    </w:r>
                    <w:r>
                      <w:t xml:space="preserve">48</w:t>
                    </w:r>
                    <w:r>
                      <w:fldChar w:fldCharType="end"/>
                    </w:r>
                    <w:r/>
                  </w:p>
                  <w:p>
                    <w:pPr>
                      <w:pStyle w:val="1288"/>
                    </w:pPr>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07"/>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307"/>
                            <w:tabs>
                              <w:tab w:val="clear" w:pos="4153" w:leader="none"/>
                              <w:tab w:val="clear" w:pos="8306" w:leader="none"/>
                            </w:tabs>
                          </w:pPr>
                          <w:r>
                            <w:fldChar w:fldCharType="begin"/>
                          </w:r>
                          <w:r>
                            <w:instrText xml:space="preserve"> PAGE  \* MERGEFORMAT </w:instrText>
                          </w:r>
                          <w:r>
                            <w:fldChar w:fldCharType="separate"/>
                          </w:r>
                          <w:r>
                            <w:t xml:space="preserve">30</w:t>
                          </w:r>
                          <w:r>
                            <w:fldChar w:fldCharType="end"/>
                          </w:r>
                          <w:r/>
                        </w:p>
                        <w:p>
                          <w:pPr>
                            <w:pStyle w:val="1288"/>
                          </w:pPr>
                          <w:r/>
                          <w:r/>
                        </w:p>
                      </w:txbxContent>
                    </wps:txbx>
                    <wps:bodyPr wrap="none" lIns="0" tIns="0" rIns="0" bIns="0" upright="1">
                      <a:spAutoFit/>
                    </wps:bodyPr>
                  </wps:wsp>
                </a:graphicData>
              </a:graphic>
            </wp:anchor>
          </w:drawing>
        </mc:Choice>
        <mc:Fallback>
          <w:pict>
            <v:shape id="shape 4" o:spid="_x0000_s4"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307"/>
                      <w:tabs>
                        <w:tab w:val="clear" w:pos="4153" w:leader="none"/>
                        <w:tab w:val="clear" w:pos="8306" w:leader="none"/>
                      </w:tabs>
                    </w:pPr>
                    <w:r>
                      <w:fldChar w:fldCharType="begin"/>
                    </w:r>
                    <w:r>
                      <w:instrText xml:space="preserve"> PAGE  \* MERGEFORMAT </w:instrText>
                    </w:r>
                    <w:r>
                      <w:fldChar w:fldCharType="separate"/>
                    </w:r>
                    <w:r>
                      <w:t xml:space="preserve">30</w:t>
                    </w:r>
                    <w:r>
                      <w:fldChar w:fldCharType="end"/>
                    </w:r>
                    <w:r/>
                  </w:p>
                  <w:p>
                    <w:pPr>
                      <w:pStyle w:val="1288"/>
                    </w:pPr>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07"/>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307"/>
                            <w:tabs>
                              <w:tab w:val="clear" w:pos="4153" w:leader="none"/>
                              <w:tab w:val="clear" w:pos="8306" w:leader="none"/>
                            </w:tabs>
                          </w:pPr>
                          <w:r>
                            <w:fldChar w:fldCharType="begin"/>
                          </w:r>
                          <w:r>
                            <w:instrText xml:space="preserve"> PAGE  \* MERGEFORMAT </w:instrText>
                          </w:r>
                          <w:r>
                            <w:fldChar w:fldCharType="separate"/>
                          </w:r>
                          <w:r>
                            <w:t xml:space="preserve">49</w:t>
                          </w:r>
                          <w:r>
                            <w:fldChar w:fldCharType="end"/>
                          </w:r>
                          <w:r/>
                        </w:p>
                        <w:p>
                          <w:pPr>
                            <w:pStyle w:val="1288"/>
                          </w:pPr>
                          <w:r/>
                          <w:r/>
                        </w:p>
                      </w:txbxContent>
                    </wps:txbx>
                    <wps:bodyPr wrap="none" lIns="0" tIns="0" rIns="0" bIns="0" upright="1">
                      <a:spAutoFit/>
                    </wps:bodyPr>
                  </wps:wsp>
                </a:graphicData>
              </a:graphic>
            </wp:anchor>
          </w:drawing>
        </mc:Choice>
        <mc:Fallback>
          <w:pict>
            <v:shape id="shape 5" o:spid="_x0000_s5" o:spt="202" type="#_x0000_t202" style="position:absolute;z-index:251658245;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307"/>
                      <w:tabs>
                        <w:tab w:val="clear" w:pos="4153" w:leader="none"/>
                        <w:tab w:val="clear" w:pos="8306" w:leader="none"/>
                      </w:tabs>
                    </w:pPr>
                    <w:r>
                      <w:fldChar w:fldCharType="begin"/>
                    </w:r>
                    <w:r>
                      <w:instrText xml:space="preserve"> PAGE  \* MERGEFORMAT </w:instrText>
                    </w:r>
                    <w:r>
                      <w:fldChar w:fldCharType="separate"/>
                    </w:r>
                    <w:r>
                      <w:t xml:space="preserve">49</w:t>
                    </w:r>
                    <w:r>
                      <w:fldChar w:fldCharType="end"/>
                    </w:r>
                    <w:r/>
                  </w:p>
                  <w:p>
                    <w:pPr>
                      <w:pStyle w:val="1288"/>
                    </w:pPr>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07"/>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307"/>
                            <w:tabs>
                              <w:tab w:val="clear" w:pos="4153" w:leader="none"/>
                              <w:tab w:val="clear" w:pos="8306" w:leader="none"/>
                            </w:tabs>
                          </w:pPr>
                          <w:r>
                            <w:fldChar w:fldCharType="begin"/>
                          </w:r>
                          <w:r>
                            <w:instrText xml:space="preserve"> PAGE  \* MERGEFORMAT </w:instrText>
                          </w:r>
                          <w:r>
                            <w:fldChar w:fldCharType="separate"/>
                          </w:r>
                          <w:r>
                            <w:t xml:space="preserve">50</w:t>
                          </w:r>
                          <w:r>
                            <w:fldChar w:fldCharType="end"/>
                          </w:r>
                          <w:r/>
                        </w:p>
                        <w:p>
                          <w:pPr>
                            <w:pStyle w:val="1288"/>
                          </w:pPr>
                          <w:r/>
                          <w:r/>
                        </w:p>
                      </w:txbxContent>
                    </wps:txbx>
                    <wps:bodyPr wrap="none" lIns="0" tIns="0" rIns="0" bIns="0" upright="1">
                      <a:spAutoFit/>
                    </wps:bodyPr>
                  </wps:wsp>
                </a:graphicData>
              </a:graphic>
            </wp:anchor>
          </w:drawing>
        </mc:Choice>
        <mc:Fallback>
          <w:pict>
            <v:shape id="shape 6" o:spid="_x0000_s6" o:spt="202" type="#_x0000_t202" style="position:absolute;z-index:25165824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307"/>
                      <w:tabs>
                        <w:tab w:val="clear" w:pos="4153" w:leader="none"/>
                        <w:tab w:val="clear" w:pos="8306" w:leader="none"/>
                      </w:tabs>
                    </w:pPr>
                    <w:r>
                      <w:fldChar w:fldCharType="begin"/>
                    </w:r>
                    <w:r>
                      <w:instrText xml:space="preserve"> PAGE  \* MERGEFORMAT </w:instrText>
                    </w:r>
                    <w:r>
                      <w:fldChar w:fldCharType="separate"/>
                    </w:r>
                    <w:r>
                      <w:t xml:space="preserve">50</w:t>
                    </w:r>
                    <w:r>
                      <w:fldChar w:fldCharType="end"/>
                    </w:r>
                    <w:r/>
                  </w:p>
                  <w:p>
                    <w:pPr>
                      <w:pStyle w:val="1288"/>
                    </w:pPr>
                    <w:r/>
                    <w:r/>
                  </w:p>
                </w:txbxContent>
              </v:textbox>
            </v:shape>
          </w:pict>
        </mc:Fallback>
      </mc:AlternateConten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07"/>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307"/>
                            <w:tabs>
                              <w:tab w:val="clear" w:pos="4153" w:leader="none"/>
                              <w:tab w:val="clear" w:pos="8306" w:leader="none"/>
                            </w:tabs>
                          </w:pPr>
                          <w:r>
                            <w:fldChar w:fldCharType="begin"/>
                          </w:r>
                          <w:r>
                            <w:instrText xml:space="preserve"> PAGE  \* MERGEFORMAT </w:instrText>
                          </w:r>
                          <w:r>
                            <w:fldChar w:fldCharType="separate"/>
                          </w:r>
                          <w:r>
                            <w:t xml:space="preserve">51</w:t>
                          </w:r>
                          <w:r>
                            <w:fldChar w:fldCharType="end"/>
                          </w:r>
                          <w:r/>
                        </w:p>
                        <w:p>
                          <w:pPr>
                            <w:pStyle w:val="1288"/>
                          </w:pPr>
                          <w:r/>
                          <w:r/>
                        </w:p>
                      </w:txbxContent>
                    </wps:txbx>
                    <wps:bodyPr wrap="none" lIns="0" tIns="0" rIns="0" bIns="0" upright="1">
                      <a:spAutoFit/>
                    </wps:bodyPr>
                  </wps:wsp>
                </a:graphicData>
              </a:graphic>
            </wp:anchor>
          </w:drawing>
        </mc:Choice>
        <mc:Fallback>
          <w:pict>
            <v:shape id="shape 7" o:spid="_x0000_s7" o:spt="202" type="#_x0000_t202" style="position:absolute;z-index:251658247;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307"/>
                      <w:tabs>
                        <w:tab w:val="clear" w:pos="4153" w:leader="none"/>
                        <w:tab w:val="clear" w:pos="8306" w:leader="none"/>
                      </w:tabs>
                    </w:pPr>
                    <w:r>
                      <w:fldChar w:fldCharType="begin"/>
                    </w:r>
                    <w:r>
                      <w:instrText xml:space="preserve"> PAGE  \* MERGEFORMAT </w:instrText>
                    </w:r>
                    <w:r>
                      <w:fldChar w:fldCharType="separate"/>
                    </w:r>
                    <w:r>
                      <w:t xml:space="preserve">51</w:t>
                    </w:r>
                    <w:r>
                      <w:fldChar w:fldCharType="end"/>
                    </w:r>
                    <w:r/>
                  </w:p>
                  <w:p>
                    <w:pPr>
                      <w:pStyle w:val="1288"/>
                    </w:pPr>
                    <w:r/>
                    <w:r/>
                  </w:p>
                </w:txbxContent>
              </v:textbox>
            </v:shape>
          </w:pict>
        </mc:Fallback>
      </mc:AlternateContent>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07"/>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307"/>
                            <w:tabs>
                              <w:tab w:val="clear" w:pos="4153" w:leader="none"/>
                              <w:tab w:val="clear" w:pos="8306" w:leader="none"/>
                            </w:tabs>
                          </w:pPr>
                          <w:r>
                            <w:fldChar w:fldCharType="begin"/>
                          </w:r>
                          <w:r>
                            <w:instrText xml:space="preserve"> PAGE  \* MERGEFORMAT </w:instrText>
                          </w:r>
                          <w:r>
                            <w:fldChar w:fldCharType="separate"/>
                          </w:r>
                          <w:r>
                            <w:t xml:space="preserve">76</w:t>
                          </w:r>
                          <w:r>
                            <w:fldChar w:fldCharType="end"/>
                          </w:r>
                          <w:r/>
                        </w:p>
                        <w:p>
                          <w:pPr>
                            <w:pStyle w:val="1288"/>
                          </w:pPr>
                          <w:r/>
                          <w:r/>
                        </w:p>
                      </w:txbxContent>
                    </wps:txbx>
                    <wps:bodyPr wrap="none" lIns="0" tIns="0" rIns="0" bIns="0" upright="1">
                      <a:spAutoFit/>
                    </wps:bodyPr>
                  </wps:wsp>
                </a:graphicData>
              </a:graphic>
            </wp:anchor>
          </w:drawing>
        </mc:Choice>
        <mc:Fallback>
          <w:pict>
            <v:shape id="shape 8" o:spid="_x0000_s8" o:spt="202" type="#_x0000_t202" style="position:absolute;z-index:25165824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307"/>
                      <w:tabs>
                        <w:tab w:val="clear" w:pos="4153" w:leader="none"/>
                        <w:tab w:val="clear" w:pos="8306" w:leader="none"/>
                      </w:tabs>
                    </w:pPr>
                    <w:r>
                      <w:fldChar w:fldCharType="begin"/>
                    </w:r>
                    <w:r>
                      <w:instrText xml:space="preserve"> PAGE  \* MERGEFORMAT </w:instrText>
                    </w:r>
                    <w:r>
                      <w:fldChar w:fldCharType="separate"/>
                    </w:r>
                    <w:r>
                      <w:t xml:space="preserve">76</w:t>
                    </w:r>
                    <w:r>
                      <w:fldChar w:fldCharType="end"/>
                    </w:r>
                    <w:r/>
                  </w:p>
                  <w:p>
                    <w:pPr>
                      <w:pStyle w:val="1288"/>
                    </w:pPr>
                    <w:r/>
                    <w:r/>
                  </w:p>
                </w:txbxContent>
              </v:textbox>
            </v:shape>
          </w:pict>
        </mc:Fallback>
      </mc:AlternateContent>
    </w:r>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07"/>
      <w:tabs>
        <w:tab w:val="center" w:pos="4153" w:leader="none"/>
        <w:tab w:val="right" w:pos="8306" w:leader="none"/>
      </w:tabs>
      <w:rPr>
        <w:rStyle w:val="1322"/>
      </w:rPr>
      <w:framePr w:wrap="around" w:vAnchor="text" w:hAnchor="margin" w:xAlign="right" w:y="1"/>
    </w:pPr>
    <w:r>
      <w:fldChar w:fldCharType="begin"/>
    </w:r>
    <w:r>
      <w:rPr>
        <w:rStyle w:val="1322"/>
      </w:rPr>
      <w:instrText xml:space="preserve">PAGE  </w:instrText>
    </w:r>
    <w:r>
      <w:fldChar w:fldCharType="end"/>
    </w:r>
    <w:r>
      <w:rPr>
        <w:rStyle w:val="1322"/>
      </w:rPr>
    </w:r>
    <w:r/>
  </w:p>
  <w:p>
    <w:pPr>
      <w:pStyle w:val="1307"/>
      <w:ind w:right="360"/>
      <w:tabs>
        <w:tab w:val="center" w:pos="4153" w:leader="none"/>
        <w:tab w:val="right" w:pos="8306" w:leader="none"/>
      </w:tabs>
    </w:pPr>
    <w:r/>
    <w:r/>
  </w:p>
  <w:p>
    <w:pPr>
      <w:pStyle w:val="1288"/>
    </w:pPr>
    <w:r/>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07"/>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09"/>
      <w:jc w:val="both"/>
      <w:tabs>
        <w:tab w:val="left" w:pos="3081" w:leader="none"/>
        <w:tab w:val="center" w:pos="4153" w:leader="none"/>
        <w:tab w:val="right" w:pos="8306" w:leader="none"/>
      </w:tabs>
    </w:pPr>
    <w:r/>
    <w:bookmarkStart w:id="910" w:name="OLE_LINK123"/>
    <w:r/>
    <w:bookmarkStart w:id="911" w:name="OLE_LINK124"/>
    <w:r/>
    <w:bookmarkStart w:id="912" w:name="_Hlk193363401"/>
    <w:r>
      <w:tab/>
    </w:r>
    <w:bookmarkEnd w:id="910"/>
    <w:r/>
    <w:bookmarkEnd w:id="911"/>
    <w:r/>
    <w:bookmarkEnd w:id="912"/>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09"/>
      <w:tabs>
        <w:tab w:val="center" w:pos="4153" w:leader="none"/>
        <w:tab w:val="right" w:pos="8306" w:leader="none"/>
      </w:tabs>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09"/>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1727200</wp:posOffset>
              </wp:positionH>
              <wp:positionV relativeFrom="paragraph">
                <wp:posOffset>-74294</wp:posOffset>
              </wp:positionV>
              <wp:extent cx="2016760" cy="204470"/>
              <wp:effectExtent l="0" t="0" r="0" b="0"/>
              <wp:wrapTopAndBottom/>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2016760" cy="2044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524288;o:allowoverlap:true;o:allowincell:true;mso-position-horizontal-relative:text;margin-left:136.0pt;mso-position-horizontal:absolute;mso-position-vertical-relative:text;margin-top:-5.8pt;mso-position-vertical:absolute;width:158.8pt;height:16.1pt;mso-wrap-distance-left:9.0pt;mso-wrap-distance-top:0.0pt;mso-wrap-distance-right:9.0pt;mso-wrap-distance-bottom:0.0pt;" stroked="f">
              <v:path textboxrect="0,0,0,0"/>
              <w10:wrap type="topAndBottom"/>
              <v:imagedata r:id="rId1" o:title=""/>
            </v:shape>
          </w:pict>
        </mc:Fallback>
      </mc:AlternateConten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09"/>
      <w:tabs>
        <w:tab w:val="center" w:pos="4153" w:leader="none"/>
        <w:tab w:val="right" w:pos="8306" w:leader="none"/>
      </w:tabs>
      <w:pBdr>
        <w:bottom w:val="none" w:color="000000" w:sz="0" w:space="1"/>
      </w:pBdr>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09"/>
      <w:tabs>
        <w:tab w:val="center" w:pos="4153" w:leader="none"/>
        <w:tab w:val="right" w:pos="8306" w:leader="none"/>
      </w:tabs>
    </w:pPr>
    <w:r/>
    <w:r/>
  </w:p>
  <w:p>
    <w:pPr>
      <w:pStyle w:val="1288"/>
    </w:p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09"/>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1288"/>
        <w:ind w:left="5225" w:hanging="1140"/>
        <w:tabs>
          <w:tab w:val="num" w:pos="5225" w:leader="none"/>
        </w:tabs>
      </w:pPr>
      <w:rPr>
        <w:rFonts w:hint="eastAsia"/>
      </w:rPr>
    </w:lvl>
    <w:lvl w:ilvl="1">
      <w:start w:val="1"/>
      <w:numFmt w:val="lowerLetter"/>
      <w:isLgl w:val="false"/>
      <w:suff w:val="tab"/>
      <w:lvlText w:val="%2)"/>
      <w:lvlJc w:val="left"/>
      <w:pPr>
        <w:pStyle w:val="1288"/>
        <w:ind w:left="4925" w:hanging="420"/>
        <w:tabs>
          <w:tab w:val="num" w:pos="4925" w:leader="none"/>
        </w:tabs>
      </w:pPr>
    </w:lvl>
    <w:lvl w:ilvl="2">
      <w:start w:val="1"/>
      <w:numFmt w:val="lowerRoman"/>
      <w:isLgl w:val="false"/>
      <w:suff w:val="tab"/>
      <w:lvlText w:val="%3."/>
      <w:lvlJc w:val="right"/>
      <w:pPr>
        <w:pStyle w:val="1288"/>
        <w:ind w:left="5345" w:hanging="420"/>
        <w:tabs>
          <w:tab w:val="num" w:pos="5345" w:leader="none"/>
        </w:tabs>
      </w:pPr>
    </w:lvl>
    <w:lvl w:ilvl="3">
      <w:start w:val="1"/>
      <w:numFmt w:val="decimal"/>
      <w:isLgl w:val="false"/>
      <w:suff w:val="tab"/>
      <w:lvlText w:val="%4."/>
      <w:lvlJc w:val="left"/>
      <w:pPr>
        <w:pStyle w:val="1288"/>
        <w:ind w:left="5765" w:hanging="420"/>
        <w:tabs>
          <w:tab w:val="num" w:pos="5765" w:leader="none"/>
        </w:tabs>
      </w:pPr>
    </w:lvl>
    <w:lvl w:ilvl="4">
      <w:start w:val="1"/>
      <w:numFmt w:val="lowerLetter"/>
      <w:isLgl w:val="false"/>
      <w:suff w:val="tab"/>
      <w:lvlText w:val="%5)"/>
      <w:lvlJc w:val="left"/>
      <w:pPr>
        <w:pStyle w:val="1288"/>
        <w:ind w:left="6185" w:hanging="420"/>
        <w:tabs>
          <w:tab w:val="num" w:pos="6185" w:leader="none"/>
        </w:tabs>
      </w:pPr>
    </w:lvl>
    <w:lvl w:ilvl="5">
      <w:start w:val="1"/>
      <w:numFmt w:val="lowerRoman"/>
      <w:isLgl w:val="false"/>
      <w:suff w:val="tab"/>
      <w:lvlText w:val="%6."/>
      <w:lvlJc w:val="right"/>
      <w:pPr>
        <w:pStyle w:val="1288"/>
        <w:ind w:left="6605" w:hanging="420"/>
        <w:tabs>
          <w:tab w:val="num" w:pos="6605" w:leader="none"/>
        </w:tabs>
      </w:pPr>
    </w:lvl>
    <w:lvl w:ilvl="6">
      <w:start w:val="1"/>
      <w:numFmt w:val="decimal"/>
      <w:isLgl w:val="false"/>
      <w:suff w:val="tab"/>
      <w:lvlText w:val="%7."/>
      <w:lvlJc w:val="left"/>
      <w:pPr>
        <w:pStyle w:val="1288"/>
        <w:ind w:left="7025" w:hanging="420"/>
        <w:tabs>
          <w:tab w:val="num" w:pos="7025" w:leader="none"/>
        </w:tabs>
      </w:pPr>
    </w:lvl>
    <w:lvl w:ilvl="7">
      <w:start w:val="1"/>
      <w:numFmt w:val="lowerLetter"/>
      <w:isLgl w:val="false"/>
      <w:suff w:val="tab"/>
      <w:lvlText w:val="%8)"/>
      <w:lvlJc w:val="left"/>
      <w:pPr>
        <w:pStyle w:val="1288"/>
        <w:ind w:left="7445" w:hanging="420"/>
        <w:tabs>
          <w:tab w:val="num" w:pos="7445" w:leader="none"/>
        </w:tabs>
      </w:pPr>
    </w:lvl>
    <w:lvl w:ilvl="8">
      <w:start w:val="1"/>
      <w:numFmt w:val="lowerRoman"/>
      <w:isLgl w:val="false"/>
      <w:suff w:val="tab"/>
      <w:lvlText w:val="%9."/>
      <w:lvlJc w:val="right"/>
      <w:pPr>
        <w:pStyle w:val="1288"/>
        <w:ind w:left="7865" w:hanging="420"/>
        <w:tabs>
          <w:tab w:val="num" w:pos="7865" w:leader="none"/>
        </w:tabs>
      </w:pPr>
    </w:lvl>
  </w:abstractNum>
  <w:abstractNum w:abstractNumId="1">
    <w:multiLevelType w:val="hybridMultilevel"/>
    <w:lvl w:ilvl="0">
      <w:start w:val="1"/>
      <w:numFmt w:val="decimal"/>
      <w:pStyle w:val="1333"/>
      <w:isLgl w:val="false"/>
      <w:suff w:val="nothing"/>
      <w:lvlText w:val="%1　"/>
      <w:lvlJc w:val="left"/>
      <w:pPr>
        <w:pStyle w:val="1288"/>
        <w:ind w:left="-25" w:firstLine="0"/>
      </w:pPr>
      <w:rPr>
        <w:rFonts w:ascii="Times New Roman" w:hAnsi="Times New Roman" w:eastAsia="宋体"/>
        <w:b/>
        <w:i w:val="0"/>
        <w:color w:val="000000"/>
        <w:sz w:val="28"/>
        <w:u w:val="none"/>
      </w:rPr>
    </w:lvl>
    <w:lvl w:ilvl="1">
      <w:start w:val="1"/>
      <w:numFmt w:val="decimal"/>
      <w:pStyle w:val="1332"/>
      <w:isLgl w:val="false"/>
      <w:suff w:val="nothing"/>
      <w:lvlText w:val="%1.%2　"/>
      <w:lvlJc w:val="left"/>
      <w:pPr>
        <w:pStyle w:val="1288"/>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1288"/>
        <w:ind w:left="-25" w:firstLine="0"/>
      </w:pPr>
      <w:rPr>
        <w:rFonts w:ascii="Times New Roman" w:hAnsi="Times New Roman" w:eastAsia="黑体"/>
        <w:b/>
        <w:i w:val="0"/>
        <w:sz w:val="28"/>
      </w:rPr>
    </w:lvl>
    <w:lvl w:ilvl="3">
      <w:start w:val="1"/>
      <w:numFmt w:val="decimal"/>
      <w:pStyle w:val="1336"/>
      <w:isLgl w:val="false"/>
      <w:suff w:val="nothing"/>
      <w:lvlText w:val="%1.%2.%3.%4　"/>
      <w:lvlJc w:val="left"/>
      <w:pPr>
        <w:pStyle w:val="1288"/>
        <w:ind w:left="-25" w:firstLine="0"/>
      </w:pPr>
      <w:rPr>
        <w:rFonts w:ascii="Times New Roman" w:hAnsi="Times New Roman" w:eastAsia="宋体"/>
        <w:b/>
        <w:i w:val="0"/>
        <w:color w:val="000000"/>
        <w:sz w:val="28"/>
        <w:u w:val="none"/>
      </w:rPr>
    </w:lvl>
    <w:lvl w:ilvl="4">
      <w:start w:val="1"/>
      <w:numFmt w:val="decimal"/>
      <w:pStyle w:val="1335"/>
      <w:isLgl w:val="false"/>
      <w:suff w:val="nothing"/>
      <w:lvlText w:val="%1.%2.%3.%4.%5　"/>
      <w:lvlJc w:val="left"/>
      <w:pPr>
        <w:pStyle w:val="1288"/>
        <w:ind w:left="-25" w:firstLine="0"/>
      </w:pPr>
      <w:rPr>
        <w:rFonts w:ascii="Times New Roman" w:hAnsi="Times New Roman" w:eastAsia="宋体"/>
        <w:b/>
        <w:i w:val="0"/>
        <w:color w:val="000000"/>
        <w:sz w:val="28"/>
        <w:u w:val="none"/>
      </w:rPr>
    </w:lvl>
    <w:lvl w:ilvl="5">
      <w:start w:val="1"/>
      <w:numFmt w:val="decimal"/>
      <w:pStyle w:val="1337"/>
      <w:isLgl w:val="false"/>
      <w:suff w:val="nothing"/>
      <w:lvlText w:val="%1.%2.%3.%4.%5.%6　"/>
      <w:lvlJc w:val="left"/>
      <w:pPr>
        <w:pStyle w:val="1288"/>
        <w:ind w:left="-25" w:firstLine="0"/>
      </w:pPr>
      <w:rPr>
        <w:rFonts w:ascii="Times New Roman" w:hAnsi="Times New Roman" w:eastAsia="宋体"/>
        <w:b/>
        <w:i w:val="0"/>
        <w:sz w:val="28"/>
      </w:rPr>
    </w:lvl>
    <w:lvl w:ilvl="6">
      <w:start w:val="1"/>
      <w:numFmt w:val="lowerLetter"/>
      <w:pStyle w:val="1338"/>
      <w:isLgl w:val="false"/>
      <w:suff w:val="tab"/>
      <w:lvlText w:val="%7) "/>
      <w:lvlJc w:val="left"/>
      <w:pPr>
        <w:pStyle w:val="1288"/>
        <w:ind w:left="-125" w:firstLine="400"/>
        <w:tabs>
          <w:tab w:val="num" w:pos="635" w:leader="none"/>
        </w:tabs>
      </w:pPr>
      <w:rPr>
        <w:rFonts w:ascii="Times New Roman" w:hAnsi="Times New Roman" w:eastAsia="宋体"/>
        <w:b/>
        <w:i w:val="0"/>
        <w:color w:val="000000"/>
        <w:sz w:val="28"/>
        <w:u w:val="none"/>
      </w:rPr>
    </w:lvl>
    <w:lvl w:ilvl="7">
      <w:start w:val="1"/>
      <w:numFmt w:val="decimal"/>
      <w:pStyle w:val="1334"/>
      <w:isLgl w:val="false"/>
      <w:suff w:val="tab"/>
      <w:lvlText w:val="%8) "/>
      <w:lvlJc w:val="left"/>
      <w:pPr>
        <w:pStyle w:val="1288"/>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1288"/>
        <w:ind w:left="500" w:firstLine="0"/>
        <w:tabs>
          <w:tab w:val="num" w:pos="860" w:leader="none"/>
        </w:tabs>
      </w:pPr>
      <w:rPr>
        <w:rFonts w:hint="eastAsia" w:ascii="宋体" w:eastAsia="宋体"/>
        <w:b w:val="0"/>
        <w:i w:val="0"/>
        <w:color w:val="000000"/>
        <w:sz w:val="28"/>
        <w:u w:val="none"/>
      </w:rPr>
    </w:lvl>
  </w:abstractNum>
  <w:abstractNum w:abstractNumId="2">
    <w:multiLevelType w:val="hybridMultilevel"/>
    <w:lvl w:ilvl="0">
      <w:start w:val="1"/>
      <w:numFmt w:val="decimal"/>
      <w:isLgl w:val="false"/>
      <w:suff w:val="tab"/>
      <w:lvlText w:val="%1"/>
      <w:lvlJc w:val="left"/>
      <w:pPr>
        <w:pStyle w:val="1288"/>
        <w:ind w:left="900" w:hanging="900"/>
        <w:tabs>
          <w:tab w:val="num" w:pos="900" w:leader="none"/>
        </w:tabs>
      </w:pPr>
      <w:rPr>
        <w:rFonts w:hint="eastAsia"/>
      </w:rPr>
    </w:lvl>
    <w:lvl w:ilvl="1">
      <w:start w:val="1"/>
      <w:numFmt w:val="decimal"/>
      <w:isLgl w:val="false"/>
      <w:suff w:val="tab"/>
      <w:lvlText w:val="%1.%2"/>
      <w:lvlJc w:val="left"/>
      <w:pPr>
        <w:pStyle w:val="1288"/>
        <w:ind w:left="1326" w:hanging="900"/>
        <w:tabs>
          <w:tab w:val="num" w:pos="1447" w:leader="none"/>
        </w:tabs>
      </w:pPr>
      <w:rPr>
        <w:rFonts w:ascii="Times New Roman" w:hAnsi="Times New Roman" w:cs="Times New Roman"/>
        <w:sz w:val="24"/>
        <w:szCs w:val="24"/>
      </w:rPr>
    </w:lvl>
    <w:lvl w:ilvl="2">
      <w:start w:val="1"/>
      <w:numFmt w:val="decimal"/>
      <w:isLgl w:val="false"/>
      <w:suff w:val="tab"/>
      <w:lvlText w:val="%1.%2.%3"/>
      <w:lvlJc w:val="left"/>
      <w:pPr>
        <w:pStyle w:val="1288"/>
        <w:ind w:left="1980" w:hanging="900"/>
        <w:tabs>
          <w:tab w:val="num" w:pos="1980" w:leader="none"/>
        </w:tabs>
      </w:pPr>
      <w:rPr>
        <w:rFonts w:hint="eastAsia"/>
      </w:rPr>
    </w:lvl>
    <w:lvl w:ilvl="3">
      <w:start w:val="1"/>
      <w:numFmt w:val="decimal"/>
      <w:isLgl w:val="false"/>
      <w:suff w:val="tab"/>
      <w:lvlText w:val="%1.%2.%3.%4"/>
      <w:lvlJc w:val="left"/>
      <w:pPr>
        <w:pStyle w:val="1288"/>
        <w:ind w:left="900" w:hanging="900"/>
        <w:tabs>
          <w:tab w:val="num" w:pos="900" w:leader="none"/>
        </w:tabs>
      </w:pPr>
      <w:rPr>
        <w:rFonts w:hint="eastAsia"/>
      </w:rPr>
    </w:lvl>
    <w:lvl w:ilvl="4">
      <w:start w:val="1"/>
      <w:numFmt w:val="decimal"/>
      <w:isLgl w:val="false"/>
      <w:suff w:val="tab"/>
      <w:lvlText w:val="%1.%2.%3.%4.%5"/>
      <w:lvlJc w:val="left"/>
      <w:pPr>
        <w:pStyle w:val="1288"/>
        <w:ind w:left="900" w:hanging="900"/>
        <w:tabs>
          <w:tab w:val="num" w:pos="900" w:leader="none"/>
        </w:tabs>
      </w:pPr>
      <w:rPr>
        <w:rFonts w:hint="eastAsia"/>
      </w:rPr>
    </w:lvl>
    <w:lvl w:ilvl="5">
      <w:start w:val="1"/>
      <w:numFmt w:val="decimal"/>
      <w:isLgl w:val="false"/>
      <w:suff w:val="tab"/>
      <w:lvlText w:val="%1.%2.%3.%4.%5.%6"/>
      <w:lvlJc w:val="left"/>
      <w:pPr>
        <w:pStyle w:val="1288"/>
        <w:ind w:left="900" w:hanging="900"/>
        <w:tabs>
          <w:tab w:val="num" w:pos="900" w:leader="none"/>
        </w:tabs>
      </w:pPr>
      <w:rPr>
        <w:rFonts w:hint="eastAsia"/>
      </w:rPr>
    </w:lvl>
    <w:lvl w:ilvl="6">
      <w:start w:val="1"/>
      <w:numFmt w:val="decimal"/>
      <w:isLgl w:val="false"/>
      <w:suff w:val="tab"/>
      <w:lvlText w:val="%1.%2.%3.%4.%5.%6.%7"/>
      <w:lvlJc w:val="left"/>
      <w:pPr>
        <w:pStyle w:val="1288"/>
        <w:ind w:left="900" w:hanging="900"/>
        <w:tabs>
          <w:tab w:val="num" w:pos="900" w:leader="none"/>
        </w:tabs>
      </w:pPr>
      <w:rPr>
        <w:rFonts w:hint="eastAsia"/>
      </w:rPr>
    </w:lvl>
    <w:lvl w:ilvl="7">
      <w:start w:val="1"/>
      <w:numFmt w:val="decimal"/>
      <w:isLgl w:val="false"/>
      <w:suff w:val="tab"/>
      <w:lvlText w:val="%1.%2.%3.%4.%5.%6.%7.%8"/>
      <w:lvlJc w:val="left"/>
      <w:pPr>
        <w:pStyle w:val="1288"/>
        <w:ind w:left="900" w:hanging="900"/>
        <w:tabs>
          <w:tab w:val="num" w:pos="900" w:leader="none"/>
        </w:tabs>
      </w:pPr>
      <w:rPr>
        <w:rFonts w:hint="eastAsia"/>
      </w:rPr>
    </w:lvl>
    <w:lvl w:ilvl="8">
      <w:start w:val="1"/>
      <w:numFmt w:val="decimal"/>
      <w:isLgl w:val="false"/>
      <w:suff w:val="tab"/>
      <w:lvlText w:val="%1.%2.%3.%4.%5.%6.%7.%8.%9"/>
      <w:lvlJc w:val="left"/>
      <w:pPr>
        <w:pStyle w:val="1288"/>
        <w:ind w:left="900" w:hanging="900"/>
        <w:tabs>
          <w:tab w:val="num" w:pos="900" w:leader="none"/>
        </w:tabs>
      </w:pPr>
      <w:rPr>
        <w:rFonts w:hint="eastAsia"/>
      </w:rPr>
    </w:lvl>
  </w:abstractNum>
  <w:abstractNum w:abstractNumId="3">
    <w:multiLevelType w:val="hybridMultilevel"/>
    <w:lvl w:ilvl="0">
      <w:start w:val="1"/>
      <w:numFmt w:val="decimal"/>
      <w:isLgl w:val="false"/>
      <w:suff w:val="tab"/>
      <w:lvlText w:val="%1"/>
      <w:lvlJc w:val="left"/>
      <w:pPr>
        <w:pStyle w:val="1288"/>
        <w:ind w:left="900" w:hanging="900"/>
        <w:tabs>
          <w:tab w:val="num" w:pos="900" w:leader="none"/>
        </w:tabs>
      </w:pPr>
      <w:rPr>
        <w:rFonts w:hint="eastAsia"/>
      </w:rPr>
    </w:lvl>
    <w:lvl w:ilvl="1">
      <w:start w:val="1"/>
      <w:numFmt w:val="decimal"/>
      <w:isLgl w:val="false"/>
      <w:suff w:val="tab"/>
      <w:lvlText w:val="%1.%2"/>
      <w:lvlJc w:val="left"/>
      <w:pPr>
        <w:pStyle w:val="1288"/>
        <w:ind w:left="1326" w:hanging="900"/>
        <w:tabs>
          <w:tab w:val="num" w:pos="1447" w:leader="none"/>
        </w:tabs>
      </w:pPr>
      <w:rPr>
        <w:rFonts w:ascii="Times New Roman" w:hAnsi="Times New Roman" w:cs="Times New Roman"/>
        <w:sz w:val="24"/>
        <w:szCs w:val="24"/>
      </w:rPr>
    </w:lvl>
    <w:lvl w:ilvl="2">
      <w:start w:val="1"/>
      <w:numFmt w:val="decimal"/>
      <w:isLgl w:val="false"/>
      <w:suff w:val="tab"/>
      <w:lvlText w:val="%1.%2.%3"/>
      <w:lvlJc w:val="left"/>
      <w:pPr>
        <w:pStyle w:val="1288"/>
        <w:ind w:left="1980" w:hanging="900"/>
        <w:tabs>
          <w:tab w:val="num" w:pos="1980" w:leader="none"/>
        </w:tabs>
      </w:pPr>
      <w:rPr>
        <w:rFonts w:hint="eastAsia"/>
      </w:rPr>
    </w:lvl>
    <w:lvl w:ilvl="3">
      <w:start w:val="1"/>
      <w:numFmt w:val="decimal"/>
      <w:isLgl w:val="false"/>
      <w:suff w:val="tab"/>
      <w:lvlText w:val="%1.%2.%3.%4"/>
      <w:lvlJc w:val="left"/>
      <w:pPr>
        <w:pStyle w:val="1288"/>
        <w:ind w:left="900" w:hanging="900"/>
        <w:tabs>
          <w:tab w:val="num" w:pos="900" w:leader="none"/>
        </w:tabs>
      </w:pPr>
      <w:rPr>
        <w:rFonts w:hint="eastAsia"/>
      </w:rPr>
    </w:lvl>
    <w:lvl w:ilvl="4">
      <w:start w:val="1"/>
      <w:numFmt w:val="decimal"/>
      <w:isLgl w:val="false"/>
      <w:suff w:val="tab"/>
      <w:lvlText w:val="%1.%2.%3.%4.%5"/>
      <w:lvlJc w:val="left"/>
      <w:pPr>
        <w:pStyle w:val="1288"/>
        <w:ind w:left="900" w:hanging="900"/>
        <w:tabs>
          <w:tab w:val="num" w:pos="900" w:leader="none"/>
        </w:tabs>
      </w:pPr>
      <w:rPr>
        <w:rFonts w:hint="eastAsia"/>
      </w:rPr>
    </w:lvl>
    <w:lvl w:ilvl="5">
      <w:start w:val="1"/>
      <w:numFmt w:val="decimal"/>
      <w:isLgl w:val="false"/>
      <w:suff w:val="tab"/>
      <w:lvlText w:val="%1.%2.%3.%4.%5.%6"/>
      <w:lvlJc w:val="left"/>
      <w:pPr>
        <w:pStyle w:val="1288"/>
        <w:ind w:left="900" w:hanging="900"/>
        <w:tabs>
          <w:tab w:val="num" w:pos="900" w:leader="none"/>
        </w:tabs>
      </w:pPr>
      <w:rPr>
        <w:rFonts w:hint="eastAsia"/>
      </w:rPr>
    </w:lvl>
    <w:lvl w:ilvl="6">
      <w:start w:val="1"/>
      <w:numFmt w:val="decimal"/>
      <w:isLgl w:val="false"/>
      <w:suff w:val="tab"/>
      <w:lvlText w:val="%1.%2.%3.%4.%5.%6.%7"/>
      <w:lvlJc w:val="left"/>
      <w:pPr>
        <w:pStyle w:val="1288"/>
        <w:ind w:left="900" w:hanging="900"/>
        <w:tabs>
          <w:tab w:val="num" w:pos="900" w:leader="none"/>
        </w:tabs>
      </w:pPr>
      <w:rPr>
        <w:rFonts w:hint="eastAsia"/>
      </w:rPr>
    </w:lvl>
    <w:lvl w:ilvl="7">
      <w:start w:val="1"/>
      <w:numFmt w:val="decimal"/>
      <w:isLgl w:val="false"/>
      <w:suff w:val="tab"/>
      <w:lvlText w:val="%1.%2.%3.%4.%5.%6.%7.%8"/>
      <w:lvlJc w:val="left"/>
      <w:pPr>
        <w:pStyle w:val="1288"/>
        <w:ind w:left="900" w:hanging="900"/>
        <w:tabs>
          <w:tab w:val="num" w:pos="900" w:leader="none"/>
        </w:tabs>
      </w:pPr>
      <w:rPr>
        <w:rFonts w:hint="eastAsia"/>
      </w:rPr>
    </w:lvl>
    <w:lvl w:ilvl="8">
      <w:start w:val="1"/>
      <w:numFmt w:val="decimal"/>
      <w:isLgl w:val="false"/>
      <w:suff w:val="tab"/>
      <w:lvlText w:val="%1.%2.%3.%4.%5.%6.%7.%8.%9"/>
      <w:lvlJc w:val="left"/>
      <w:pPr>
        <w:pStyle w:val="1288"/>
        <w:ind w:left="900" w:hanging="900"/>
        <w:tabs>
          <w:tab w:val="num" w:pos="900" w:leader="none"/>
        </w:tabs>
      </w:pPr>
      <w:rPr>
        <w:rFonts w:hint="eastAsia"/>
      </w:rPr>
    </w:lvl>
  </w:abstractNum>
  <w:abstractNum w:abstractNumId="4">
    <w:multiLevelType w:val="hybridMultilevel"/>
    <w:lvl w:ilvl="0">
      <w:start w:val="1"/>
      <w:numFmt w:val="decimal"/>
      <w:isLgl w:val="false"/>
      <w:suff w:val="tab"/>
      <w:lvlText w:val="%1"/>
      <w:lvlJc w:val="left"/>
      <w:pPr>
        <w:pStyle w:val="1288"/>
        <w:ind w:left="900" w:hanging="900"/>
        <w:tabs>
          <w:tab w:val="num" w:pos="900" w:leader="none"/>
        </w:tabs>
      </w:pPr>
      <w:rPr>
        <w:rFonts w:hint="eastAsia"/>
      </w:rPr>
    </w:lvl>
    <w:lvl w:ilvl="1">
      <w:start w:val="1"/>
      <w:numFmt w:val="decimal"/>
      <w:isLgl w:val="false"/>
      <w:suff w:val="tab"/>
      <w:lvlText w:val="1.%2"/>
      <w:lvlJc w:val="left"/>
      <w:pPr>
        <w:pStyle w:val="1288"/>
        <w:ind w:left="1326" w:hanging="900"/>
        <w:tabs>
          <w:tab w:val="num" w:pos="1447" w:leader="none"/>
        </w:tabs>
      </w:pPr>
      <w:rPr>
        <w:rFonts w:hint="eastAsia"/>
        <w:sz w:val="24"/>
        <w:szCs w:val="24"/>
      </w:rPr>
    </w:lvl>
    <w:lvl w:ilvl="2">
      <w:start w:val="1"/>
      <w:numFmt w:val="decimal"/>
      <w:isLgl w:val="false"/>
      <w:suff w:val="tab"/>
      <w:lvlText w:val="1.2.%3."/>
      <w:lvlJc w:val="left"/>
      <w:pPr>
        <w:pStyle w:val="1288"/>
        <w:ind w:left="1980" w:hanging="900"/>
        <w:tabs>
          <w:tab w:val="num" w:pos="1980" w:leader="none"/>
        </w:tabs>
      </w:pPr>
      <w:rPr>
        <w:rFonts w:hint="eastAsia"/>
      </w:rPr>
    </w:lvl>
    <w:lvl w:ilvl="3">
      <w:start w:val="1"/>
      <w:numFmt w:val="decimal"/>
      <w:isLgl w:val="false"/>
      <w:suff w:val="tab"/>
      <w:lvlText w:val="%1.%2.%3.%4"/>
      <w:lvlJc w:val="left"/>
      <w:pPr>
        <w:pStyle w:val="1288"/>
        <w:ind w:left="900" w:hanging="900"/>
        <w:tabs>
          <w:tab w:val="num" w:pos="900" w:leader="none"/>
        </w:tabs>
      </w:pPr>
      <w:rPr>
        <w:rFonts w:hint="eastAsia"/>
      </w:rPr>
    </w:lvl>
    <w:lvl w:ilvl="4">
      <w:start w:val="1"/>
      <w:numFmt w:val="decimal"/>
      <w:isLgl w:val="false"/>
      <w:suff w:val="tab"/>
      <w:lvlText w:val="%1.%2.%3.%4.%5"/>
      <w:lvlJc w:val="left"/>
      <w:pPr>
        <w:pStyle w:val="1288"/>
        <w:ind w:left="900" w:hanging="900"/>
        <w:tabs>
          <w:tab w:val="num" w:pos="900" w:leader="none"/>
        </w:tabs>
      </w:pPr>
      <w:rPr>
        <w:rFonts w:hint="eastAsia"/>
      </w:rPr>
    </w:lvl>
    <w:lvl w:ilvl="5">
      <w:start w:val="1"/>
      <w:numFmt w:val="decimal"/>
      <w:isLgl w:val="false"/>
      <w:suff w:val="tab"/>
      <w:lvlText w:val="%1.%2.%3.%4.%5.%6"/>
      <w:lvlJc w:val="left"/>
      <w:pPr>
        <w:pStyle w:val="1288"/>
        <w:ind w:left="900" w:hanging="900"/>
        <w:tabs>
          <w:tab w:val="num" w:pos="900" w:leader="none"/>
        </w:tabs>
      </w:pPr>
      <w:rPr>
        <w:rFonts w:hint="eastAsia"/>
      </w:rPr>
    </w:lvl>
    <w:lvl w:ilvl="6">
      <w:start w:val="1"/>
      <w:numFmt w:val="decimal"/>
      <w:isLgl w:val="false"/>
      <w:suff w:val="tab"/>
      <w:lvlText w:val="%1.%2.%3.%4.%5.%6.%7"/>
      <w:lvlJc w:val="left"/>
      <w:pPr>
        <w:pStyle w:val="1288"/>
        <w:ind w:left="900" w:hanging="900"/>
        <w:tabs>
          <w:tab w:val="num" w:pos="900" w:leader="none"/>
        </w:tabs>
      </w:pPr>
      <w:rPr>
        <w:rFonts w:hint="eastAsia"/>
      </w:rPr>
    </w:lvl>
    <w:lvl w:ilvl="7">
      <w:start w:val="1"/>
      <w:numFmt w:val="decimal"/>
      <w:isLgl w:val="false"/>
      <w:suff w:val="tab"/>
      <w:lvlText w:val="%1.%2.%3.%4.%5.%6.%7.%8"/>
      <w:lvlJc w:val="left"/>
      <w:pPr>
        <w:pStyle w:val="1288"/>
        <w:ind w:left="900" w:hanging="900"/>
        <w:tabs>
          <w:tab w:val="num" w:pos="900" w:leader="none"/>
        </w:tabs>
      </w:pPr>
      <w:rPr>
        <w:rFonts w:hint="eastAsia"/>
      </w:rPr>
    </w:lvl>
    <w:lvl w:ilvl="8">
      <w:start w:val="1"/>
      <w:numFmt w:val="decimal"/>
      <w:isLgl w:val="false"/>
      <w:suff w:val="tab"/>
      <w:lvlText w:val="%1.%2.%3.%4.%5.%6.%7.%8.%9"/>
      <w:lvlJc w:val="left"/>
      <w:pPr>
        <w:pStyle w:val="1288"/>
        <w:ind w:left="900" w:hanging="900"/>
        <w:tabs>
          <w:tab w:val="num" w:pos="900" w:leader="none"/>
        </w:tabs>
      </w:pPr>
      <w:rPr>
        <w:rFonts w:hint="eastAsia"/>
      </w:rPr>
    </w:lvl>
  </w:abstractNum>
  <w:abstractNum w:abstractNumId="5">
    <w:multiLevelType w:val="hybridMultilevel"/>
    <w:lvl w:ilvl="0">
      <w:start w:val="1"/>
      <w:numFmt w:val="decimal"/>
      <w:isLgl w:val="false"/>
      <w:suff w:val="tab"/>
      <w:lvlText w:val="%1"/>
      <w:lvlJc w:val="left"/>
      <w:pPr>
        <w:pStyle w:val="1288"/>
        <w:ind w:left="900" w:hanging="900"/>
        <w:tabs>
          <w:tab w:val="num" w:pos="900" w:leader="none"/>
        </w:tabs>
      </w:pPr>
      <w:rPr>
        <w:rFonts w:hint="eastAsia"/>
      </w:rPr>
    </w:lvl>
    <w:lvl w:ilvl="1">
      <w:start w:val="1"/>
      <w:numFmt w:val="decimal"/>
      <w:isLgl w:val="false"/>
      <w:suff w:val="tab"/>
      <w:lvlText w:val="%1.%2"/>
      <w:lvlJc w:val="left"/>
      <w:pPr>
        <w:pStyle w:val="1288"/>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288"/>
        <w:ind w:left="1980" w:hanging="900"/>
        <w:tabs>
          <w:tab w:val="num" w:pos="1980" w:leader="none"/>
        </w:tabs>
      </w:pPr>
      <w:rPr>
        <w:rFonts w:hint="eastAsia"/>
      </w:rPr>
    </w:lvl>
    <w:lvl w:ilvl="3">
      <w:start w:val="1"/>
      <w:numFmt w:val="decimal"/>
      <w:isLgl w:val="false"/>
      <w:suff w:val="tab"/>
      <w:lvlText w:val="3.2.1.%4."/>
      <w:lvlJc w:val="left"/>
      <w:pPr>
        <w:pStyle w:val="1288"/>
        <w:ind w:left="900" w:hanging="900"/>
        <w:tabs>
          <w:tab w:val="num" w:pos="900" w:leader="none"/>
        </w:tabs>
      </w:pPr>
      <w:rPr>
        <w:rFonts w:hint="eastAsia"/>
      </w:rPr>
    </w:lvl>
    <w:lvl w:ilvl="4">
      <w:start w:val="1"/>
      <w:numFmt w:val="decimal"/>
      <w:isLgl w:val="false"/>
      <w:suff w:val="tab"/>
      <w:lvlText w:val="%1.%2.%3.%4.%5"/>
      <w:lvlJc w:val="left"/>
      <w:pPr>
        <w:pStyle w:val="1288"/>
        <w:ind w:left="900" w:hanging="900"/>
        <w:tabs>
          <w:tab w:val="num" w:pos="900" w:leader="none"/>
        </w:tabs>
      </w:pPr>
      <w:rPr>
        <w:rFonts w:hint="eastAsia"/>
      </w:rPr>
    </w:lvl>
    <w:lvl w:ilvl="5">
      <w:start w:val="1"/>
      <w:numFmt w:val="decimal"/>
      <w:isLgl w:val="false"/>
      <w:suff w:val="tab"/>
      <w:lvlText w:val="%1.%2.%3.%4.%5.%6"/>
      <w:lvlJc w:val="left"/>
      <w:pPr>
        <w:pStyle w:val="1288"/>
        <w:ind w:left="900" w:hanging="900"/>
        <w:tabs>
          <w:tab w:val="num" w:pos="900" w:leader="none"/>
        </w:tabs>
      </w:pPr>
      <w:rPr>
        <w:rFonts w:hint="eastAsia"/>
      </w:rPr>
    </w:lvl>
    <w:lvl w:ilvl="6">
      <w:start w:val="1"/>
      <w:numFmt w:val="decimal"/>
      <w:isLgl w:val="false"/>
      <w:suff w:val="tab"/>
      <w:lvlText w:val="%1.%2.%3.%4.%5.%6.%7"/>
      <w:lvlJc w:val="left"/>
      <w:pPr>
        <w:pStyle w:val="1288"/>
        <w:ind w:left="900" w:hanging="900"/>
        <w:tabs>
          <w:tab w:val="num" w:pos="900" w:leader="none"/>
        </w:tabs>
      </w:pPr>
      <w:rPr>
        <w:rFonts w:hint="eastAsia"/>
      </w:rPr>
    </w:lvl>
    <w:lvl w:ilvl="7">
      <w:start w:val="1"/>
      <w:numFmt w:val="decimal"/>
      <w:isLgl w:val="false"/>
      <w:suff w:val="tab"/>
      <w:lvlText w:val="%1.%2.%3.%4.%5.%6.%7.%8"/>
      <w:lvlJc w:val="left"/>
      <w:pPr>
        <w:pStyle w:val="1288"/>
        <w:ind w:left="900" w:hanging="900"/>
        <w:tabs>
          <w:tab w:val="num" w:pos="900" w:leader="none"/>
        </w:tabs>
      </w:pPr>
      <w:rPr>
        <w:rFonts w:hint="eastAsia"/>
      </w:rPr>
    </w:lvl>
    <w:lvl w:ilvl="8">
      <w:start w:val="1"/>
      <w:numFmt w:val="decimal"/>
      <w:isLgl w:val="false"/>
      <w:suff w:val="tab"/>
      <w:lvlText w:val="%1.%2.%3.%4.%5.%6.%7.%8.%9"/>
      <w:lvlJc w:val="left"/>
      <w:pPr>
        <w:pStyle w:val="1288"/>
        <w:ind w:left="900" w:hanging="900"/>
        <w:tabs>
          <w:tab w:val="num" w:pos="900" w:leader="none"/>
        </w:tabs>
      </w:pPr>
      <w:rPr>
        <w:rFonts w:hint="eastAsia"/>
      </w:rPr>
    </w:lvl>
  </w:abstractNum>
  <w:abstractNum w:abstractNumId="6">
    <w:multiLevelType w:val="hybridMultilevel"/>
    <w:lvl w:ilvl="0">
      <w:start w:val="7"/>
      <w:numFmt w:val="decimal"/>
      <w:isLgl w:val="false"/>
      <w:suff w:val="nothing"/>
      <w:lvlText w:val="%1、"/>
      <w:lvlJc w:val="left"/>
      <w:pPr>
        <w:pStyle w:val="128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2"/>
      <w:numFmt w:val="decimal"/>
      <w:isLgl w:val="false"/>
      <w:suff w:val="tab"/>
      <w:lvlText w:val="%1"/>
      <w:lvlJc w:val="left"/>
      <w:pPr>
        <w:pStyle w:val="1288"/>
        <w:ind w:left="360" w:hanging="360"/>
      </w:pPr>
    </w:lvl>
    <w:lvl w:ilvl="1">
      <w:start w:val="1"/>
      <w:numFmt w:val="decimal"/>
      <w:isLgl w:val="false"/>
      <w:suff w:val="tab"/>
      <w:lvlText w:val="%1.%2"/>
      <w:lvlJc w:val="left"/>
      <w:pPr>
        <w:pStyle w:val="1288"/>
        <w:ind w:left="784" w:hanging="360"/>
      </w:pPr>
    </w:lvl>
    <w:lvl w:ilvl="2">
      <w:start w:val="1"/>
      <w:numFmt w:val="decimal"/>
      <w:isLgl w:val="false"/>
      <w:suff w:val="tab"/>
      <w:lvlText w:val="%1.%2.%3"/>
      <w:lvlJc w:val="left"/>
      <w:pPr>
        <w:pStyle w:val="1288"/>
        <w:ind w:left="1568" w:hanging="720"/>
      </w:pPr>
    </w:lvl>
    <w:lvl w:ilvl="3">
      <w:start w:val="1"/>
      <w:numFmt w:val="decimal"/>
      <w:isLgl w:val="false"/>
      <w:suff w:val="tab"/>
      <w:lvlText w:val="%1.%2.%3.%4"/>
      <w:lvlJc w:val="left"/>
      <w:pPr>
        <w:pStyle w:val="1288"/>
        <w:ind w:left="1992" w:hanging="720"/>
      </w:pPr>
    </w:lvl>
    <w:lvl w:ilvl="4">
      <w:start w:val="1"/>
      <w:numFmt w:val="decimal"/>
      <w:isLgl w:val="false"/>
      <w:suff w:val="tab"/>
      <w:lvlText w:val="%1.%2.%3.%4.%5"/>
      <w:lvlJc w:val="left"/>
      <w:pPr>
        <w:pStyle w:val="1288"/>
        <w:ind w:left="2776" w:hanging="1080"/>
      </w:pPr>
    </w:lvl>
    <w:lvl w:ilvl="5">
      <w:start w:val="1"/>
      <w:numFmt w:val="decimal"/>
      <w:isLgl w:val="false"/>
      <w:suff w:val="tab"/>
      <w:lvlText w:val="%1.%2.%3.%4.%5.%6"/>
      <w:lvlJc w:val="left"/>
      <w:pPr>
        <w:pStyle w:val="1288"/>
        <w:ind w:left="3200" w:hanging="1080"/>
      </w:pPr>
    </w:lvl>
    <w:lvl w:ilvl="6">
      <w:start w:val="1"/>
      <w:numFmt w:val="decimal"/>
      <w:isLgl w:val="false"/>
      <w:suff w:val="tab"/>
      <w:lvlText w:val="%1.%2.%3.%4.%5.%6.%7"/>
      <w:lvlJc w:val="left"/>
      <w:pPr>
        <w:pStyle w:val="1288"/>
        <w:ind w:left="3984" w:hanging="1440"/>
      </w:pPr>
    </w:lvl>
    <w:lvl w:ilvl="7">
      <w:start w:val="1"/>
      <w:numFmt w:val="decimal"/>
      <w:isLgl w:val="false"/>
      <w:suff w:val="tab"/>
      <w:lvlText w:val="%1.%2.%3.%4.%5.%6.%7.%8"/>
      <w:lvlJc w:val="left"/>
      <w:pPr>
        <w:pStyle w:val="1288"/>
        <w:ind w:left="4408" w:hanging="1440"/>
      </w:pPr>
    </w:lvl>
    <w:lvl w:ilvl="8">
      <w:start w:val="1"/>
      <w:numFmt w:val="decimal"/>
      <w:isLgl w:val="false"/>
      <w:suff w:val="tab"/>
      <w:lvlText w:val="%1.%2.%3.%4.%5.%6.%7.%8.%9"/>
      <w:lvlJc w:val="left"/>
      <w:pPr>
        <w:pStyle w:val="1288"/>
        <w:ind w:left="5192" w:hanging="1800"/>
      </w:pPr>
    </w:lvl>
  </w:abstractNum>
  <w:abstractNum w:abstractNumId="8">
    <w:multiLevelType w:val="hybridMultilevel"/>
    <w:lvl w:ilvl="0">
      <w:start w:val="1"/>
      <w:numFmt w:val="decimal"/>
      <w:isLgl w:val="false"/>
      <w:suff w:val="tab"/>
      <w:lvlText w:val="%1."/>
      <w:lvlJc w:val="left"/>
      <w:pPr>
        <w:ind w:left="360" w:hanging="360"/>
      </w:pPr>
    </w:lvl>
    <w:lvl w:ilvl="1">
      <w:start w:val="1"/>
      <w:numFmt w:val="decimal"/>
      <w:isLgl w:val="false"/>
      <w:suff w:val="tab"/>
      <w:lvlText w:val="%1.%2."/>
      <w:lvlJc w:val="left"/>
      <w:pPr>
        <w:ind w:left="792" w:hanging="432"/>
      </w:pPr>
    </w:lvl>
    <w:lvl w:ilvl="2">
      <w:start w:val="1"/>
      <w:numFmt w:val="decimal"/>
      <w:isLgl w:val="false"/>
      <w:suff w:val="tab"/>
      <w:lvlText w:val="%1.%2.%3."/>
      <w:lvlJc w:val="left"/>
      <w:pPr>
        <w:ind w:left="1224" w:hanging="504"/>
      </w:pPr>
    </w:lvl>
    <w:lvl w:ilvl="3">
      <w:start w:val="1"/>
      <w:numFmt w:val="decimal"/>
      <w:isLgl w:val="false"/>
      <w:suff w:val="tab"/>
      <w:lvlText w:val="%1.%2.%3.%4."/>
      <w:lvlJc w:val="left"/>
      <w:pPr>
        <w:ind w:left="1728" w:hanging="648"/>
      </w:pPr>
    </w:lvl>
    <w:lvl w:ilvl="4">
      <w:start w:val="1"/>
      <w:numFmt w:val="decimal"/>
      <w:isLgl w:val="false"/>
      <w:suff w:val="tab"/>
      <w:lvlText w:val="%1.%2.%3.%4.%5."/>
      <w:lvlJc w:val="left"/>
      <w:pPr>
        <w:ind w:left="2232" w:hanging="792"/>
      </w:pPr>
    </w:lvl>
    <w:lvl w:ilvl="5">
      <w:start w:val="1"/>
      <w:numFmt w:val="decimal"/>
      <w:isLgl w:val="false"/>
      <w:suff w:val="tab"/>
      <w:lvlText w:val="%1.%2.%3.%4.%5.%6."/>
      <w:lvlJc w:val="left"/>
      <w:pPr>
        <w:ind w:left="2736" w:hanging="936"/>
      </w:pPr>
    </w:lvl>
    <w:lvl w:ilvl="6">
      <w:start w:val="1"/>
      <w:numFmt w:val="decimal"/>
      <w:isLgl w:val="false"/>
      <w:suff w:val="tab"/>
      <w:lvlText w:val="%1.%2.%3.%4.%5.%6.%7."/>
      <w:lvlJc w:val="left"/>
      <w:pPr>
        <w:ind w:left="3240" w:hanging="1080"/>
      </w:pPr>
    </w:lvl>
    <w:lvl w:ilvl="7">
      <w:start w:val="1"/>
      <w:numFmt w:val="decimal"/>
      <w:isLgl w:val="false"/>
      <w:suff w:val="tab"/>
      <w:lvlText w:val="%1.%2.%3.%4.%5.%6.%7.%8."/>
      <w:lvlJc w:val="left"/>
      <w:pPr>
        <w:ind w:left="3744" w:hanging="1224"/>
      </w:pPr>
    </w:lvl>
    <w:lvl w:ilvl="8">
      <w:start w:val="1"/>
      <w:numFmt w:val="decimal"/>
      <w:isLgl w:val="false"/>
      <w:suff w:val="tab"/>
      <w:lvlText w:val="%1.%2.%3.%4.%5.%6.%7.%8.%9."/>
      <w:lvlJc w:val="left"/>
      <w:pPr>
        <w:ind w:left="4320" w:hanging="1440"/>
      </w:pPr>
    </w:lvl>
  </w:abstractNum>
  <w:abstractNum w:abstractNumId="9">
    <w:multiLevelType w:val="hybridMultilevel"/>
    <w:lvl w:ilvl="0">
      <w:start w:val="1"/>
      <w:numFmt w:val="decimal"/>
      <w:isLgl w:val="false"/>
      <w:suff w:val="tab"/>
      <w:lvlText w:val="%1"/>
      <w:lvlJc w:val="left"/>
      <w:pPr>
        <w:pStyle w:val="1288"/>
        <w:ind w:left="425" w:hanging="425"/>
      </w:pPr>
      <w:rPr>
        <w:rFonts w:hint="eastAsia"/>
      </w:rPr>
    </w:lvl>
    <w:lvl w:ilvl="1">
      <w:start w:val="1"/>
      <w:numFmt w:val="decimal"/>
      <w:isLgl w:val="false"/>
      <w:suff w:val="tab"/>
      <w:lvlText w:val="%1.%2"/>
      <w:lvlJc w:val="left"/>
      <w:pPr>
        <w:pStyle w:val="1288"/>
        <w:ind w:left="992" w:hanging="567"/>
      </w:pPr>
      <w:rPr>
        <w:rFonts w:hint="eastAsia"/>
      </w:rPr>
    </w:lvl>
    <w:lvl w:ilvl="2">
      <w:start w:val="1"/>
      <w:numFmt w:val="decimal"/>
      <w:isLgl w:val="false"/>
      <w:suff w:val="tab"/>
      <w:lvlText w:val="%1.%2.%3"/>
      <w:lvlJc w:val="left"/>
      <w:pPr>
        <w:pStyle w:val="1288"/>
        <w:ind w:left="1418" w:hanging="567"/>
      </w:pPr>
      <w:rPr>
        <w:rFonts w:hint="eastAsia"/>
      </w:rPr>
    </w:lvl>
    <w:lvl w:ilvl="3">
      <w:start w:val="1"/>
      <w:numFmt w:val="decimal"/>
      <w:isLgl w:val="false"/>
      <w:suff w:val="tab"/>
      <w:lvlText w:val="%1.%2.%3.%4"/>
      <w:lvlJc w:val="left"/>
      <w:pPr>
        <w:pStyle w:val="1288"/>
        <w:ind w:left="1984" w:hanging="708"/>
      </w:pPr>
      <w:rPr>
        <w:rFonts w:hint="eastAsia"/>
      </w:rPr>
    </w:lvl>
    <w:lvl w:ilvl="4">
      <w:start w:val="1"/>
      <w:numFmt w:val="decimal"/>
      <w:isLgl w:val="false"/>
      <w:suff w:val="tab"/>
      <w:lvlText w:val="%1.%2.%3.%4.%5"/>
      <w:lvlJc w:val="left"/>
      <w:pPr>
        <w:pStyle w:val="1288"/>
        <w:ind w:left="2551" w:hanging="850"/>
      </w:pPr>
      <w:rPr>
        <w:rFonts w:hint="eastAsia"/>
      </w:rPr>
    </w:lvl>
    <w:lvl w:ilvl="5">
      <w:start w:val="1"/>
      <w:numFmt w:val="decimal"/>
      <w:isLgl w:val="false"/>
      <w:suff w:val="tab"/>
      <w:lvlText w:val="%1.%2.%3.%4.%5.%6"/>
      <w:lvlJc w:val="left"/>
      <w:pPr>
        <w:pStyle w:val="1288"/>
        <w:ind w:left="3260" w:hanging="1134"/>
      </w:pPr>
      <w:rPr>
        <w:rFonts w:hint="eastAsia"/>
      </w:rPr>
    </w:lvl>
    <w:lvl w:ilvl="6">
      <w:start w:val="1"/>
      <w:numFmt w:val="decimal"/>
      <w:isLgl w:val="false"/>
      <w:suff w:val="tab"/>
      <w:lvlText w:val="%1.%2.%3.%4.%5.%6.%7"/>
      <w:lvlJc w:val="left"/>
      <w:pPr>
        <w:pStyle w:val="1288"/>
        <w:ind w:left="3827" w:hanging="1276"/>
      </w:pPr>
      <w:rPr>
        <w:rFonts w:hint="eastAsia"/>
      </w:rPr>
    </w:lvl>
    <w:lvl w:ilvl="7">
      <w:start w:val="1"/>
      <w:numFmt w:val="decimal"/>
      <w:isLgl w:val="false"/>
      <w:suff w:val="tab"/>
      <w:lvlText w:val="%1.%2.%3.%4.%5.%6.%7.%8"/>
      <w:lvlJc w:val="left"/>
      <w:pPr>
        <w:pStyle w:val="1288"/>
        <w:ind w:left="4394" w:hanging="1418"/>
      </w:pPr>
      <w:rPr>
        <w:rFonts w:hint="eastAsia"/>
      </w:rPr>
    </w:lvl>
    <w:lvl w:ilvl="8">
      <w:start w:val="1"/>
      <w:numFmt w:val="decimal"/>
      <w:isLgl w:val="false"/>
      <w:suff w:val="tab"/>
      <w:lvlText w:val="%1.%2.%3.%4.%5.%6.%7.%8.%9"/>
      <w:lvlJc w:val="left"/>
      <w:pPr>
        <w:pStyle w:val="1288"/>
        <w:ind w:left="5102" w:hanging="1700"/>
      </w:pPr>
      <w:rPr>
        <w:rFonts w:hint="eastAsia"/>
      </w:rPr>
    </w:lvl>
  </w:abstractNum>
  <w:abstractNum w:abstractNumId="10">
    <w:multiLevelType w:val="hybridMultilevel"/>
    <w:lvl w:ilvl="0">
      <w:start w:val="1"/>
      <w:numFmt w:val="decimal"/>
      <w:isLgl w:val="false"/>
      <w:suff w:val="tab"/>
      <w:lvlText w:val="%1"/>
      <w:lvlJc w:val="left"/>
      <w:pPr>
        <w:pStyle w:val="1288"/>
        <w:ind w:left="900" w:hanging="900"/>
        <w:tabs>
          <w:tab w:val="num" w:pos="900" w:leader="none"/>
        </w:tabs>
      </w:pPr>
      <w:rPr>
        <w:rFonts w:hint="eastAsia"/>
      </w:rPr>
    </w:lvl>
    <w:lvl w:ilvl="1">
      <w:start w:val="1"/>
      <w:numFmt w:val="decimal"/>
      <w:isLgl w:val="false"/>
      <w:suff w:val="tab"/>
      <w:lvlText w:val="%1.%2"/>
      <w:lvlJc w:val="left"/>
      <w:pPr>
        <w:pStyle w:val="1288"/>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288"/>
        <w:ind w:left="1980" w:hanging="900"/>
        <w:tabs>
          <w:tab w:val="num" w:pos="1980" w:leader="none"/>
        </w:tabs>
      </w:pPr>
      <w:rPr>
        <w:rFonts w:hint="eastAsia"/>
      </w:rPr>
    </w:lvl>
    <w:lvl w:ilvl="3">
      <w:start w:val="1"/>
      <w:numFmt w:val="decimal"/>
      <w:isLgl w:val="false"/>
      <w:suff w:val="tab"/>
      <w:lvlText w:val="3.2.3.%4."/>
      <w:lvlJc w:val="left"/>
      <w:pPr>
        <w:pStyle w:val="1288"/>
        <w:ind w:left="900" w:hanging="900"/>
        <w:tabs>
          <w:tab w:val="num" w:pos="900" w:leader="none"/>
        </w:tabs>
      </w:pPr>
      <w:rPr>
        <w:rFonts w:hint="eastAsia"/>
      </w:rPr>
    </w:lvl>
    <w:lvl w:ilvl="4">
      <w:start w:val="1"/>
      <w:numFmt w:val="decimal"/>
      <w:isLgl w:val="false"/>
      <w:suff w:val="tab"/>
      <w:lvlText w:val="%1.%2.%3.%4.%5"/>
      <w:lvlJc w:val="left"/>
      <w:pPr>
        <w:pStyle w:val="1288"/>
        <w:ind w:left="900" w:hanging="900"/>
        <w:tabs>
          <w:tab w:val="num" w:pos="900" w:leader="none"/>
        </w:tabs>
      </w:pPr>
      <w:rPr>
        <w:rFonts w:hint="eastAsia"/>
      </w:rPr>
    </w:lvl>
    <w:lvl w:ilvl="5">
      <w:start w:val="1"/>
      <w:numFmt w:val="decimal"/>
      <w:isLgl w:val="false"/>
      <w:suff w:val="tab"/>
      <w:lvlText w:val="%1.%2.%3.%4.%5.%6"/>
      <w:lvlJc w:val="left"/>
      <w:pPr>
        <w:pStyle w:val="1288"/>
        <w:ind w:left="900" w:hanging="900"/>
        <w:tabs>
          <w:tab w:val="num" w:pos="900" w:leader="none"/>
        </w:tabs>
      </w:pPr>
      <w:rPr>
        <w:rFonts w:hint="eastAsia"/>
      </w:rPr>
    </w:lvl>
    <w:lvl w:ilvl="6">
      <w:start w:val="1"/>
      <w:numFmt w:val="decimal"/>
      <w:isLgl w:val="false"/>
      <w:suff w:val="tab"/>
      <w:lvlText w:val="%1.%2.%3.%4.%5.%6.%7"/>
      <w:lvlJc w:val="left"/>
      <w:pPr>
        <w:pStyle w:val="1288"/>
        <w:ind w:left="900" w:hanging="900"/>
        <w:tabs>
          <w:tab w:val="num" w:pos="900" w:leader="none"/>
        </w:tabs>
      </w:pPr>
      <w:rPr>
        <w:rFonts w:hint="eastAsia"/>
      </w:rPr>
    </w:lvl>
    <w:lvl w:ilvl="7">
      <w:start w:val="1"/>
      <w:numFmt w:val="decimal"/>
      <w:isLgl w:val="false"/>
      <w:suff w:val="tab"/>
      <w:lvlText w:val="%1.%2.%3.%4.%5.%6.%7.%8"/>
      <w:lvlJc w:val="left"/>
      <w:pPr>
        <w:pStyle w:val="1288"/>
        <w:ind w:left="900" w:hanging="900"/>
        <w:tabs>
          <w:tab w:val="num" w:pos="900" w:leader="none"/>
        </w:tabs>
      </w:pPr>
      <w:rPr>
        <w:rFonts w:hint="eastAsia"/>
      </w:rPr>
    </w:lvl>
    <w:lvl w:ilvl="8">
      <w:start w:val="1"/>
      <w:numFmt w:val="decimal"/>
      <w:isLgl w:val="false"/>
      <w:suff w:val="tab"/>
      <w:lvlText w:val="%1.%2.%3.%4.%5.%6.%7.%8.%9"/>
      <w:lvlJc w:val="left"/>
      <w:pPr>
        <w:pStyle w:val="1288"/>
        <w:ind w:left="900" w:hanging="900"/>
        <w:tabs>
          <w:tab w:val="num" w:pos="900" w:leader="none"/>
        </w:tabs>
      </w:pPr>
      <w:rPr>
        <w:rFonts w:hint="eastAsia"/>
      </w:rPr>
    </w:lvl>
  </w:abstractNum>
  <w:abstractNum w:abstractNumId="11">
    <w:multiLevelType w:val="hybridMultilevel"/>
    <w:lvl w:ilvl="0">
      <w:start w:val="1"/>
      <w:numFmt w:val="decimal"/>
      <w:isLgl w:val="false"/>
      <w:suff w:val="tab"/>
      <w:lvlText w:val="%1"/>
      <w:lvlJc w:val="left"/>
      <w:pPr>
        <w:pStyle w:val="1288"/>
        <w:ind w:left="425" w:hanging="425"/>
      </w:pPr>
    </w:lvl>
    <w:lvl w:ilvl="1">
      <w:start w:val="1"/>
      <w:numFmt w:val="decimal"/>
      <w:isLgl w:val="false"/>
      <w:suff w:val="tab"/>
      <w:lvlText w:val="%1.%2"/>
      <w:lvlJc w:val="left"/>
      <w:pPr>
        <w:pStyle w:val="1288"/>
        <w:ind w:left="992" w:hanging="567"/>
      </w:pPr>
    </w:lvl>
    <w:lvl w:ilvl="2">
      <w:start w:val="1"/>
      <w:numFmt w:val="decimal"/>
      <w:isLgl w:val="false"/>
      <w:suff w:val="tab"/>
      <w:lvlText w:val="%1.%2.%3"/>
      <w:lvlJc w:val="left"/>
      <w:pPr>
        <w:pStyle w:val="1288"/>
        <w:ind w:left="1418" w:hanging="567"/>
      </w:pPr>
    </w:lvl>
    <w:lvl w:ilvl="3">
      <w:start w:val="1"/>
      <w:numFmt w:val="decimal"/>
      <w:isLgl w:val="false"/>
      <w:suff w:val="tab"/>
      <w:lvlText w:val="%1.%2.%3.%4"/>
      <w:lvlJc w:val="left"/>
      <w:pPr>
        <w:pStyle w:val="1288"/>
        <w:ind w:left="1984" w:hanging="708"/>
      </w:pPr>
    </w:lvl>
    <w:lvl w:ilvl="4">
      <w:start w:val="1"/>
      <w:numFmt w:val="decimal"/>
      <w:isLgl w:val="false"/>
      <w:suff w:val="tab"/>
      <w:lvlText w:val="%1.%2.%3.%4.%5"/>
      <w:lvlJc w:val="left"/>
      <w:pPr>
        <w:pStyle w:val="1288"/>
        <w:ind w:left="2551" w:hanging="850"/>
      </w:pPr>
    </w:lvl>
    <w:lvl w:ilvl="5">
      <w:start w:val="1"/>
      <w:numFmt w:val="decimal"/>
      <w:isLgl w:val="false"/>
      <w:suff w:val="tab"/>
      <w:lvlText w:val="%1.%2.%3.%4.%5.%6"/>
      <w:lvlJc w:val="left"/>
      <w:pPr>
        <w:pStyle w:val="1288"/>
        <w:ind w:left="3260" w:hanging="1134"/>
      </w:pPr>
    </w:lvl>
    <w:lvl w:ilvl="6">
      <w:start w:val="1"/>
      <w:numFmt w:val="decimal"/>
      <w:isLgl w:val="false"/>
      <w:suff w:val="tab"/>
      <w:lvlText w:val="%1.%2.%3.%4.%5.%6.%7"/>
      <w:lvlJc w:val="left"/>
      <w:pPr>
        <w:pStyle w:val="1288"/>
        <w:ind w:left="3827" w:hanging="1276"/>
      </w:pPr>
    </w:lvl>
    <w:lvl w:ilvl="7">
      <w:start w:val="1"/>
      <w:numFmt w:val="decimal"/>
      <w:isLgl w:val="false"/>
      <w:suff w:val="tab"/>
      <w:lvlText w:val="%1.%2.%3.%4.%5.%6.%7.%8"/>
      <w:lvlJc w:val="left"/>
      <w:pPr>
        <w:pStyle w:val="1288"/>
        <w:ind w:left="4394" w:hanging="1418"/>
      </w:pPr>
    </w:lvl>
    <w:lvl w:ilvl="8">
      <w:start w:val="1"/>
      <w:numFmt w:val="decimal"/>
      <w:isLgl w:val="false"/>
      <w:suff w:val="tab"/>
      <w:lvlText w:val="%1.%2.%3.%4.%5.%6.%7.%8.%9"/>
      <w:lvlJc w:val="left"/>
      <w:pPr>
        <w:pStyle w:val="1288"/>
        <w:ind w:left="5102" w:hanging="1700"/>
      </w:pPr>
    </w:lvl>
  </w:abstractNum>
  <w:num w:numId="1">
    <w:abstractNumId w:val="1"/>
  </w:num>
  <w:num w:numId="2">
    <w:abstractNumId w:val="2"/>
  </w:num>
  <w:num w:numId="3">
    <w:abstractNumId w:val="5"/>
  </w:num>
  <w:num w:numId="4">
    <w:abstractNumId w:val="10"/>
  </w:num>
  <w:num w:numId="5">
    <w:abstractNumId w:val="0"/>
  </w:num>
  <w:num w:numId="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
  </w:num>
  <w:num w:numId="8">
    <w:abstractNumId w:val="4"/>
  </w:num>
  <w:num w:numId="9">
    <w:abstractNumId w:val="7"/>
  </w:num>
  <w:num w:numId="10">
    <w:abstractNumId w:val="9"/>
  </w:num>
  <w:num w:numId="11">
    <w:abstractNumId w:val="8"/>
  </w:num>
  <w:num w:numId="12">
    <w:abstractNumId w:val="11"/>
  </w:num>
  <w:num w:numId="1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110">
    <w:name w:val="Heading 1"/>
    <w:basedOn w:val="1288"/>
    <w:next w:val="1288"/>
    <w:link w:val="1111"/>
    <w:uiPriority w:val="9"/>
    <w:qFormat/>
    <w:pPr>
      <w:keepLines/>
      <w:keepNext/>
      <w:spacing w:before="480" w:after="200"/>
      <w:outlineLvl w:val="0"/>
    </w:pPr>
    <w:rPr>
      <w:rFonts w:ascii="Arial" w:hAnsi="Arial" w:eastAsia="Arial" w:cs="Arial"/>
      <w:sz w:val="40"/>
      <w:szCs w:val="40"/>
    </w:rPr>
  </w:style>
  <w:style w:type="character" w:styleId="1111">
    <w:name w:val="Heading 1 Char"/>
    <w:link w:val="1110"/>
    <w:uiPriority w:val="9"/>
    <w:rPr>
      <w:rFonts w:ascii="Arial" w:hAnsi="Arial" w:eastAsia="Arial" w:cs="Arial"/>
      <w:sz w:val="40"/>
      <w:szCs w:val="40"/>
    </w:rPr>
  </w:style>
  <w:style w:type="paragraph" w:styleId="1112">
    <w:name w:val="Heading 2"/>
    <w:basedOn w:val="1288"/>
    <w:next w:val="1288"/>
    <w:link w:val="1113"/>
    <w:uiPriority w:val="9"/>
    <w:unhideWhenUsed/>
    <w:qFormat/>
    <w:pPr>
      <w:keepLines/>
      <w:keepNext/>
      <w:spacing w:before="360" w:after="200"/>
      <w:outlineLvl w:val="1"/>
    </w:pPr>
    <w:rPr>
      <w:rFonts w:ascii="Arial" w:hAnsi="Arial" w:eastAsia="Arial" w:cs="Arial"/>
      <w:sz w:val="34"/>
    </w:rPr>
  </w:style>
  <w:style w:type="character" w:styleId="1113">
    <w:name w:val="Heading 2 Char"/>
    <w:link w:val="1112"/>
    <w:uiPriority w:val="9"/>
    <w:rPr>
      <w:rFonts w:ascii="Arial" w:hAnsi="Arial" w:eastAsia="Arial" w:cs="Arial"/>
      <w:sz w:val="34"/>
    </w:rPr>
  </w:style>
  <w:style w:type="paragraph" w:styleId="1114">
    <w:name w:val="Heading 3"/>
    <w:basedOn w:val="1288"/>
    <w:next w:val="1288"/>
    <w:link w:val="1115"/>
    <w:uiPriority w:val="9"/>
    <w:unhideWhenUsed/>
    <w:qFormat/>
    <w:pPr>
      <w:keepLines/>
      <w:keepNext/>
      <w:spacing w:before="320" w:after="200"/>
      <w:outlineLvl w:val="2"/>
    </w:pPr>
    <w:rPr>
      <w:rFonts w:ascii="Arial" w:hAnsi="Arial" w:eastAsia="Arial" w:cs="Arial"/>
      <w:sz w:val="30"/>
      <w:szCs w:val="30"/>
    </w:rPr>
  </w:style>
  <w:style w:type="character" w:styleId="1115">
    <w:name w:val="Heading 3 Char"/>
    <w:link w:val="1114"/>
    <w:uiPriority w:val="9"/>
    <w:rPr>
      <w:rFonts w:ascii="Arial" w:hAnsi="Arial" w:eastAsia="Arial" w:cs="Arial"/>
      <w:sz w:val="30"/>
      <w:szCs w:val="30"/>
    </w:rPr>
  </w:style>
  <w:style w:type="paragraph" w:styleId="1116">
    <w:name w:val="Heading 4"/>
    <w:basedOn w:val="1288"/>
    <w:next w:val="1288"/>
    <w:link w:val="1117"/>
    <w:uiPriority w:val="9"/>
    <w:unhideWhenUsed/>
    <w:qFormat/>
    <w:pPr>
      <w:keepLines/>
      <w:keepNext/>
      <w:spacing w:before="320" w:after="200"/>
      <w:outlineLvl w:val="3"/>
    </w:pPr>
    <w:rPr>
      <w:rFonts w:ascii="Arial" w:hAnsi="Arial" w:eastAsia="Arial" w:cs="Arial"/>
      <w:b/>
      <w:bCs/>
      <w:sz w:val="26"/>
      <w:szCs w:val="26"/>
    </w:rPr>
  </w:style>
  <w:style w:type="character" w:styleId="1117">
    <w:name w:val="Heading 4 Char"/>
    <w:link w:val="1116"/>
    <w:uiPriority w:val="9"/>
    <w:rPr>
      <w:rFonts w:ascii="Arial" w:hAnsi="Arial" w:eastAsia="Arial" w:cs="Arial"/>
      <w:b/>
      <w:bCs/>
      <w:sz w:val="26"/>
      <w:szCs w:val="26"/>
    </w:rPr>
  </w:style>
  <w:style w:type="paragraph" w:styleId="1118">
    <w:name w:val="Heading 5"/>
    <w:basedOn w:val="1288"/>
    <w:next w:val="1288"/>
    <w:link w:val="1119"/>
    <w:uiPriority w:val="9"/>
    <w:unhideWhenUsed/>
    <w:qFormat/>
    <w:pPr>
      <w:keepLines/>
      <w:keepNext/>
      <w:spacing w:before="320" w:after="200"/>
      <w:outlineLvl w:val="4"/>
    </w:pPr>
    <w:rPr>
      <w:rFonts w:ascii="Arial" w:hAnsi="Arial" w:eastAsia="Arial" w:cs="Arial"/>
      <w:b/>
      <w:bCs/>
      <w:sz w:val="24"/>
      <w:szCs w:val="24"/>
    </w:rPr>
  </w:style>
  <w:style w:type="character" w:styleId="1119">
    <w:name w:val="Heading 5 Char"/>
    <w:link w:val="1118"/>
    <w:uiPriority w:val="9"/>
    <w:rPr>
      <w:rFonts w:ascii="Arial" w:hAnsi="Arial" w:eastAsia="Arial" w:cs="Arial"/>
      <w:b/>
      <w:bCs/>
      <w:sz w:val="24"/>
      <w:szCs w:val="24"/>
    </w:rPr>
  </w:style>
  <w:style w:type="paragraph" w:styleId="1120">
    <w:name w:val="Heading 6"/>
    <w:basedOn w:val="1288"/>
    <w:next w:val="1288"/>
    <w:link w:val="1121"/>
    <w:uiPriority w:val="9"/>
    <w:unhideWhenUsed/>
    <w:qFormat/>
    <w:pPr>
      <w:keepLines/>
      <w:keepNext/>
      <w:spacing w:before="320" w:after="200"/>
      <w:outlineLvl w:val="5"/>
    </w:pPr>
    <w:rPr>
      <w:rFonts w:ascii="Arial" w:hAnsi="Arial" w:eastAsia="Arial" w:cs="Arial"/>
      <w:b/>
      <w:bCs/>
      <w:sz w:val="22"/>
      <w:szCs w:val="22"/>
    </w:rPr>
  </w:style>
  <w:style w:type="character" w:styleId="1121">
    <w:name w:val="Heading 6 Char"/>
    <w:link w:val="1120"/>
    <w:uiPriority w:val="9"/>
    <w:rPr>
      <w:rFonts w:ascii="Arial" w:hAnsi="Arial" w:eastAsia="Arial" w:cs="Arial"/>
      <w:b/>
      <w:bCs/>
      <w:sz w:val="22"/>
      <w:szCs w:val="22"/>
    </w:rPr>
  </w:style>
  <w:style w:type="paragraph" w:styleId="1122">
    <w:name w:val="Heading 7"/>
    <w:basedOn w:val="1288"/>
    <w:next w:val="1288"/>
    <w:link w:val="1123"/>
    <w:uiPriority w:val="9"/>
    <w:unhideWhenUsed/>
    <w:qFormat/>
    <w:pPr>
      <w:keepLines/>
      <w:keepNext/>
      <w:spacing w:before="320" w:after="200"/>
      <w:outlineLvl w:val="6"/>
    </w:pPr>
    <w:rPr>
      <w:rFonts w:ascii="Arial" w:hAnsi="Arial" w:eastAsia="Arial" w:cs="Arial"/>
      <w:b/>
      <w:bCs/>
      <w:i/>
      <w:iCs/>
      <w:sz w:val="22"/>
      <w:szCs w:val="22"/>
    </w:rPr>
  </w:style>
  <w:style w:type="character" w:styleId="1123">
    <w:name w:val="Heading 7 Char"/>
    <w:link w:val="1122"/>
    <w:uiPriority w:val="9"/>
    <w:rPr>
      <w:rFonts w:ascii="Arial" w:hAnsi="Arial" w:eastAsia="Arial" w:cs="Arial"/>
      <w:b/>
      <w:bCs/>
      <w:i/>
      <w:iCs/>
      <w:sz w:val="22"/>
      <w:szCs w:val="22"/>
    </w:rPr>
  </w:style>
  <w:style w:type="paragraph" w:styleId="1124">
    <w:name w:val="Heading 8"/>
    <w:basedOn w:val="1288"/>
    <w:next w:val="1288"/>
    <w:link w:val="1125"/>
    <w:uiPriority w:val="9"/>
    <w:unhideWhenUsed/>
    <w:qFormat/>
    <w:pPr>
      <w:keepLines/>
      <w:keepNext/>
      <w:spacing w:before="320" w:after="200"/>
      <w:outlineLvl w:val="7"/>
    </w:pPr>
    <w:rPr>
      <w:rFonts w:ascii="Arial" w:hAnsi="Arial" w:eastAsia="Arial" w:cs="Arial"/>
      <w:i/>
      <w:iCs/>
      <w:sz w:val="22"/>
      <w:szCs w:val="22"/>
    </w:rPr>
  </w:style>
  <w:style w:type="character" w:styleId="1125">
    <w:name w:val="Heading 8 Char"/>
    <w:link w:val="1124"/>
    <w:uiPriority w:val="9"/>
    <w:rPr>
      <w:rFonts w:ascii="Arial" w:hAnsi="Arial" w:eastAsia="Arial" w:cs="Arial"/>
      <w:i/>
      <w:iCs/>
      <w:sz w:val="22"/>
      <w:szCs w:val="22"/>
    </w:rPr>
  </w:style>
  <w:style w:type="paragraph" w:styleId="1126">
    <w:name w:val="Heading 9"/>
    <w:basedOn w:val="1288"/>
    <w:next w:val="1288"/>
    <w:link w:val="1127"/>
    <w:uiPriority w:val="9"/>
    <w:unhideWhenUsed/>
    <w:qFormat/>
    <w:pPr>
      <w:keepLines/>
      <w:keepNext/>
      <w:spacing w:before="320" w:after="200"/>
      <w:outlineLvl w:val="8"/>
    </w:pPr>
    <w:rPr>
      <w:rFonts w:ascii="Arial" w:hAnsi="Arial" w:eastAsia="Arial" w:cs="Arial"/>
      <w:i/>
      <w:iCs/>
      <w:sz w:val="21"/>
      <w:szCs w:val="21"/>
    </w:rPr>
  </w:style>
  <w:style w:type="character" w:styleId="1127">
    <w:name w:val="Heading 9 Char"/>
    <w:link w:val="1126"/>
    <w:uiPriority w:val="9"/>
    <w:rPr>
      <w:rFonts w:ascii="Arial" w:hAnsi="Arial" w:eastAsia="Arial" w:cs="Arial"/>
      <w:i/>
      <w:iCs/>
      <w:sz w:val="21"/>
      <w:szCs w:val="21"/>
    </w:rPr>
  </w:style>
  <w:style w:type="paragraph" w:styleId="1128">
    <w:name w:val="List Paragraph"/>
    <w:basedOn w:val="1288"/>
    <w:uiPriority w:val="34"/>
    <w:qFormat/>
    <w:pPr>
      <w:contextualSpacing/>
      <w:ind w:left="720"/>
    </w:pPr>
  </w:style>
  <w:style w:type="paragraph" w:styleId="1129">
    <w:name w:val="No Spacing"/>
    <w:uiPriority w:val="1"/>
    <w:qFormat/>
    <w:pPr>
      <w:spacing w:before="0" w:after="0" w:line="240" w:lineRule="auto"/>
    </w:pPr>
  </w:style>
  <w:style w:type="paragraph" w:styleId="1130">
    <w:name w:val="Title"/>
    <w:basedOn w:val="1288"/>
    <w:next w:val="1288"/>
    <w:link w:val="1131"/>
    <w:uiPriority w:val="10"/>
    <w:qFormat/>
    <w:pPr>
      <w:contextualSpacing/>
      <w:spacing w:before="300" w:after="200"/>
    </w:pPr>
    <w:rPr>
      <w:sz w:val="48"/>
      <w:szCs w:val="48"/>
    </w:rPr>
  </w:style>
  <w:style w:type="character" w:styleId="1131">
    <w:name w:val="Title Char"/>
    <w:link w:val="1130"/>
    <w:uiPriority w:val="10"/>
    <w:rPr>
      <w:sz w:val="48"/>
      <w:szCs w:val="48"/>
    </w:rPr>
  </w:style>
  <w:style w:type="paragraph" w:styleId="1132">
    <w:name w:val="Subtitle"/>
    <w:basedOn w:val="1288"/>
    <w:next w:val="1288"/>
    <w:link w:val="1133"/>
    <w:uiPriority w:val="11"/>
    <w:qFormat/>
    <w:pPr>
      <w:spacing w:before="200" w:after="200"/>
    </w:pPr>
    <w:rPr>
      <w:sz w:val="24"/>
      <w:szCs w:val="24"/>
    </w:rPr>
  </w:style>
  <w:style w:type="character" w:styleId="1133">
    <w:name w:val="Subtitle Char"/>
    <w:link w:val="1132"/>
    <w:uiPriority w:val="11"/>
    <w:rPr>
      <w:sz w:val="24"/>
      <w:szCs w:val="24"/>
    </w:rPr>
  </w:style>
  <w:style w:type="paragraph" w:styleId="1134">
    <w:name w:val="Quote"/>
    <w:basedOn w:val="1288"/>
    <w:next w:val="1288"/>
    <w:link w:val="1135"/>
    <w:uiPriority w:val="29"/>
    <w:qFormat/>
    <w:pPr>
      <w:ind w:left="720" w:right="720"/>
    </w:pPr>
    <w:rPr>
      <w:i/>
    </w:rPr>
  </w:style>
  <w:style w:type="character" w:styleId="1135">
    <w:name w:val="Quote Char"/>
    <w:link w:val="1134"/>
    <w:uiPriority w:val="29"/>
    <w:rPr>
      <w:i/>
    </w:rPr>
  </w:style>
  <w:style w:type="paragraph" w:styleId="1136">
    <w:name w:val="Intense Quote"/>
    <w:basedOn w:val="1288"/>
    <w:next w:val="1288"/>
    <w:link w:val="113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137">
    <w:name w:val="Intense Quote Char"/>
    <w:link w:val="1136"/>
    <w:uiPriority w:val="30"/>
    <w:rPr>
      <w:i/>
    </w:rPr>
  </w:style>
  <w:style w:type="paragraph" w:styleId="1138">
    <w:name w:val="Header"/>
    <w:basedOn w:val="1288"/>
    <w:link w:val="1139"/>
    <w:uiPriority w:val="99"/>
    <w:unhideWhenUsed/>
    <w:pPr>
      <w:spacing w:after="0" w:line="240" w:lineRule="auto"/>
      <w:tabs>
        <w:tab w:val="center" w:pos="7143" w:leader="none"/>
        <w:tab w:val="right" w:pos="14287" w:leader="none"/>
      </w:tabs>
    </w:pPr>
  </w:style>
  <w:style w:type="character" w:styleId="1139">
    <w:name w:val="Header Char"/>
    <w:link w:val="1138"/>
    <w:uiPriority w:val="99"/>
  </w:style>
  <w:style w:type="paragraph" w:styleId="1140">
    <w:name w:val="Footer"/>
    <w:basedOn w:val="1288"/>
    <w:link w:val="1143"/>
    <w:uiPriority w:val="99"/>
    <w:unhideWhenUsed/>
    <w:pPr>
      <w:spacing w:after="0" w:line="240" w:lineRule="auto"/>
      <w:tabs>
        <w:tab w:val="center" w:pos="7143" w:leader="none"/>
        <w:tab w:val="right" w:pos="14287" w:leader="none"/>
      </w:tabs>
    </w:pPr>
  </w:style>
  <w:style w:type="character" w:styleId="1141">
    <w:name w:val="Footer Char"/>
    <w:link w:val="1140"/>
    <w:uiPriority w:val="99"/>
  </w:style>
  <w:style w:type="paragraph" w:styleId="1142">
    <w:name w:val="Caption"/>
    <w:basedOn w:val="1288"/>
    <w:next w:val="1288"/>
    <w:uiPriority w:val="35"/>
    <w:semiHidden/>
    <w:unhideWhenUsed/>
    <w:qFormat/>
    <w:pPr>
      <w:spacing w:line="276" w:lineRule="auto"/>
    </w:pPr>
    <w:rPr>
      <w:b/>
      <w:bCs/>
      <w:color w:val="4f81bd" w:themeColor="accent1"/>
      <w:sz w:val="18"/>
      <w:szCs w:val="18"/>
    </w:rPr>
  </w:style>
  <w:style w:type="character" w:styleId="1143">
    <w:name w:val="Caption Char"/>
    <w:basedOn w:val="1142"/>
    <w:link w:val="1140"/>
    <w:uiPriority w:val="99"/>
  </w:style>
  <w:style w:type="table" w:styleId="1144">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145">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1146">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147">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148">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149">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150">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1151">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1152">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1153">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1154">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1155">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1156">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1157">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1158">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1159">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1160">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1161">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1162">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1163">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1164">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1165">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166">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167">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168">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169">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170">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171">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172">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173">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1174">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1175">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1176">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1177">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1178">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1179">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180">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1181">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1182">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1183">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1184">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1185">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1186">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187">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1188">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1189">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1190">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1191">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192">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193">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194">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1195">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1196">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1197">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1198">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1199">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200">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201">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202">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203">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204">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205">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206">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207">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208">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209">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210">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211">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212">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213">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214">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15">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16">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17">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8">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19">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20">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21">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22">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23">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24">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25">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26">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227">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228">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229">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230">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231">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232">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233">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234">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235">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236">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237">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238">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239">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240">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241">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242">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243">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244">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245">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246">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247">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248">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249">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250">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251">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252">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253">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254">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255">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256">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257">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258">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259">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260">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261">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262">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263">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264">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265">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266">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267">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268">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269">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270">
    <w:name w:val="Hyperlink"/>
    <w:uiPriority w:val="99"/>
    <w:unhideWhenUsed/>
    <w:rPr>
      <w:color w:val="0000ff" w:themeColor="hyperlink"/>
      <w:u w:val="single"/>
    </w:rPr>
  </w:style>
  <w:style w:type="paragraph" w:styleId="1271">
    <w:name w:val="footnote text"/>
    <w:basedOn w:val="1288"/>
    <w:link w:val="1272"/>
    <w:uiPriority w:val="99"/>
    <w:semiHidden/>
    <w:unhideWhenUsed/>
    <w:pPr>
      <w:spacing w:after="40" w:line="240" w:lineRule="auto"/>
    </w:pPr>
    <w:rPr>
      <w:sz w:val="18"/>
    </w:rPr>
  </w:style>
  <w:style w:type="character" w:styleId="1272">
    <w:name w:val="Footnote Text Char"/>
    <w:link w:val="1271"/>
    <w:uiPriority w:val="99"/>
    <w:rPr>
      <w:sz w:val="18"/>
    </w:rPr>
  </w:style>
  <w:style w:type="character" w:styleId="1273">
    <w:name w:val="footnote reference"/>
    <w:uiPriority w:val="99"/>
    <w:unhideWhenUsed/>
    <w:rPr>
      <w:vertAlign w:val="superscript"/>
    </w:rPr>
  </w:style>
  <w:style w:type="paragraph" w:styleId="1274">
    <w:name w:val="endnote text"/>
    <w:basedOn w:val="1288"/>
    <w:link w:val="1275"/>
    <w:uiPriority w:val="99"/>
    <w:semiHidden/>
    <w:unhideWhenUsed/>
    <w:pPr>
      <w:spacing w:after="0" w:line="240" w:lineRule="auto"/>
    </w:pPr>
    <w:rPr>
      <w:sz w:val="20"/>
    </w:rPr>
  </w:style>
  <w:style w:type="character" w:styleId="1275">
    <w:name w:val="Endnote Text Char"/>
    <w:link w:val="1274"/>
    <w:uiPriority w:val="99"/>
    <w:rPr>
      <w:sz w:val="20"/>
    </w:rPr>
  </w:style>
  <w:style w:type="character" w:styleId="1276">
    <w:name w:val="endnote reference"/>
    <w:uiPriority w:val="99"/>
    <w:semiHidden/>
    <w:unhideWhenUsed/>
    <w:rPr>
      <w:vertAlign w:val="superscript"/>
    </w:rPr>
  </w:style>
  <w:style w:type="paragraph" w:styleId="1277">
    <w:name w:val="toc 1"/>
    <w:basedOn w:val="1288"/>
    <w:next w:val="1288"/>
    <w:uiPriority w:val="39"/>
    <w:unhideWhenUsed/>
    <w:pPr>
      <w:ind w:left="0" w:right="0" w:firstLine="0"/>
      <w:spacing w:after="57"/>
    </w:pPr>
  </w:style>
  <w:style w:type="paragraph" w:styleId="1278">
    <w:name w:val="toc 2"/>
    <w:basedOn w:val="1288"/>
    <w:next w:val="1288"/>
    <w:uiPriority w:val="39"/>
    <w:unhideWhenUsed/>
    <w:pPr>
      <w:ind w:left="283" w:right="0" w:firstLine="0"/>
      <w:spacing w:after="57"/>
    </w:pPr>
  </w:style>
  <w:style w:type="paragraph" w:styleId="1279">
    <w:name w:val="toc 3"/>
    <w:basedOn w:val="1288"/>
    <w:next w:val="1288"/>
    <w:uiPriority w:val="39"/>
    <w:unhideWhenUsed/>
    <w:pPr>
      <w:ind w:left="567" w:right="0" w:firstLine="0"/>
      <w:spacing w:after="57"/>
    </w:pPr>
  </w:style>
  <w:style w:type="paragraph" w:styleId="1280">
    <w:name w:val="toc 4"/>
    <w:basedOn w:val="1288"/>
    <w:next w:val="1288"/>
    <w:uiPriority w:val="39"/>
    <w:unhideWhenUsed/>
    <w:pPr>
      <w:ind w:left="850" w:right="0" w:firstLine="0"/>
      <w:spacing w:after="57"/>
    </w:pPr>
  </w:style>
  <w:style w:type="paragraph" w:styleId="1281">
    <w:name w:val="toc 5"/>
    <w:basedOn w:val="1288"/>
    <w:next w:val="1288"/>
    <w:uiPriority w:val="39"/>
    <w:unhideWhenUsed/>
    <w:pPr>
      <w:ind w:left="1134" w:right="0" w:firstLine="0"/>
      <w:spacing w:after="57"/>
    </w:pPr>
  </w:style>
  <w:style w:type="paragraph" w:styleId="1282">
    <w:name w:val="toc 6"/>
    <w:basedOn w:val="1288"/>
    <w:next w:val="1288"/>
    <w:uiPriority w:val="39"/>
    <w:unhideWhenUsed/>
    <w:pPr>
      <w:ind w:left="1417" w:right="0" w:firstLine="0"/>
      <w:spacing w:after="57"/>
    </w:pPr>
  </w:style>
  <w:style w:type="paragraph" w:styleId="1283">
    <w:name w:val="toc 7"/>
    <w:basedOn w:val="1288"/>
    <w:next w:val="1288"/>
    <w:uiPriority w:val="39"/>
    <w:unhideWhenUsed/>
    <w:pPr>
      <w:ind w:left="1701" w:right="0" w:firstLine="0"/>
      <w:spacing w:after="57"/>
    </w:pPr>
  </w:style>
  <w:style w:type="paragraph" w:styleId="1284">
    <w:name w:val="toc 8"/>
    <w:basedOn w:val="1288"/>
    <w:next w:val="1288"/>
    <w:uiPriority w:val="39"/>
    <w:unhideWhenUsed/>
    <w:pPr>
      <w:ind w:left="1984" w:right="0" w:firstLine="0"/>
      <w:spacing w:after="57"/>
    </w:pPr>
  </w:style>
  <w:style w:type="paragraph" w:styleId="1285">
    <w:name w:val="toc 9"/>
    <w:basedOn w:val="1288"/>
    <w:next w:val="1288"/>
    <w:uiPriority w:val="39"/>
    <w:unhideWhenUsed/>
    <w:pPr>
      <w:ind w:left="2268" w:right="0" w:firstLine="0"/>
      <w:spacing w:after="57"/>
    </w:pPr>
  </w:style>
  <w:style w:type="paragraph" w:styleId="1286">
    <w:name w:val="TOC Heading"/>
    <w:uiPriority w:val="39"/>
    <w:unhideWhenUsed/>
  </w:style>
  <w:style w:type="paragraph" w:styleId="1287">
    <w:name w:val="table of figures"/>
    <w:basedOn w:val="1288"/>
    <w:next w:val="1288"/>
    <w:uiPriority w:val="99"/>
    <w:unhideWhenUsed/>
    <w:pPr>
      <w:spacing w:after="0" w:afterAutospacing="0"/>
    </w:pPr>
  </w:style>
  <w:style w:type="paragraph" w:styleId="1288" w:default="1">
    <w:name w:val="Normal"/>
    <w:next w:val="1294"/>
    <w:link w:val="1288"/>
    <w:qFormat/>
    <w:pPr>
      <w:jc w:val="both"/>
      <w:widowControl w:val="off"/>
    </w:pPr>
    <w:rPr>
      <w:sz w:val="21"/>
      <w:szCs w:val="24"/>
      <w:lang w:val="en-US" w:eastAsia="zh-CN" w:bidi="ar-SA"/>
    </w:rPr>
  </w:style>
  <w:style w:type="paragraph" w:styleId="1289">
    <w:name w:val="标题 1"/>
    <w:basedOn w:val="1288"/>
    <w:next w:val="1288"/>
    <w:link w:val="1288"/>
    <w:qFormat/>
    <w:pPr>
      <w:keepLines/>
      <w:keepNext/>
      <w:spacing w:before="340" w:after="330" w:line="578" w:lineRule="auto"/>
      <w:outlineLvl w:val="0"/>
    </w:pPr>
    <w:rPr>
      <w:rFonts w:ascii="宋体" w:hAnsi="宋体" w:eastAsia="宋体" w:cs="宋体"/>
      <w:b/>
      <w:bCs/>
      <w:sz w:val="36"/>
      <w:szCs w:val="44"/>
    </w:rPr>
  </w:style>
  <w:style w:type="paragraph" w:styleId="1290">
    <w:name w:val="标题 2"/>
    <w:basedOn w:val="1288"/>
    <w:next w:val="1296"/>
    <w:link w:val="1295"/>
    <w:qFormat/>
    <w:pPr>
      <w:jc w:val="center"/>
      <w:keepLines/>
      <w:keepNext/>
      <w:spacing w:before="120" w:line="300" w:lineRule="auto"/>
      <w:outlineLvl w:val="1"/>
    </w:pPr>
    <w:rPr>
      <w:rFonts w:ascii="Arial" w:hAnsi="Arial" w:eastAsia="黑体"/>
      <w:b/>
      <w:sz w:val="30"/>
      <w:szCs w:val="20"/>
    </w:rPr>
  </w:style>
  <w:style w:type="paragraph" w:styleId="1291">
    <w:name w:val="标题 3"/>
    <w:basedOn w:val="1288"/>
    <w:next w:val="1296"/>
    <w:link w:val="1288"/>
    <w:qFormat/>
    <w:pPr>
      <w:jc w:val="left"/>
      <w:keepLines/>
      <w:keepNext/>
      <w:spacing w:before="360" w:after="120"/>
      <w:outlineLvl w:val="2"/>
    </w:pPr>
    <w:rPr>
      <w:rFonts w:ascii="宋体"/>
      <w:b/>
      <w:sz w:val="24"/>
      <w:szCs w:val="20"/>
      <w:u w:val="single"/>
    </w:rPr>
  </w:style>
  <w:style w:type="character" w:styleId="1292">
    <w:name w:val="默认段落字体"/>
    <w:next w:val="1292"/>
    <w:link w:val="1288"/>
    <w:semiHidden/>
  </w:style>
  <w:style w:type="table" w:styleId="1293">
    <w:name w:val="普通表格"/>
    <w:next w:val="1293"/>
    <w:link w:val="1288"/>
    <w:semiHidden/>
    <w:tblPr/>
  </w:style>
  <w:style w:type="paragraph" w:styleId="1294">
    <w:name w:val="正文文本11"/>
    <w:basedOn w:val="1288"/>
    <w:next w:val="1288"/>
    <w:link w:val="1288"/>
    <w:qFormat/>
    <w:pPr>
      <w:spacing w:before="120" w:line="22" w:lineRule="atLeast"/>
      <w:tabs>
        <w:tab w:val="left" w:pos="567" w:leader="none"/>
      </w:tabs>
    </w:pPr>
    <w:rPr>
      <w:rFonts w:ascii="宋体" w:hAnsi="宋体"/>
      <w:sz w:val="24"/>
    </w:rPr>
  </w:style>
  <w:style w:type="character" w:styleId="1295">
    <w:name w:val="标题 2 字符"/>
    <w:next w:val="1295"/>
    <w:link w:val="1290"/>
    <w:qFormat/>
    <w:rPr>
      <w:rFonts w:ascii="Arial" w:hAnsi="Arial" w:eastAsia="黑体"/>
      <w:b/>
      <w:sz w:val="30"/>
    </w:rPr>
  </w:style>
  <w:style w:type="paragraph" w:styleId="1296">
    <w:name w:val="正文缩进"/>
    <w:basedOn w:val="1288"/>
    <w:next w:val="1296"/>
    <w:link w:val="1288"/>
    <w:qFormat/>
    <w:pPr>
      <w:ind w:firstLine="420"/>
      <w:jc w:val="left"/>
    </w:pPr>
    <w:rPr>
      <w:rFonts w:ascii="宋体"/>
      <w:sz w:val="24"/>
    </w:rPr>
  </w:style>
  <w:style w:type="paragraph" w:styleId="1297">
    <w:name w:val="批注文字"/>
    <w:basedOn w:val="1288"/>
    <w:next w:val="1297"/>
    <w:link w:val="1298"/>
    <w:pPr>
      <w:jc w:val="left"/>
    </w:pPr>
  </w:style>
  <w:style w:type="character" w:styleId="1298">
    <w:name w:val="批注文字 字符"/>
    <w:next w:val="1298"/>
    <w:link w:val="1297"/>
    <w:rPr>
      <w:sz w:val="21"/>
      <w:szCs w:val="24"/>
    </w:rPr>
  </w:style>
  <w:style w:type="paragraph" w:styleId="1299">
    <w:name w:val="正文文本"/>
    <w:basedOn w:val="1288"/>
    <w:next w:val="1288"/>
    <w:link w:val="1300"/>
    <w:qFormat/>
    <w:pPr>
      <w:spacing w:before="120" w:line="22" w:lineRule="atLeast"/>
      <w:tabs>
        <w:tab w:val="left" w:pos="567" w:leader="none"/>
      </w:tabs>
    </w:pPr>
    <w:rPr>
      <w:rFonts w:ascii="宋体" w:hAnsi="宋体"/>
      <w:sz w:val="24"/>
    </w:rPr>
  </w:style>
  <w:style w:type="character" w:styleId="1300">
    <w:name w:val="正文文本 字符"/>
    <w:next w:val="1300"/>
    <w:link w:val="1299"/>
    <w:qFormat/>
    <w:rPr>
      <w:rFonts w:ascii="宋体" w:hAnsi="宋体"/>
      <w:sz w:val="24"/>
      <w:szCs w:val="24"/>
    </w:rPr>
  </w:style>
  <w:style w:type="paragraph" w:styleId="1301">
    <w:name w:val="正文文本缩进"/>
    <w:basedOn w:val="1288"/>
    <w:next w:val="1301"/>
    <w:link w:val="1302"/>
    <w:qFormat/>
    <w:pPr>
      <w:ind w:firstLine="570"/>
      <w:spacing w:line="360" w:lineRule="auto"/>
    </w:pPr>
    <w:rPr>
      <w:sz w:val="24"/>
    </w:rPr>
  </w:style>
  <w:style w:type="character" w:styleId="1302">
    <w:name w:val="正文文本缩进 字符"/>
    <w:next w:val="1302"/>
    <w:link w:val="1301"/>
    <w:qFormat/>
    <w:rPr>
      <w:rFonts w:ascii="Times New Roman" w:hAnsi="Times New Roman"/>
      <w:sz w:val="24"/>
      <w:szCs w:val="24"/>
    </w:rPr>
  </w:style>
  <w:style w:type="paragraph" w:styleId="1303">
    <w:name w:val="纯文本"/>
    <w:basedOn w:val="1288"/>
    <w:next w:val="1303"/>
    <w:link w:val="1304"/>
    <w:qFormat/>
    <w:rPr>
      <w:rFonts w:hint="eastAsia" w:ascii="宋体" w:hAnsi="Courier New"/>
      <w:szCs w:val="20"/>
    </w:rPr>
  </w:style>
  <w:style w:type="character" w:styleId="1304">
    <w:name w:val="纯文本 字符"/>
    <w:next w:val="1304"/>
    <w:link w:val="1303"/>
    <w:qFormat/>
    <w:rPr>
      <w:rFonts w:ascii="宋体" w:hAnsi="Courier New"/>
      <w:sz w:val="21"/>
    </w:rPr>
  </w:style>
  <w:style w:type="paragraph" w:styleId="1305">
    <w:name w:val="批注框文本"/>
    <w:basedOn w:val="1288"/>
    <w:next w:val="1305"/>
    <w:link w:val="1306"/>
    <w:rPr>
      <w:sz w:val="18"/>
      <w:szCs w:val="18"/>
    </w:rPr>
  </w:style>
  <w:style w:type="character" w:styleId="1306">
    <w:name w:val="批注框文本 字符"/>
    <w:next w:val="1306"/>
    <w:link w:val="1305"/>
    <w:rPr>
      <w:rFonts w:ascii="Times New Roman" w:hAnsi="Times New Roman"/>
      <w:sz w:val="18"/>
      <w:szCs w:val="18"/>
    </w:rPr>
  </w:style>
  <w:style w:type="paragraph" w:styleId="1307">
    <w:name w:val="页脚"/>
    <w:basedOn w:val="1288"/>
    <w:next w:val="1307"/>
    <w:link w:val="1308"/>
    <w:uiPriority w:val="99"/>
    <w:qFormat/>
    <w:pPr>
      <w:jc w:val="left"/>
      <w:tabs>
        <w:tab w:val="center" w:pos="4153" w:leader="none"/>
        <w:tab w:val="right" w:pos="8306" w:leader="none"/>
      </w:tabs>
    </w:pPr>
    <w:rPr>
      <w:rFonts w:ascii="宋体"/>
      <w:sz w:val="18"/>
      <w:szCs w:val="20"/>
    </w:rPr>
  </w:style>
  <w:style w:type="character" w:styleId="1308">
    <w:name w:val="页脚 字符"/>
    <w:next w:val="1308"/>
    <w:link w:val="1307"/>
    <w:uiPriority w:val="99"/>
    <w:qFormat/>
    <w:rPr>
      <w:rFonts w:ascii="宋体" w:hAnsi="Times New Roman"/>
      <w:sz w:val="18"/>
    </w:rPr>
  </w:style>
  <w:style w:type="paragraph" w:styleId="1309">
    <w:name w:val="页眉"/>
    <w:basedOn w:val="1288"/>
    <w:next w:val="1309"/>
    <w:link w:val="1310"/>
    <w:qFormat/>
    <w:pPr>
      <w:jc w:val="center"/>
      <w:tabs>
        <w:tab w:val="center" w:pos="4153" w:leader="none"/>
        <w:tab w:val="right" w:pos="8306" w:leader="none"/>
      </w:tabs>
      <w:pBdr>
        <w:bottom w:val="single" w:color="000000" w:sz="6" w:space="1"/>
      </w:pBdr>
    </w:pPr>
    <w:rPr>
      <w:sz w:val="18"/>
      <w:szCs w:val="18"/>
    </w:rPr>
  </w:style>
  <w:style w:type="character" w:styleId="1310">
    <w:name w:val="页眉 字符"/>
    <w:next w:val="1310"/>
    <w:link w:val="1309"/>
    <w:qFormat/>
    <w:rPr>
      <w:rFonts w:ascii="Times New Roman" w:hAnsi="Times New Roman"/>
      <w:sz w:val="18"/>
      <w:szCs w:val="18"/>
    </w:rPr>
  </w:style>
  <w:style w:type="paragraph" w:styleId="1311">
    <w:name w:val="目录 1"/>
    <w:basedOn w:val="1288"/>
    <w:next w:val="1288"/>
    <w:link w:val="1288"/>
    <w:uiPriority w:val="39"/>
    <w:qFormat/>
    <w:pPr>
      <w:spacing w:line="300" w:lineRule="auto"/>
      <w:tabs>
        <w:tab w:val="left" w:pos="1050" w:leader="none"/>
        <w:tab w:val="right" w:pos="8937" w:leader="dot"/>
      </w:tabs>
    </w:pPr>
    <w:rPr>
      <w:rFonts w:ascii="宋体" w:hAnsi="宋体"/>
      <w:b/>
      <w:sz w:val="24"/>
    </w:rPr>
  </w:style>
  <w:style w:type="paragraph" w:styleId="1312">
    <w:name w:val="普通(网站)"/>
    <w:basedOn w:val="1288"/>
    <w:next w:val="1312"/>
    <w:link w:val="1313"/>
    <w:uiPriority w:val="99"/>
    <w:unhideWhenUsed/>
    <w:qFormat/>
    <w:pPr>
      <w:jc w:val="left"/>
      <w:spacing w:before="100" w:beforeAutospacing="1" w:after="100" w:afterAutospacing="1"/>
      <w:widowControl/>
    </w:pPr>
    <w:rPr>
      <w:rFonts w:ascii="宋体" w:hAnsi="宋体" w:cs="宋体"/>
      <w:sz w:val="24"/>
    </w:rPr>
  </w:style>
  <w:style w:type="character" w:styleId="1313">
    <w:name w:val="普通(网站) 字符"/>
    <w:next w:val="1313"/>
    <w:link w:val="1312"/>
    <w:uiPriority w:val="99"/>
    <w:qFormat/>
    <w:rPr>
      <w:rFonts w:ascii="宋体" w:hAnsi="宋体" w:cs="宋体"/>
      <w:sz w:val="24"/>
      <w:szCs w:val="24"/>
    </w:rPr>
  </w:style>
  <w:style w:type="paragraph" w:styleId="1314">
    <w:name w:val="批注主题"/>
    <w:basedOn w:val="1297"/>
    <w:next w:val="1297"/>
    <w:link w:val="1315"/>
    <w:rPr>
      <w:b/>
      <w:bCs/>
    </w:rPr>
  </w:style>
  <w:style w:type="character" w:styleId="1315">
    <w:name w:val="批注主题 字符"/>
    <w:next w:val="1315"/>
    <w:link w:val="1314"/>
    <w:rPr>
      <w:b/>
      <w:bCs/>
      <w:sz w:val="21"/>
      <w:szCs w:val="24"/>
    </w:rPr>
  </w:style>
  <w:style w:type="paragraph" w:styleId="1316">
    <w:name w:val="正文首行缩进"/>
    <w:basedOn w:val="1299"/>
    <w:next w:val="1316"/>
    <w:link w:val="1317"/>
    <w:pPr>
      <w:ind w:firstLine="420"/>
      <w:spacing w:before="0" w:after="120" w:line="240" w:lineRule="auto"/>
      <w:tabs>
        <w:tab w:val="clear" w:pos="567" w:leader="none"/>
      </w:tabs>
    </w:pPr>
    <w:rPr>
      <w:rFonts w:ascii="Times New Roman" w:hAnsi="Times New Roman"/>
      <w:sz w:val="21"/>
    </w:rPr>
  </w:style>
  <w:style w:type="character" w:styleId="1317">
    <w:name w:val="正文首行缩进 字符"/>
    <w:next w:val="1317"/>
    <w:link w:val="1316"/>
    <w:rPr>
      <w:rFonts w:ascii="Times New Roman" w:hAnsi="Times New Roman"/>
      <w:sz w:val="21"/>
      <w:szCs w:val="24"/>
    </w:rPr>
  </w:style>
  <w:style w:type="paragraph" w:styleId="1318">
    <w:name w:val="正文首行缩进 2"/>
    <w:basedOn w:val="1301"/>
    <w:next w:val="1318"/>
    <w:link w:val="1319"/>
    <w:pPr>
      <w:ind w:left="420" w:firstLine="420"/>
      <w:spacing w:after="120" w:line="240" w:lineRule="auto"/>
    </w:pPr>
    <w:rPr>
      <w:sz w:val="21"/>
    </w:rPr>
  </w:style>
  <w:style w:type="character" w:styleId="1319">
    <w:name w:val="正文首行缩进 2 字符"/>
    <w:next w:val="1319"/>
    <w:link w:val="1318"/>
    <w:rPr>
      <w:rFonts w:ascii="Times New Roman" w:hAnsi="Times New Roman"/>
      <w:sz w:val="21"/>
      <w:szCs w:val="24"/>
    </w:rPr>
  </w:style>
  <w:style w:type="table" w:styleId="1320">
    <w:name w:val="网格型"/>
    <w:basedOn w:val="1293"/>
    <w:next w:val="1320"/>
    <w:link w:val="1288"/>
    <w:pPr>
      <w:jc w:val="both"/>
      <w:widowControl w:val="off"/>
    </w:pPr>
    <w:tblPr/>
  </w:style>
  <w:style w:type="character" w:styleId="1321">
    <w:name w:val="要点"/>
    <w:next w:val="1321"/>
    <w:link w:val="1288"/>
    <w:uiPriority w:val="22"/>
    <w:qFormat/>
    <w:rPr>
      <w:b/>
      <w:bCs/>
    </w:rPr>
  </w:style>
  <w:style w:type="character" w:styleId="1322">
    <w:name w:val="页码"/>
    <w:next w:val="1322"/>
    <w:link w:val="1288"/>
    <w:qFormat/>
  </w:style>
  <w:style w:type="character" w:styleId="1323">
    <w:name w:val="超链接"/>
    <w:next w:val="1323"/>
    <w:link w:val="1288"/>
    <w:uiPriority w:val="99"/>
    <w:unhideWhenUsed/>
    <w:rPr>
      <w:color w:val="0000ff"/>
      <w:u w:val="single"/>
    </w:rPr>
  </w:style>
  <w:style w:type="character" w:styleId="1324">
    <w:name w:val="批注引用"/>
    <w:next w:val="1324"/>
    <w:link w:val="1288"/>
    <w:rPr>
      <w:sz w:val="21"/>
      <w:szCs w:val="21"/>
    </w:rPr>
  </w:style>
  <w:style w:type="character" w:styleId="1325">
    <w:name w:val="NormalCharacter1"/>
    <w:next w:val="1325"/>
    <w:link w:val="1288"/>
    <w:uiPriority w:val="99"/>
    <w:semiHidden/>
    <w:qFormat/>
    <w:rPr>
      <w:rFonts w:ascii="Times New Roman" w:hAnsi="Times New Roman"/>
      <w:sz w:val="21"/>
      <w:szCs w:val="24"/>
      <w:lang w:val="en-US" w:eastAsia="zh-CN" w:bidi="ar-SA"/>
    </w:rPr>
  </w:style>
  <w:style w:type="paragraph" w:styleId="1326">
    <w:name w:val="目录 51"/>
    <w:basedOn w:val="1288"/>
    <w:next w:val="1288"/>
    <w:link w:val="1288"/>
    <w:qFormat/>
    <w:pPr>
      <w:ind w:left="1680"/>
    </w:pPr>
  </w:style>
  <w:style w:type="paragraph" w:styleId="1327">
    <w:name w:val="表格文字"/>
    <w:basedOn w:val="1301"/>
    <w:next w:val="1327"/>
    <w:link w:val="1288"/>
    <w:qFormat/>
    <w:pPr>
      <w:ind w:firstLine="0"/>
      <w:spacing w:before="20" w:after="20" w:line="240" w:lineRule="auto"/>
    </w:pPr>
    <w:rPr>
      <w:rFonts w:ascii="Century Gothic" w:hAnsi="Century Gothic"/>
      <w:sz w:val="20"/>
      <w:szCs w:val="20"/>
    </w:rPr>
  </w:style>
  <w:style w:type="paragraph" w:styleId="1328">
    <w:name w:val="列出段落"/>
    <w:basedOn w:val="1288"/>
    <w:next w:val="1328"/>
    <w:link w:val="1329"/>
    <w:uiPriority w:val="34"/>
    <w:qFormat/>
    <w:pPr>
      <w:ind w:firstLine="420"/>
    </w:pPr>
    <w:rPr>
      <w:rFonts w:ascii="Calibri" w:hAnsi="Calibri"/>
      <w:szCs w:val="22"/>
    </w:rPr>
  </w:style>
  <w:style w:type="character" w:styleId="1329">
    <w:name w:val="列出段落 字符"/>
    <w:next w:val="1329"/>
    <w:link w:val="1328"/>
    <w:uiPriority w:val="34"/>
    <w:qFormat/>
    <w:rPr>
      <w:sz w:val="21"/>
      <w:szCs w:val="22"/>
    </w:rPr>
  </w:style>
  <w:style w:type="paragraph" w:styleId="1330">
    <w:name w:val="列出段落1"/>
    <w:basedOn w:val="1288"/>
    <w:next w:val="1330"/>
    <w:link w:val="1288"/>
    <w:qFormat/>
    <w:pPr>
      <w:ind w:firstLine="420"/>
    </w:pPr>
    <w:rPr>
      <w:rFonts w:ascii="Calibri" w:hAnsi="Calibri"/>
      <w:szCs w:val="22"/>
    </w:rPr>
  </w:style>
  <w:style w:type="paragraph" w:styleId="1331">
    <w:name w:val="成文日期"/>
    <w:basedOn w:val="1288"/>
    <w:next w:val="1331"/>
    <w:link w:val="1288"/>
    <w:qFormat/>
    <w:pPr>
      <w:ind w:right="400" w:firstLine="200"/>
      <w:jc w:val="right"/>
      <w:spacing w:line="570" w:lineRule="exact"/>
    </w:pPr>
    <w:rPr>
      <w:rFonts w:ascii="仿宋_GB2312" w:eastAsia="仿宋_GB2312"/>
      <w:sz w:val="32"/>
      <w:szCs w:val="20"/>
    </w:rPr>
  </w:style>
  <w:style w:type="paragraph" w:styleId="1332">
    <w:name w:val="一级条标题"/>
    <w:basedOn w:val="1333"/>
    <w:next w:val="1288"/>
    <w:link w:val="1288"/>
    <w:qFormat/>
    <w:pPr>
      <w:numPr>
        <w:ilvl w:val="1"/>
        <w:numId w:val="1"/>
      </w:numPr>
      <w:ind w:left="0" w:hanging="840"/>
      <w:tabs>
        <w:tab w:val="left" w:pos="360" w:leader="none"/>
        <w:tab w:val="left" w:pos="840" w:leader="none"/>
      </w:tabs>
      <w:outlineLvl w:val="1"/>
    </w:pPr>
  </w:style>
  <w:style w:type="paragraph" w:styleId="1333">
    <w:name w:val="章标题"/>
    <w:next w:val="1288"/>
    <w:link w:val="1288"/>
    <w:qFormat/>
    <w:pPr>
      <w:numPr>
        <w:ilvl w:val="0"/>
        <w:numId w:val="1"/>
      </w:numPr>
      <w:ind w:left="0"/>
      <w:jc w:val="both"/>
      <w:spacing w:before="156" w:after="156" w:line="460" w:lineRule="exact"/>
      <w:outlineLvl w:val="0"/>
    </w:pPr>
    <w:rPr>
      <w:rFonts w:ascii="黑体" w:eastAsia="黑体"/>
      <w:b/>
      <w:sz w:val="28"/>
      <w:lang w:val="en-US" w:eastAsia="zh-CN" w:bidi="ar-SA"/>
    </w:rPr>
  </w:style>
  <w:style w:type="paragraph" w:styleId="1334">
    <w:name w:val="正文列项_数字"/>
    <w:basedOn w:val="1288"/>
    <w:next w:val="1334"/>
    <w:link w:val="1288"/>
    <w:qFormat/>
    <w:pPr>
      <w:numPr>
        <w:ilvl w:val="7"/>
        <w:numId w:val="1"/>
      </w:numPr>
      <w:ind w:left="680" w:hanging="150"/>
      <w:spacing w:line="460" w:lineRule="exact"/>
      <w:tabs>
        <w:tab w:val="clear" w:pos="860" w:leader="none"/>
      </w:tabs>
      <w:outlineLvl w:val="7"/>
    </w:pPr>
    <w:rPr>
      <w:rFonts w:ascii="宋体"/>
      <w:sz w:val="28"/>
      <w:szCs w:val="20"/>
    </w:rPr>
  </w:style>
  <w:style w:type="paragraph" w:styleId="1335">
    <w:name w:val="四级条标题"/>
    <w:basedOn w:val="1336"/>
    <w:next w:val="1288"/>
    <w:link w:val="1288"/>
    <w:qFormat/>
    <w:pPr>
      <w:numPr>
        <w:ilvl w:val="4"/>
        <w:numId w:val="1"/>
      </w:numPr>
      <w:ind w:left="0" w:hanging="840"/>
      <w:tabs>
        <w:tab w:val="left" w:pos="360" w:leader="none"/>
        <w:tab w:val="left" w:pos="840" w:leader="none"/>
      </w:tabs>
      <w:outlineLvl w:val="4"/>
    </w:pPr>
  </w:style>
  <w:style w:type="paragraph" w:styleId="1336">
    <w:name w:val="三级条标题"/>
    <w:basedOn w:val="1288"/>
    <w:next w:val="1288"/>
    <w:link w:val="1288"/>
    <w:qFormat/>
    <w:pPr>
      <w:numPr>
        <w:ilvl w:val="3"/>
        <w:numId w:val="1"/>
      </w:numPr>
      <w:ind w:left="0" w:hanging="840"/>
      <w:spacing w:before="156" w:after="156" w:line="460" w:lineRule="exact"/>
      <w:widowControl/>
      <w:tabs>
        <w:tab w:val="left" w:pos="360" w:leader="none"/>
        <w:tab w:val="left" w:pos="840" w:leader="none"/>
      </w:tabs>
      <w:outlineLvl w:val="3"/>
    </w:pPr>
    <w:rPr>
      <w:rFonts w:ascii="宋体"/>
      <w:sz w:val="28"/>
      <w:szCs w:val="20"/>
    </w:rPr>
  </w:style>
  <w:style w:type="paragraph" w:styleId="1337">
    <w:name w:val="五级条标题"/>
    <w:basedOn w:val="1335"/>
    <w:next w:val="1288"/>
    <w:link w:val="1288"/>
    <w:qFormat/>
    <w:pPr>
      <w:numPr>
        <w:ilvl w:val="5"/>
        <w:numId w:val="1"/>
      </w:numPr>
      <w:ind w:left="0" w:hanging="840"/>
      <w:tabs>
        <w:tab w:val="left" w:pos="360" w:leader="none"/>
        <w:tab w:val="left" w:pos="840" w:leader="none"/>
      </w:tabs>
      <w:outlineLvl w:val="5"/>
    </w:pPr>
  </w:style>
  <w:style w:type="paragraph" w:styleId="1338">
    <w:name w:val="正文列项_字母"/>
    <w:basedOn w:val="1288"/>
    <w:next w:val="1338"/>
    <w:link w:val="1288"/>
    <w:qFormat/>
    <w:pPr>
      <w:numPr>
        <w:ilvl w:val="6"/>
        <w:numId w:val="1"/>
      </w:numPr>
      <w:ind w:left="480" w:hanging="180"/>
      <w:spacing w:line="460" w:lineRule="exact"/>
      <w:tabs>
        <w:tab w:val="clear" w:pos="635" w:leader="none"/>
      </w:tabs>
      <w:outlineLvl w:val="6"/>
    </w:pPr>
    <w:rPr>
      <w:rFonts w:ascii="宋体"/>
      <w:sz w:val="28"/>
      <w:szCs w:val="20"/>
    </w:rPr>
  </w:style>
  <w:style w:type="character" w:styleId="1339">
    <w:name w:val="font11"/>
    <w:next w:val="1339"/>
    <w:link w:val="1288"/>
    <w:qFormat/>
    <w:rPr>
      <w:rFonts w:hint="eastAsia" w:ascii="宋体" w:hAnsi="宋体" w:eastAsia="宋体" w:cs="宋体"/>
      <w:color w:val="000000"/>
      <w:sz w:val="22"/>
      <w:szCs w:val="22"/>
      <w:u w:val="none"/>
    </w:rPr>
  </w:style>
  <w:style w:type="character" w:styleId="1340">
    <w:name w:val="页脚 Char1"/>
    <w:next w:val="1340"/>
    <w:link w:val="1288"/>
    <w:uiPriority w:val="99"/>
    <w:qFormat/>
    <w:rPr>
      <w:rFonts w:ascii="宋体" w:eastAsia="宋体"/>
      <w:sz w:val="18"/>
      <w:lang w:val="en-US" w:eastAsia="zh-CN" w:bidi="ar-SA"/>
    </w:rPr>
  </w:style>
  <w:style w:type="paragraph" w:styleId="1341">
    <w:name w:val="AONormal"/>
    <w:next w:val="1341"/>
    <w:link w:val="1288"/>
    <w:qFormat/>
    <w:pPr>
      <w:ind w:firstLine="440"/>
      <w:spacing w:line="400" w:lineRule="exact"/>
    </w:pPr>
    <w:rPr>
      <w:rFonts w:ascii="华文楷体" w:hAnsi="华文楷体" w:eastAsia="华文楷体" w:cs="华文楷体"/>
      <w:sz w:val="22"/>
      <w:szCs w:val="21"/>
      <w:lang w:val="en-US" w:eastAsia="zh-CN" w:bidi="ar-SA"/>
    </w:rPr>
  </w:style>
  <w:style w:type="paragraph" w:styleId="1342">
    <w:name w:val="null3"/>
    <w:next w:val="1342"/>
    <w:link w:val="1288"/>
    <w:qFormat/>
    <w:rPr>
      <w:lang w:val="en-US" w:eastAsia="zh-CN" w:bidi="ar-SA"/>
    </w:rPr>
  </w:style>
  <w:style w:type="paragraph" w:styleId="1343">
    <w:name w:val="Char"/>
    <w:basedOn w:val="1288"/>
    <w:next w:val="1343"/>
    <w:link w:val="1288"/>
    <w:qFormat/>
    <w:pPr>
      <w:tabs>
        <w:tab w:val="left" w:pos="360" w:leader="none"/>
      </w:tabs>
    </w:pPr>
    <w:rPr>
      <w:sz w:val="24"/>
    </w:rPr>
  </w:style>
  <w:style w:type="paragraph" w:styleId="1344">
    <w:name w:val="正文文本缩进1"/>
    <w:basedOn w:val="1288"/>
    <w:next w:val="1344"/>
    <w:link w:val="1288"/>
    <w:qFormat/>
    <w:pPr>
      <w:ind w:firstLine="480"/>
      <w:spacing w:line="480" w:lineRule="exact"/>
    </w:pPr>
    <w:rPr>
      <w:rFonts w:ascii="宋体" w:hAnsi="宋体"/>
      <w:sz w:val="24"/>
    </w:rPr>
  </w:style>
  <w:style w:type="paragraph" w:styleId="1345">
    <w:name w:val="标题 21"/>
    <w:basedOn w:val="1288"/>
    <w:next w:val="1346"/>
    <w:link w:val="1288"/>
    <w:qFormat/>
    <w:pPr>
      <w:jc w:val="center"/>
      <w:keepLines/>
      <w:keepNext/>
      <w:spacing w:before="120" w:line="300" w:lineRule="auto"/>
      <w:outlineLvl w:val="1"/>
    </w:pPr>
    <w:rPr>
      <w:rFonts w:ascii="Arial" w:hAnsi="Arial" w:eastAsia="黑体"/>
      <w:b/>
      <w:sz w:val="30"/>
      <w:szCs w:val="20"/>
    </w:rPr>
  </w:style>
  <w:style w:type="paragraph" w:styleId="1346">
    <w:name w:val="正文缩进11"/>
    <w:basedOn w:val="1288"/>
    <w:next w:val="1346"/>
    <w:link w:val="1288"/>
    <w:qFormat/>
    <w:pPr>
      <w:ind w:firstLine="420"/>
      <w:jc w:val="left"/>
    </w:pPr>
    <w:rPr>
      <w:rFonts w:ascii="宋体"/>
      <w:sz w:val="24"/>
    </w:rPr>
  </w:style>
  <w:style w:type="paragraph" w:styleId="1347">
    <w:name w:val="正文文本1"/>
    <w:basedOn w:val="1288"/>
    <w:next w:val="1347"/>
    <w:link w:val="1288"/>
    <w:qFormat/>
    <w:pPr>
      <w:spacing w:before="120" w:line="22" w:lineRule="atLeast"/>
      <w:tabs>
        <w:tab w:val="left" w:pos="567" w:leader="none"/>
      </w:tabs>
    </w:pPr>
    <w:rPr>
      <w:rFonts w:ascii="宋体" w:hAnsi="宋体"/>
      <w:sz w:val="24"/>
    </w:rPr>
  </w:style>
  <w:style w:type="paragraph" w:styleId="1348">
    <w:name w:val="Blockquote"/>
    <w:basedOn w:val="1288"/>
    <w:next w:val="1348"/>
    <w:link w:val="1288"/>
    <w:qFormat/>
    <w:pPr>
      <w:ind w:left="360" w:right="360"/>
      <w:jc w:val="left"/>
      <w:spacing w:before="100" w:after="100"/>
    </w:pPr>
    <w:rPr>
      <w:sz w:val="24"/>
    </w:rPr>
  </w:style>
  <w:style w:type="paragraph" w:styleId="1349">
    <w:name w:val="_Style 3"/>
    <w:basedOn w:val="1288"/>
    <w:next w:val="1288"/>
    <w:link w:val="1288"/>
    <w:qFormat/>
    <w:pPr>
      <w:tabs>
        <w:tab w:val="left" w:pos="360" w:leader="none"/>
      </w:tabs>
    </w:pPr>
    <w:rPr>
      <w:rFonts w:ascii="Times New Roman" w:hAnsi="Times New Roman"/>
      <w:szCs w:val="20"/>
    </w:rPr>
  </w:style>
  <w:style w:type="paragraph" w:styleId="1350">
    <w:name w:val="Default"/>
    <w:next w:val="1350"/>
    <w:link w:val="1288"/>
    <w:qFormat/>
    <w:pPr>
      <w:widowControl w:val="off"/>
    </w:pPr>
    <w:rPr>
      <w:rFonts w:cs="Calibri"/>
      <w:color w:val="000000"/>
      <w:sz w:val="24"/>
      <w:szCs w:val="24"/>
      <w:lang w:val="en-US" w:eastAsia="zh-CN" w:bidi="ar-SA"/>
    </w:rPr>
  </w:style>
  <w:style w:type="paragraph" w:styleId="1351">
    <w:name w:val="Table Text"/>
    <w:basedOn w:val="1288"/>
    <w:next w:val="1351"/>
    <w:link w:val="1288"/>
    <w:semiHidden/>
    <w:qFormat/>
    <w:rPr>
      <w:rFonts w:ascii="宋体" w:hAnsi="宋体" w:eastAsia="宋体" w:cs="宋体"/>
      <w:sz w:val="21"/>
      <w:szCs w:val="21"/>
      <w:lang w:val="en-US" w:eastAsia="en-US" w:bidi="ar-SA"/>
    </w:rPr>
  </w:style>
  <w:style w:type="table" w:styleId="1352">
    <w:name w:val="Table Normal"/>
    <w:next w:val="1352"/>
    <w:link w:val="1288"/>
    <w:unhideWhenUsed/>
    <w:qFormat/>
    <w:rPr>
      <w:lang w:val="en-US" w:eastAsia="zh-CN" w:bidi="ar-SA"/>
    </w:rPr>
    <w:tblPr/>
  </w:style>
  <w:style w:type="character" w:styleId="1353" w:default="1">
    <w:name w:val="Default Paragraph Font"/>
    <w:uiPriority w:val="1"/>
    <w:semiHidden/>
    <w:unhideWhenUsed/>
  </w:style>
  <w:style w:type="numbering" w:styleId="1354" w:default="1">
    <w:name w:val="No List"/>
    <w:uiPriority w:val="99"/>
    <w:semiHidden/>
    <w:unhideWhenUsed/>
  </w:style>
  <w:style w:type="table" w:styleId="135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footer" Target="footer1.xml" /><Relationship Id="rId16" Type="http://schemas.openxmlformats.org/officeDocument/2006/relationships/footer" Target="footer2.xml" /><Relationship Id="rId17" Type="http://schemas.openxmlformats.org/officeDocument/2006/relationships/footer" Target="footer3.xml" /><Relationship Id="rId18" Type="http://schemas.openxmlformats.org/officeDocument/2006/relationships/footer" Target="footer4.xml" /><Relationship Id="rId19" Type="http://schemas.openxmlformats.org/officeDocument/2006/relationships/footer" Target="footer5.xml" /><Relationship Id="rId20" Type="http://schemas.openxmlformats.org/officeDocument/2006/relationships/footer" Target="footer6.xml" /><Relationship Id="rId21" Type="http://schemas.openxmlformats.org/officeDocument/2006/relationships/footer" Target="footer7.xml" /><Relationship Id="rId22" Type="http://schemas.openxmlformats.org/officeDocument/2006/relationships/footer" Target="footer8.xml" /><Relationship Id="rId23" Type="http://schemas.openxmlformats.org/officeDocument/2006/relationships/footer" Target="footer9.xml" /><Relationship Id="rId24" Type="http://schemas.openxmlformats.org/officeDocument/2006/relationships/footer" Target="footer10.xml" /><Relationship Id="rId25" Type="http://schemas.openxmlformats.org/officeDocument/2006/relationships/footer" Target="footer11.xml" /><Relationship Id="rId26" Type="http://schemas.openxmlformats.org/officeDocument/2006/relationships/footer" Target="footer1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er11.xml.rels><?xml version="1.0" encoding="UTF-8" standalone="yes"?><Relationships xmlns="http://schemas.openxmlformats.org/package/2006/relationships"></Relationships>
</file>

<file path=word/_rels/footer1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 Id="rId1" Type="http://schemas.openxmlformats.org/officeDocument/2006/relationships/image" Target="media/image1.png"/></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dc:creator>
  <cp:lastModifiedBy>蒋女士</cp:lastModifiedBy>
  <cp:revision>4</cp:revision>
  <dcterms:created xsi:type="dcterms:W3CDTF">2024-09-04T06:47:00Z</dcterms:created>
  <dcterms:modified xsi:type="dcterms:W3CDTF">2026-09-20T01:24:48Z</dcterms:modified>
</cp:coreProperties>
</file>