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rPr>
      </w:pPr>
      <w:r/>
      <w:bookmarkStart w:id="786" w:name="_GoBack"/>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rFonts w:hint="eastAsia"/>
          <w:b/>
          <w:bCs/>
          <w:color w:val="auto"/>
          <w:sz w:val="60"/>
          <w:szCs w:val="60"/>
          <w:highlight w:val="none"/>
        </w:rPr>
      </w:pPr>
      <w:r>
        <w:rPr>
          <w:b/>
          <w:bCs/>
          <w:color w:val="auto"/>
          <w:sz w:val="60"/>
          <w:szCs w:val="60"/>
          <w:highlight w:val="none"/>
        </w:rPr>
        <w:t xml:space="preserve">单一来源采购文件</w:t>
      </w:r>
      <w:r/>
    </w:p>
    <w:p>
      <w:pPr>
        <w:jc w:val="center"/>
        <w:rPr>
          <w:rFonts w:hint="eastAsia"/>
          <w:b/>
          <w:bCs/>
          <w:color w:val="auto"/>
          <w:sz w:val="60"/>
          <w:szCs w:val="60"/>
          <w:highlight w:val="none"/>
        </w:rPr>
      </w:pPr>
      <w:r>
        <w:rPr>
          <w:rFonts w:hint="eastAsia"/>
          <w:b/>
          <w:bCs/>
          <w:color w:val="auto"/>
          <w:sz w:val="60"/>
          <w:szCs w:val="60"/>
          <w:highlight w:val="none"/>
        </w:rPr>
      </w:r>
      <w:r/>
    </w:p>
    <w:p>
      <w:pPr>
        <w:jc w:val="center"/>
        <w:rPr>
          <w:rFonts w:hint="eastAsia"/>
          <w:b/>
          <w:bCs/>
          <w:color w:val="auto"/>
          <w:sz w:val="60"/>
          <w:szCs w:val="60"/>
          <w:highlight w:val="none"/>
        </w:rPr>
      </w:pPr>
      <w:r>
        <w:rPr>
          <w:rFonts w:hint="eastAsia"/>
          <w:b/>
          <w:bCs/>
          <w:color w:val="auto"/>
          <w:sz w:val="60"/>
          <w:szCs w:val="60"/>
          <w:highlight w:val="none"/>
        </w:rPr>
      </w:r>
      <w:r/>
    </w:p>
    <w:p>
      <w:pPr>
        <w:jc w:val="center"/>
        <w:rPr>
          <w:rFonts w:hint="eastAsia"/>
          <w:b/>
          <w:bCs/>
          <w:color w:val="auto"/>
          <w:sz w:val="60"/>
          <w:szCs w:val="60"/>
          <w:highlight w:val="none"/>
        </w:rPr>
      </w:pPr>
      <w:r>
        <w:rPr>
          <w:rFonts w:hint="eastAsia"/>
          <w:b/>
          <w:bCs/>
          <w:color w:val="auto"/>
          <w:sz w:val="60"/>
          <w:szCs w:val="60"/>
          <w:highlight w:val="none"/>
        </w:rPr>
        <w:t xml:space="preserve">（</w:t>
      </w:r>
      <w:r>
        <w:rPr>
          <w:rFonts w:hint="eastAsia"/>
          <w:b/>
          <w:bCs/>
          <w:color w:val="auto"/>
          <w:sz w:val="60"/>
          <w:szCs w:val="60"/>
          <w:highlight w:val="none"/>
          <w:lang w:val="en-US" w:eastAsia="zh-CN"/>
        </w:rPr>
        <w:t xml:space="preserve">服务</w:t>
      </w:r>
      <w:r>
        <w:rPr>
          <w:rFonts w:hint="eastAsia"/>
          <w:b/>
          <w:bCs/>
          <w:color w:val="auto"/>
          <w:sz w:val="60"/>
          <w:szCs w:val="60"/>
          <w:highlight w:val="none"/>
        </w:rPr>
        <w:t xml:space="preserve">类）</w:t>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bCs/>
          <w:color w:val="auto"/>
          <w:sz w:val="32"/>
          <w:szCs w:val="36"/>
          <w:highlight w:val="none"/>
        </w:rPr>
      </w:pPr>
      <w:r>
        <w:rPr>
          <w:bCs/>
          <w:color w:val="auto"/>
          <w:sz w:val="32"/>
          <w:szCs w:val="36"/>
          <w:highlight w:val="none"/>
        </w:rPr>
      </w:r>
      <w:r/>
    </w:p>
    <w:p>
      <w:pPr>
        <w:ind w:left="2238" w:hanging="1600"/>
        <w:jc w:val="left"/>
        <w:spacing w:line="360" w:lineRule="auto"/>
        <w:tabs>
          <w:tab w:val="left" w:pos="3240" w:leader="none"/>
          <w:tab w:val="left" w:pos="3420" w:leader="none"/>
        </w:tabs>
        <w:rPr>
          <w:rFonts w:hint="eastAsia"/>
          <w:bCs/>
          <w:color w:val="auto"/>
          <w:sz w:val="32"/>
          <w:szCs w:val="36"/>
          <w:highlight w:val="none"/>
        </w:rPr>
      </w:pPr>
      <w:r>
        <w:rPr>
          <w:bCs/>
          <w:color w:val="auto"/>
          <w:sz w:val="32"/>
          <w:szCs w:val="36"/>
          <w:highlight w:val="none"/>
        </w:rPr>
        <w:t xml:space="preserve">项目名称：</w:t>
      </w:r>
      <w:r>
        <w:rPr>
          <w:rFonts w:hint="eastAsia"/>
          <w:bCs/>
          <w:color w:val="auto"/>
          <w:sz w:val="32"/>
          <w:szCs w:val="36"/>
          <w:highlight w:val="none"/>
          <w:lang w:eastAsia="zh-CN"/>
        </w:rPr>
        <w:t xml:space="preserve">常州市第一人民医院医疗废物处置及运输服务项目</w:t>
      </w:r>
      <w:r>
        <w:rPr>
          <w:rFonts w:hint="eastAsia"/>
          <w:bCs/>
          <w:color w:val="auto"/>
          <w:sz w:val="32"/>
          <w:szCs w:val="36"/>
          <w:highlight w:val="none"/>
        </w:rPr>
        <w:t xml:space="preserve"> </w:t>
      </w:r>
      <w:r/>
    </w:p>
    <w:p>
      <w:pPr>
        <w:ind w:left="2238" w:hanging="1600"/>
        <w:jc w:val="left"/>
        <w:spacing w:line="360" w:lineRule="auto"/>
        <w:tabs>
          <w:tab w:val="left" w:pos="3240" w:leader="none"/>
          <w:tab w:val="left" w:pos="3420" w:leader="none"/>
        </w:tabs>
        <w:rPr>
          <w:rFonts w:hint="eastAsia" w:eastAsia="宋体"/>
          <w:bCs/>
          <w:color w:val="auto"/>
          <w:sz w:val="32"/>
          <w:szCs w:val="36"/>
          <w:highlight w:val="none"/>
          <w:lang w:eastAsia="zh-CN"/>
        </w:rPr>
      </w:pPr>
      <w:r>
        <w:rPr>
          <w:bCs/>
          <w:color w:val="auto"/>
          <w:sz w:val="32"/>
          <w:szCs w:val="36"/>
          <w:highlight w:val="none"/>
        </w:rPr>
        <w:t xml:space="preserve">项目编号：</w:t>
      </w:r>
      <w:r>
        <w:rPr>
          <w:rFonts w:hint="eastAsia"/>
          <w:bCs/>
          <w:color w:val="auto"/>
          <w:sz w:val="32"/>
          <w:szCs w:val="36"/>
          <w:highlight w:val="none"/>
          <w:lang w:eastAsia="zh-CN"/>
        </w:rPr>
        <w:t xml:space="preserve">JSZC-320400-ZCCZ-D2026-0024</w:t>
      </w:r>
      <w:r/>
    </w:p>
    <w:p>
      <w:pPr>
        <w:ind w:firstLine="640"/>
        <w:jc w:val="left"/>
        <w:spacing w:line="360" w:lineRule="auto"/>
        <w:tabs>
          <w:tab w:val="left" w:pos="3240" w:leader="none"/>
          <w:tab w:val="left" w:pos="3420" w:leader="none"/>
        </w:tabs>
        <w:rPr>
          <w:rFonts w:hint="eastAsia"/>
          <w:bCs/>
          <w:color w:val="auto"/>
          <w:sz w:val="32"/>
          <w:szCs w:val="36"/>
          <w:highlight w:val="none"/>
        </w:rPr>
      </w:pPr>
      <w:r>
        <w:rPr>
          <w:bCs/>
          <w:color w:val="auto"/>
          <w:sz w:val="32"/>
          <w:szCs w:val="36"/>
          <w:highlight w:val="none"/>
        </w:rPr>
        <w:t xml:space="preserve">采 购 人：</w:t>
      </w:r>
      <w:r>
        <w:rPr>
          <w:rFonts w:hint="eastAsia"/>
          <w:bCs/>
          <w:color w:val="auto"/>
          <w:sz w:val="32"/>
          <w:szCs w:val="36"/>
          <w:highlight w:val="none"/>
        </w:rPr>
        <w:t xml:space="preserve">常州市第一人民医院</w:t>
      </w:r>
      <w:r/>
    </w:p>
    <w:p>
      <w:pPr>
        <w:ind w:firstLine="640"/>
        <w:spacing w:line="360" w:lineRule="auto"/>
        <w:tabs>
          <w:tab w:val="left" w:pos="3240" w:leader="none"/>
          <w:tab w:val="left" w:pos="3420" w:leader="none"/>
        </w:tabs>
        <w:rPr>
          <w:rFonts w:hint="eastAsia"/>
          <w:bCs/>
          <w:color w:val="auto"/>
          <w:sz w:val="32"/>
          <w:szCs w:val="36"/>
          <w:highlight w:val="none"/>
        </w:rPr>
      </w:pPr>
      <w:r>
        <w:rPr>
          <w:rFonts w:hint="eastAsia"/>
          <w:bCs/>
          <w:color w:val="auto"/>
          <w:sz w:val="32"/>
          <w:szCs w:val="36"/>
          <w:highlight w:val="none"/>
        </w:rPr>
        <w:t xml:space="preserve">采购</w:t>
      </w:r>
      <w:r>
        <w:rPr>
          <w:bCs/>
          <w:color w:val="auto"/>
          <w:sz w:val="32"/>
          <w:szCs w:val="36"/>
          <w:highlight w:val="none"/>
        </w:rPr>
        <w:t xml:space="preserve">代理机构：</w:t>
      </w:r>
      <w:r>
        <w:rPr>
          <w:rFonts w:hint="eastAsia"/>
          <w:bCs/>
          <w:color w:val="auto"/>
          <w:sz w:val="32"/>
          <w:szCs w:val="36"/>
          <w:highlight w:val="none"/>
        </w:rPr>
        <w:t xml:space="preserve">常州中采招投标有限公司</w:t>
      </w:r>
      <w:r>
        <w:rPr>
          <w:bCs/>
          <w:color w:val="auto"/>
          <w:sz w:val="32"/>
          <w:szCs w:val="36"/>
          <w:highlight w:val="none"/>
        </w:rPr>
        <w:br w:type="page" w:clear="all"/>
      </w:r>
      <w:bookmarkStart w:id="0" w:name="_Toc99301278"/>
      <w:r/>
      <w:r/>
    </w:p>
    <w:p>
      <w:pPr>
        <w:jc w:val="center"/>
        <w:spacing w:line="360" w:lineRule="auto"/>
        <w:tabs>
          <w:tab w:val="left" w:pos="3240" w:leader="none"/>
          <w:tab w:val="left" w:pos="3420" w:leader="none"/>
        </w:tabs>
        <w:rPr>
          <w:b/>
          <w:bCs/>
          <w:color w:val="auto"/>
          <w:sz w:val="44"/>
          <w:highlight w:val="none"/>
        </w:rPr>
      </w:pPr>
      <w:r>
        <w:rPr>
          <w:b/>
          <w:color w:val="auto"/>
          <w:sz w:val="36"/>
          <w:szCs w:val="36"/>
          <w:highlight w:val="none"/>
        </w:rPr>
        <w:t xml:space="preserve">目      录</w:t>
      </w:r>
      <w:bookmarkEnd w:id="0"/>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1091"/>
        <w:rPr>
          <w:rFonts w:ascii="Calibri" w:hAnsi="Calibri"/>
          <w:b w:val="0"/>
          <w:color w:val="auto"/>
          <w:sz w:val="21"/>
          <w:szCs w:val="22"/>
          <w:highlight w:val="none"/>
        </w:rPr>
      </w:pPr>
      <w:r>
        <w:rPr>
          <w:rFonts w:ascii="黑体" w:hAnsi="黑体" w:eastAsia="黑体"/>
          <w:b w:val="0"/>
          <w:color w:val="auto"/>
          <w:sz w:val="28"/>
          <w:szCs w:val="28"/>
          <w:highlight w:val="none"/>
        </w:rPr>
        <w:fldChar w:fldCharType="begin"/>
      </w:r>
      <w:r>
        <w:rPr>
          <w:rFonts w:ascii="黑体" w:hAnsi="黑体" w:eastAsia="黑体"/>
          <w:b w:val="0"/>
          <w:color w:val="auto"/>
          <w:sz w:val="28"/>
          <w:szCs w:val="28"/>
          <w:highlight w:val="none"/>
        </w:rPr>
        <w:instrText xml:space="preserve"> TOC \o "1-1" \h \z \u </w:instrText>
      </w:r>
      <w:r>
        <w:rPr>
          <w:rFonts w:ascii="黑体" w:hAnsi="黑体" w:eastAsia="黑体"/>
          <w:b w:val="0"/>
          <w:color w:val="auto"/>
          <w:sz w:val="28"/>
          <w:szCs w:val="28"/>
          <w:highlight w:val="none"/>
        </w:rPr>
        <w:fldChar w:fldCharType="separate"/>
      </w:r>
      <w:r>
        <w:rPr>
          <w:rStyle w:val="1103"/>
          <w:color w:val="auto"/>
          <w:highlight w:val="none"/>
        </w:rPr>
        <w:fldChar w:fldCharType="begin"/>
      </w:r>
      <w:r>
        <w:rPr>
          <w:rStyle w:val="1103"/>
          <w:color w:val="auto"/>
          <w:highlight w:val="none"/>
        </w:rPr>
        <w:instrText xml:space="preserve"> </w:instrText>
      </w:r>
      <w:r>
        <w:rPr>
          <w:color w:val="auto"/>
          <w:highlight w:val="none"/>
        </w:rPr>
        <w:instrText xml:space="preserve">HYPERLINK \l "_Toc195012919"</w:instrText>
      </w:r>
      <w:r>
        <w:rPr>
          <w:rStyle w:val="1103"/>
          <w:color w:val="auto"/>
          <w:highlight w:val="none"/>
        </w:rPr>
        <w:instrText xml:space="preserve"> </w:instrText>
      </w:r>
      <w:r>
        <w:rPr>
          <w:rStyle w:val="1103"/>
          <w:color w:val="auto"/>
          <w:highlight w:val="none"/>
        </w:rPr>
        <w:fldChar w:fldCharType="separate"/>
      </w:r>
      <w:r>
        <w:rPr>
          <w:rStyle w:val="1103"/>
          <w:rFonts w:hint="eastAsia"/>
          <w:color w:val="auto"/>
          <w:highlight w:val="none"/>
        </w:rPr>
        <w:t xml:space="preserve">第一章</w:t>
      </w:r>
      <w:r>
        <w:rPr>
          <w:rStyle w:val="1103"/>
          <w:color w:val="auto"/>
          <w:highlight w:val="none"/>
        </w:rPr>
        <w:t xml:space="preserve">   </w:t>
      </w:r>
      <w:r>
        <w:rPr>
          <w:rStyle w:val="1103"/>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_Toc195012919 \h </w:instrText>
      </w:r>
      <w:r>
        <w:rPr>
          <w:color w:val="auto"/>
          <w:highlight w:val="none"/>
        </w:rPr>
        <w:fldChar w:fldCharType="separate"/>
      </w:r>
      <w:r>
        <w:rPr>
          <w:color w:val="auto"/>
          <w:highlight w:val="none"/>
        </w:rPr>
        <w:t xml:space="preserve">1</w:t>
      </w:r>
      <w:r>
        <w:rPr>
          <w:color w:val="auto"/>
          <w:highlight w:val="none"/>
        </w:rPr>
        <w:fldChar w:fldCharType="end"/>
      </w:r>
      <w:r>
        <w:rPr>
          <w:rStyle w:val="1103"/>
          <w:color w:val="auto"/>
          <w:highlight w:val="none"/>
        </w:rPr>
        <w:fldChar w:fldCharType="end"/>
      </w:r>
      <w:r/>
    </w:p>
    <w:p>
      <w:pPr>
        <w:pStyle w:val="1091"/>
        <w:rPr>
          <w:rFonts w:ascii="Calibri" w:hAnsi="Calibri"/>
          <w:b w:val="0"/>
          <w:color w:val="auto"/>
          <w:sz w:val="21"/>
          <w:szCs w:val="22"/>
          <w:highlight w:val="none"/>
        </w:rPr>
      </w:pPr>
      <w:r>
        <w:rPr>
          <w:rStyle w:val="1103"/>
          <w:color w:val="auto"/>
          <w:highlight w:val="none"/>
        </w:rPr>
        <w:fldChar w:fldCharType="begin"/>
      </w:r>
      <w:r>
        <w:rPr>
          <w:rStyle w:val="1103"/>
          <w:color w:val="auto"/>
          <w:highlight w:val="none"/>
        </w:rPr>
        <w:instrText xml:space="preserve"> </w:instrText>
      </w:r>
      <w:r>
        <w:rPr>
          <w:color w:val="auto"/>
          <w:highlight w:val="none"/>
        </w:rPr>
        <w:instrText xml:space="preserve">HYPERLINK \l "_Toc195012920"</w:instrText>
      </w:r>
      <w:r>
        <w:rPr>
          <w:rStyle w:val="1103"/>
          <w:color w:val="auto"/>
          <w:highlight w:val="none"/>
        </w:rPr>
        <w:instrText xml:space="preserve"> </w:instrText>
      </w:r>
      <w:r>
        <w:rPr>
          <w:rStyle w:val="1103"/>
          <w:color w:val="auto"/>
          <w:highlight w:val="none"/>
        </w:rPr>
        <w:fldChar w:fldCharType="separate"/>
      </w:r>
      <w:r>
        <w:rPr>
          <w:rStyle w:val="1103"/>
          <w:rFonts w:hint="eastAsia"/>
          <w:color w:val="auto"/>
          <w:highlight w:val="none"/>
        </w:rPr>
        <w:t xml:space="preserve">第二章</w:t>
      </w:r>
      <w:r>
        <w:rPr>
          <w:rStyle w:val="1103"/>
          <w:color w:val="auto"/>
          <w:highlight w:val="none"/>
        </w:rPr>
        <w:t xml:space="preserve">   </w:t>
      </w:r>
      <w:r>
        <w:rPr>
          <w:rStyle w:val="1103"/>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_Toc195012920 \h </w:instrText>
      </w:r>
      <w:r>
        <w:rPr>
          <w:color w:val="auto"/>
          <w:highlight w:val="none"/>
        </w:rPr>
        <w:fldChar w:fldCharType="separate"/>
      </w:r>
      <w:r>
        <w:rPr>
          <w:color w:val="auto"/>
          <w:highlight w:val="none"/>
        </w:rPr>
        <w:t xml:space="preserve">6</w:t>
      </w:r>
      <w:r>
        <w:rPr>
          <w:color w:val="auto"/>
          <w:highlight w:val="none"/>
        </w:rPr>
        <w:fldChar w:fldCharType="end"/>
      </w:r>
      <w:r>
        <w:rPr>
          <w:rStyle w:val="1103"/>
          <w:color w:val="auto"/>
          <w:highlight w:val="none"/>
        </w:rPr>
        <w:fldChar w:fldCharType="end"/>
      </w:r>
      <w:r/>
    </w:p>
    <w:p>
      <w:pPr>
        <w:pStyle w:val="1091"/>
        <w:rPr>
          <w:rFonts w:ascii="Calibri" w:hAnsi="Calibri"/>
          <w:b w:val="0"/>
          <w:color w:val="auto"/>
          <w:sz w:val="21"/>
          <w:szCs w:val="22"/>
          <w:highlight w:val="none"/>
        </w:rPr>
      </w:pPr>
      <w:r>
        <w:rPr>
          <w:rStyle w:val="1103"/>
          <w:color w:val="auto"/>
          <w:highlight w:val="none"/>
        </w:rPr>
        <w:fldChar w:fldCharType="begin"/>
      </w:r>
      <w:r>
        <w:rPr>
          <w:rStyle w:val="1103"/>
          <w:color w:val="auto"/>
          <w:highlight w:val="none"/>
        </w:rPr>
        <w:instrText xml:space="preserve"> </w:instrText>
      </w:r>
      <w:r>
        <w:rPr>
          <w:color w:val="auto"/>
          <w:highlight w:val="none"/>
        </w:rPr>
        <w:instrText xml:space="preserve">HYPERLINK \l "_Toc195012921"</w:instrText>
      </w:r>
      <w:r>
        <w:rPr>
          <w:rStyle w:val="1103"/>
          <w:color w:val="auto"/>
          <w:highlight w:val="none"/>
        </w:rPr>
        <w:instrText xml:space="preserve"> </w:instrText>
      </w:r>
      <w:r>
        <w:rPr>
          <w:rStyle w:val="1103"/>
          <w:color w:val="auto"/>
          <w:highlight w:val="none"/>
        </w:rPr>
        <w:fldChar w:fldCharType="separate"/>
      </w:r>
      <w:r>
        <w:rPr>
          <w:rStyle w:val="1103"/>
          <w:rFonts w:hint="eastAsia"/>
          <w:color w:val="auto"/>
          <w:highlight w:val="none"/>
        </w:rPr>
        <w:t xml:space="preserve">第三章</w:t>
      </w:r>
      <w:r>
        <w:rPr>
          <w:rStyle w:val="1103"/>
          <w:color w:val="auto"/>
          <w:highlight w:val="none"/>
        </w:rPr>
        <w:t xml:space="preserve">   </w:t>
      </w:r>
      <w:r>
        <w:rPr>
          <w:rStyle w:val="1103"/>
          <w:rFonts w:hint="eastAsia"/>
          <w:color w:val="auto"/>
          <w:highlight w:val="none"/>
        </w:rPr>
        <w:t xml:space="preserve">协商程序</w:t>
      </w:r>
      <w:r>
        <w:rPr>
          <w:color w:val="auto"/>
          <w:highlight w:val="none"/>
        </w:rPr>
        <w:tab/>
      </w:r>
      <w:r>
        <w:rPr>
          <w:color w:val="auto"/>
          <w:highlight w:val="none"/>
        </w:rPr>
        <w:fldChar w:fldCharType="begin"/>
      </w:r>
      <w:r>
        <w:rPr>
          <w:color w:val="auto"/>
          <w:highlight w:val="none"/>
        </w:rPr>
        <w:instrText xml:space="preserve"> PAGEREF _Toc195012921 \h </w:instrText>
      </w:r>
      <w:r>
        <w:rPr>
          <w:color w:val="auto"/>
          <w:highlight w:val="none"/>
        </w:rPr>
        <w:fldChar w:fldCharType="separate"/>
      </w:r>
      <w:r>
        <w:rPr>
          <w:color w:val="auto"/>
          <w:highlight w:val="none"/>
        </w:rPr>
        <w:t xml:space="preserve">20</w:t>
      </w:r>
      <w:r>
        <w:rPr>
          <w:color w:val="auto"/>
          <w:highlight w:val="none"/>
        </w:rPr>
        <w:fldChar w:fldCharType="end"/>
      </w:r>
      <w:r>
        <w:rPr>
          <w:rStyle w:val="1103"/>
          <w:color w:val="auto"/>
          <w:highlight w:val="none"/>
        </w:rPr>
        <w:fldChar w:fldCharType="end"/>
      </w:r>
      <w:r/>
    </w:p>
    <w:p>
      <w:pPr>
        <w:pStyle w:val="1091"/>
        <w:rPr>
          <w:rFonts w:ascii="Calibri" w:hAnsi="Calibri"/>
          <w:b w:val="0"/>
          <w:color w:val="auto"/>
          <w:sz w:val="21"/>
          <w:szCs w:val="22"/>
          <w:highlight w:val="none"/>
        </w:rPr>
      </w:pPr>
      <w:r>
        <w:rPr>
          <w:rStyle w:val="1103"/>
          <w:color w:val="auto"/>
          <w:highlight w:val="none"/>
        </w:rPr>
        <w:fldChar w:fldCharType="begin"/>
      </w:r>
      <w:r>
        <w:rPr>
          <w:rStyle w:val="1103"/>
          <w:color w:val="auto"/>
          <w:highlight w:val="none"/>
        </w:rPr>
        <w:instrText xml:space="preserve"> </w:instrText>
      </w:r>
      <w:r>
        <w:rPr>
          <w:color w:val="auto"/>
          <w:highlight w:val="none"/>
        </w:rPr>
        <w:instrText xml:space="preserve">HYPERLINK \l "_Toc195012922"</w:instrText>
      </w:r>
      <w:r>
        <w:rPr>
          <w:rStyle w:val="1103"/>
          <w:color w:val="auto"/>
          <w:highlight w:val="none"/>
        </w:rPr>
        <w:instrText xml:space="preserve"> </w:instrText>
      </w:r>
      <w:r>
        <w:rPr>
          <w:rStyle w:val="1103"/>
          <w:color w:val="auto"/>
          <w:highlight w:val="none"/>
        </w:rPr>
        <w:fldChar w:fldCharType="separate"/>
      </w:r>
      <w:r>
        <w:rPr>
          <w:rStyle w:val="1103"/>
          <w:rFonts w:hint="eastAsia"/>
          <w:color w:val="auto"/>
          <w:highlight w:val="none"/>
        </w:rPr>
        <w:t xml:space="preserve">第四章</w:t>
      </w:r>
      <w:r>
        <w:rPr>
          <w:rStyle w:val="1103"/>
          <w:color w:val="auto"/>
          <w:highlight w:val="none"/>
        </w:rPr>
        <w:t xml:space="preserve">   </w:t>
      </w:r>
      <w:r>
        <w:rPr>
          <w:rStyle w:val="1103"/>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_Toc195012922 \h </w:instrText>
      </w:r>
      <w:r>
        <w:rPr>
          <w:color w:val="auto"/>
          <w:highlight w:val="none"/>
        </w:rPr>
        <w:fldChar w:fldCharType="separate"/>
      </w:r>
      <w:r>
        <w:rPr>
          <w:color w:val="auto"/>
          <w:highlight w:val="none"/>
        </w:rPr>
        <w:t xml:space="preserve">24</w:t>
      </w:r>
      <w:r>
        <w:rPr>
          <w:color w:val="auto"/>
          <w:highlight w:val="none"/>
        </w:rPr>
        <w:fldChar w:fldCharType="end"/>
      </w:r>
      <w:r>
        <w:rPr>
          <w:rStyle w:val="1103"/>
          <w:color w:val="auto"/>
          <w:highlight w:val="none"/>
        </w:rPr>
        <w:fldChar w:fldCharType="end"/>
      </w:r>
      <w:r/>
    </w:p>
    <w:p>
      <w:pPr>
        <w:pStyle w:val="1091"/>
        <w:rPr>
          <w:rFonts w:ascii="Calibri" w:hAnsi="Calibri"/>
          <w:b w:val="0"/>
          <w:color w:val="auto"/>
          <w:sz w:val="21"/>
          <w:szCs w:val="22"/>
          <w:highlight w:val="none"/>
        </w:rPr>
      </w:pPr>
      <w:r>
        <w:rPr>
          <w:rStyle w:val="1103"/>
          <w:color w:val="auto"/>
          <w:highlight w:val="none"/>
        </w:rPr>
        <w:fldChar w:fldCharType="begin"/>
      </w:r>
      <w:r>
        <w:rPr>
          <w:rStyle w:val="1103"/>
          <w:color w:val="auto"/>
          <w:highlight w:val="none"/>
        </w:rPr>
        <w:instrText xml:space="preserve"> </w:instrText>
      </w:r>
      <w:r>
        <w:rPr>
          <w:color w:val="auto"/>
          <w:highlight w:val="none"/>
        </w:rPr>
        <w:instrText xml:space="preserve">HYPERLINK \l "_Toc195012923"</w:instrText>
      </w:r>
      <w:r>
        <w:rPr>
          <w:rStyle w:val="1103"/>
          <w:color w:val="auto"/>
          <w:highlight w:val="none"/>
        </w:rPr>
        <w:instrText xml:space="preserve"> </w:instrText>
      </w:r>
      <w:r>
        <w:rPr>
          <w:rStyle w:val="1103"/>
          <w:color w:val="auto"/>
          <w:highlight w:val="none"/>
        </w:rPr>
        <w:fldChar w:fldCharType="separate"/>
      </w:r>
      <w:r>
        <w:rPr>
          <w:rStyle w:val="1103"/>
          <w:rFonts w:hint="eastAsia"/>
          <w:color w:val="auto"/>
          <w:highlight w:val="none"/>
        </w:rPr>
        <w:t xml:space="preserve">第五章</w:t>
      </w:r>
      <w:r>
        <w:rPr>
          <w:rStyle w:val="1103"/>
          <w:color w:val="auto"/>
          <w:highlight w:val="none"/>
        </w:rPr>
        <w:t xml:space="preserve">   </w:t>
      </w:r>
      <w:r>
        <w:rPr>
          <w:rStyle w:val="1103"/>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_Toc195012923 \h </w:instrText>
      </w:r>
      <w:r>
        <w:rPr>
          <w:color w:val="auto"/>
          <w:highlight w:val="none"/>
        </w:rPr>
        <w:fldChar w:fldCharType="separate"/>
      </w:r>
      <w:r>
        <w:rPr>
          <w:color w:val="auto"/>
          <w:highlight w:val="none"/>
        </w:rPr>
        <w:t xml:space="preserve">27</w:t>
      </w:r>
      <w:r>
        <w:rPr>
          <w:color w:val="auto"/>
          <w:highlight w:val="none"/>
        </w:rPr>
        <w:fldChar w:fldCharType="end"/>
      </w:r>
      <w:r>
        <w:rPr>
          <w:rStyle w:val="1103"/>
          <w:color w:val="auto"/>
          <w:highlight w:val="none"/>
        </w:rPr>
        <w:fldChar w:fldCharType="end"/>
      </w:r>
      <w:r/>
    </w:p>
    <w:p>
      <w:pPr>
        <w:pStyle w:val="1091"/>
        <w:rPr>
          <w:rFonts w:hint="eastAsia" w:ascii="Calibri" w:hAnsi="Calibri" w:eastAsia="宋体"/>
          <w:b w:val="0"/>
          <w:color w:val="auto"/>
          <w:sz w:val="21"/>
          <w:szCs w:val="22"/>
          <w:highlight w:val="none"/>
          <w:lang w:val="en-US" w:eastAsia="zh-CN"/>
        </w:rPr>
      </w:pPr>
      <w:r>
        <w:rPr>
          <w:rStyle w:val="1103"/>
          <w:color w:val="auto"/>
          <w:highlight w:val="none"/>
        </w:rPr>
        <w:fldChar w:fldCharType="begin"/>
      </w:r>
      <w:r>
        <w:rPr>
          <w:rStyle w:val="1103"/>
          <w:color w:val="auto"/>
          <w:highlight w:val="none"/>
        </w:rPr>
        <w:instrText xml:space="preserve"> </w:instrText>
      </w:r>
      <w:r>
        <w:rPr>
          <w:color w:val="auto"/>
          <w:highlight w:val="none"/>
        </w:rPr>
        <w:instrText xml:space="preserve">HYPERLINK \l "_Toc195012924"</w:instrText>
      </w:r>
      <w:r>
        <w:rPr>
          <w:rStyle w:val="1103"/>
          <w:color w:val="auto"/>
          <w:highlight w:val="none"/>
        </w:rPr>
        <w:instrText xml:space="preserve"> </w:instrText>
      </w:r>
      <w:r>
        <w:rPr>
          <w:rStyle w:val="1103"/>
          <w:color w:val="auto"/>
          <w:highlight w:val="none"/>
        </w:rPr>
        <w:fldChar w:fldCharType="separate"/>
      </w:r>
      <w:r>
        <w:rPr>
          <w:rStyle w:val="1103"/>
          <w:rFonts w:hint="eastAsia"/>
          <w:color w:val="auto"/>
          <w:highlight w:val="none"/>
        </w:rPr>
        <w:t xml:space="preserve">第六章</w:t>
      </w:r>
      <w:r>
        <w:rPr>
          <w:rStyle w:val="1103"/>
          <w:color w:val="auto"/>
          <w:highlight w:val="none"/>
        </w:rPr>
        <w:t xml:space="preserve">   </w:t>
      </w:r>
      <w:r>
        <w:rPr>
          <w:rStyle w:val="1103"/>
          <w:rFonts w:hint="eastAsia"/>
          <w:color w:val="auto"/>
          <w:highlight w:val="none"/>
        </w:rPr>
        <w:t xml:space="preserve">响应文件格式</w:t>
      </w:r>
      <w:r>
        <w:rPr>
          <w:color w:val="auto"/>
          <w:highlight w:val="none"/>
        </w:rPr>
        <w:tab/>
      </w:r>
      <w:r>
        <w:rPr>
          <w:rFonts w:hint="eastAsia"/>
          <w:color w:val="auto"/>
          <w:highlight w:val="none"/>
          <w:lang w:val="en-US" w:eastAsia="zh-CN"/>
        </w:rPr>
        <w:t xml:space="preserve">3</w:t>
      </w:r>
      <w:r>
        <w:rPr>
          <w:rStyle w:val="1103"/>
          <w:color w:val="auto"/>
          <w:highlight w:val="none"/>
        </w:rPr>
        <w:fldChar w:fldCharType="end"/>
      </w:r>
      <w:r>
        <w:rPr>
          <w:rStyle w:val="1103"/>
          <w:rFonts w:hint="eastAsia"/>
          <w:color w:val="auto"/>
          <w:highlight w:val="none"/>
          <w:lang w:val="en-US" w:eastAsia="zh-CN"/>
        </w:rPr>
        <w:t xml:space="preserve">2</w:t>
      </w:r>
      <w:r/>
    </w:p>
    <w:p>
      <w:pPr>
        <w:pStyle w:val="1091"/>
        <w:spacing w:line="360" w:lineRule="auto"/>
        <w:rPr>
          <w:rFonts w:ascii="Times New Roman" w:hAnsi="Times New Roman"/>
          <w:b w:val="0"/>
          <w:color w:val="auto"/>
          <w:highlight w:val="none"/>
        </w:rPr>
      </w:pPr>
      <w:r>
        <w:rPr>
          <w:rFonts w:ascii="黑体" w:hAnsi="黑体" w:eastAsia="黑体"/>
          <w:b w:val="0"/>
          <w:color w:val="auto"/>
          <w:sz w:val="28"/>
          <w:szCs w:val="28"/>
          <w:highlight w:val="none"/>
        </w:rPr>
        <w:fldChar w:fldCharType="end"/>
      </w:r>
      <w:r/>
    </w:p>
    <w:p>
      <w:pPr>
        <w:jc w:val="left"/>
        <w:widowControl/>
        <w:rPr>
          <w:b/>
          <w:color w:val="auto"/>
          <w:sz w:val="36"/>
          <w:szCs w:val="36"/>
          <w:highlight w:val="none"/>
        </w:rPr>
        <w:sectPr>
          <w:headerReference w:type="default" r:id="rId9"/>
          <w:headerReference w:type="first" r:id="rId10"/>
          <w:footnotePr/>
          <w:endnotePr/>
          <w:type w:val="nextPage"/>
          <w:pgSz w:w="11907" w:h="16840" w:orient="portrait"/>
          <w:pgMar w:top="1418" w:right="1559" w:bottom="1418" w:left="1560" w:header="851" w:footer="851" w:gutter="0"/>
          <w:cols w:num="1" w:sep="0" w:space="1701" w:equalWidth="1"/>
          <w:docGrid w:linePitch="360"/>
          <w:titlePg/>
        </w:sectPr>
      </w:pPr>
      <w:r>
        <w:rPr>
          <w:b/>
          <w:color w:val="auto"/>
          <w:sz w:val="36"/>
          <w:szCs w:val="36"/>
          <w:highlight w:val="none"/>
        </w:rPr>
      </w:r>
      <w:r/>
    </w:p>
    <w:p>
      <w:pPr>
        <w:pStyle w:val="1106"/>
        <w:rPr>
          <w:color w:val="auto"/>
          <w:highlight w:val="none"/>
        </w:rPr>
      </w:pPr>
      <w:r>
        <w:rPr>
          <w:color w:val="auto"/>
          <w:highlight w:val="none"/>
        </w:rPr>
      </w:r>
      <w:r/>
    </w:p>
    <w:p>
      <w:pPr>
        <w:jc w:val="center"/>
        <w:spacing w:line="360" w:lineRule="auto"/>
        <w:rPr>
          <w:b/>
          <w:color w:val="auto"/>
          <w:sz w:val="36"/>
          <w:szCs w:val="36"/>
          <w:highlight w:val="none"/>
        </w:rPr>
        <w:outlineLvl w:val="0"/>
      </w:pPr>
      <w:r/>
      <w:bookmarkStart w:id="1" w:name="_Toc195012919"/>
      <w:r>
        <w:rPr>
          <w:b/>
          <w:color w:val="auto"/>
          <w:sz w:val="36"/>
          <w:szCs w:val="36"/>
          <w:highlight w:val="none"/>
        </w:rPr>
        <w:t xml:space="preserve">第一章   采购邀请</w:t>
      </w:r>
      <w:bookmarkEnd w:id="1"/>
      <w:r/>
      <w:r/>
    </w:p>
    <w:p>
      <w:pPr>
        <w:pStyle w:val="1071"/>
        <w:jc w:val="left"/>
        <w:spacing w:before="0" w:line="360" w:lineRule="auto"/>
        <w:rPr>
          <w:rFonts w:ascii="Times New Roman" w:hAnsi="Times New Roman" w:eastAsia="宋体"/>
          <w:color w:val="auto"/>
          <w:sz w:val="24"/>
          <w:szCs w:val="24"/>
          <w:highlight w:val="none"/>
        </w:rPr>
      </w:pPr>
      <w:r/>
      <w:bookmarkStart w:id="2" w:name="_Toc28359002"/>
      <w:r/>
      <w:bookmarkStart w:id="3" w:name="_Toc35393790"/>
      <w:r/>
      <w:bookmarkStart w:id="4" w:name="_Toc35393621"/>
      <w:r/>
      <w:bookmarkStart w:id="5" w:name="_Toc28359079"/>
      <w:r/>
      <w:bookmarkStart w:id="6" w:name="_Hlk24379207"/>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JSZC-320400-ZCCZ-D2026-0024</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2.项目名称</w:t>
      </w:r>
      <w:bookmarkEnd w:id="6"/>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常州市第一人民医院医疗废物处置及运输服务项目</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3.项目预算金额：</w:t>
      </w:r>
      <w:r>
        <w:rPr>
          <w:rFonts w:hint="eastAsia" w:ascii="宋体" w:hAnsi="宋体"/>
          <w:color w:val="auto"/>
          <w:sz w:val="24"/>
          <w:highlight w:val="none"/>
        </w:rPr>
        <w:t xml:space="preserve">1290.00万元/三年 、</w:t>
      </w:r>
      <w:r>
        <w:rPr>
          <w:rFonts w:ascii="宋体" w:hAnsi="宋体"/>
          <w:color w:val="auto"/>
          <w:sz w:val="24"/>
          <w:highlight w:val="none"/>
        </w:rPr>
        <w:t xml:space="preserve">项目最高限价</w:t>
      </w:r>
      <w:r>
        <w:rPr>
          <w:rFonts w:hint="eastAsia" w:ascii="宋体" w:hAnsi="宋体"/>
          <w:color w:val="auto"/>
          <w:sz w:val="24"/>
          <w:highlight w:val="none"/>
        </w:rPr>
        <w:t xml:space="preserve">：医疗废物处置及运输费（不含病理性医废）最高单价限价为4300元/吨；病理性医废处置及转运费最高单价限价为62元/公斤（其中处置费不得超过50元/公斤，转运费不得超过12元/公斤）</w:t>
      </w:r>
      <w:r>
        <w:rPr>
          <w:rFonts w:hint="eastAsia" w:ascii="宋体" w:hAnsi="宋体" w:cs="宋体"/>
          <w:color w:val="auto"/>
          <w:sz w:val="24"/>
          <w:highlight w:val="none"/>
        </w:rPr>
        <w:t xml:space="preserve"> </w:t>
      </w:r>
      <w:r/>
    </w:p>
    <w:p>
      <w:pPr>
        <w:ind w:firstLine="480"/>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rPr>
          <w:rFonts w:hint="eastAsia" w:ascii="宋体" w:hAnsi="宋体"/>
          <w:color w:val="auto"/>
          <w:sz w:val="24"/>
          <w:highlight w:val="none"/>
        </w:rPr>
        <w:t xml:space="preserve">本项目为常州市第一人民医院医疗废物处置及运输服务项目。项目内容包括但不限于全院医疗废物的收集、运送、贮存、处置等；处置范围涵盖固体、液体、化学性、损伤性、病理性、体内植入物等多种医疗废物；年度预估处置量约950吨。具体内容详见</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宋体" w:hAnsi="宋体" w:cs="宋体"/>
          <w:color w:val="auto"/>
          <w:sz w:val="24"/>
          <w:highlight w:val="none"/>
          <w:lang w:eastAsia="zh-CN"/>
        </w:rPr>
        <w:t xml:space="preserve">服务期3年。合同一年一签，合同到期经采购人考核合格后签订下一期合同。</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6.本项目是否接受联合体：否。</w:t>
      </w:r>
      <w:r/>
    </w:p>
    <w:p>
      <w:pPr>
        <w:ind w:firstLine="480"/>
        <w:spacing w:line="360" w:lineRule="auto"/>
        <w:rPr>
          <w:rFonts w:hint="eastAsia" w:ascii="宋体" w:hAnsi="宋体" w:cs="宋体"/>
          <w:color w:val="auto"/>
          <w:sz w:val="24"/>
          <w:highlight w:val="none"/>
        </w:rPr>
      </w:pPr>
      <w:r/>
      <w:bookmarkStart w:id="7" w:name="_Toc35393791"/>
      <w:r/>
      <w:bookmarkStart w:id="8" w:name="_Toc35393622"/>
      <w:r/>
      <w:bookmarkStart w:id="9" w:name="_Toc28359003"/>
      <w:r/>
      <w:bookmarkStart w:id="10" w:name="_Toc28359080"/>
      <w:r>
        <w:rPr>
          <w:rFonts w:hint="eastAsia" w:ascii="宋体" w:hAnsi="宋体" w:cs="宋体"/>
          <w:color w:val="auto"/>
          <w:sz w:val="24"/>
          <w:highlight w:val="none"/>
        </w:rPr>
        <w:t xml:space="preserve">7.本项目是否接受进口产品响应：否。</w:t>
      </w:r>
      <w:r/>
    </w:p>
    <w:p>
      <w:pPr>
        <w:pStyle w:val="1071"/>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cs="宋体"/>
          <w:color w:val="auto"/>
          <w:sz w:val="24"/>
          <w:highlight w:val="none"/>
        </w:rPr>
      </w:pPr>
      <w:r/>
      <w:bookmarkStart w:id="11" w:name="_Toc28359081"/>
      <w:r/>
      <w:bookmarkStart w:id="12" w:name="_Toc28359004"/>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■本</w:t>
      </w:r>
      <w:r>
        <w:rPr>
          <w:rFonts w:hint="eastAsia" w:ascii="宋体" w:hAnsi="宋体" w:cs="宋体"/>
          <w:color w:val="auto"/>
          <w:sz w:val="24"/>
          <w:highlight w:val="none"/>
        </w:rPr>
        <w:t xml:space="preserve">项目不专门面向中小企业预留采购份额。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其它落实政府采购政策的资格要求：无。</w:t>
      </w:r>
      <w:r/>
    </w:p>
    <w:p>
      <w:pPr>
        <w:ind w:firstLine="480"/>
        <w:spacing w:line="360" w:lineRule="auto"/>
        <w:rPr>
          <w:rFonts w:hint="eastAsia"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auto"/>
          <w:sz w:val="24"/>
          <w:highlight w:val="none"/>
        </w:rPr>
      </w:pPr>
      <w:r>
        <w:rPr>
          <w:rFonts w:hint="eastAsia" w:ascii="宋体" w:hAnsi="宋体" w:cs="宋体"/>
          <w:color w:val="auto"/>
          <w:sz w:val="24"/>
          <w:highlight w:val="none"/>
        </w:rPr>
        <w:t xml:space="preserve">3.1本项目是否接受分支机构参与：否；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auto"/>
          <w:sz w:val="24"/>
          <w:highlight w:val="none"/>
        </w:rPr>
      </w:pPr>
      <w:r/>
      <w:bookmarkStart w:id="13" w:name="OLE_LINK9"/>
      <w:r/>
      <w:bookmarkStart w:id="14" w:name="OLE_LINK10"/>
      <w:r>
        <w:rPr>
          <w:rFonts w:hint="eastAsia" w:ascii="宋体" w:hAnsi="宋体" w:cs="宋体"/>
          <w:color w:val="auto"/>
          <w:sz w:val="24"/>
          <w:highlight w:val="none"/>
        </w:rPr>
        <w:t xml:space="preserve">□</w:t>
      </w:r>
      <w:bookmarkEnd w:id="13"/>
      <w:r/>
      <w:bookmarkEnd w:id="14"/>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3.3 其他特定资格要求：</w:t>
      </w:r>
      <w:bookmarkEnd w:id="11"/>
      <w:bookmarkEnd w:id="12"/>
      <w:r/>
    </w:p>
    <w:p>
      <w:pPr>
        <w:ind w:firstLine="480"/>
        <w:spacing w:line="360" w:lineRule="auto"/>
        <w:rPr>
          <w:rFonts w:hint="eastAsia" w:ascii="宋体" w:hAnsi="宋体" w:cs="宋体"/>
          <w:color w:val="auto"/>
          <w:sz w:val="24"/>
          <w:highlight w:val="none"/>
        </w:rPr>
      </w:pPr>
      <w:r/>
      <w:bookmarkStart w:id="15" w:name="_Toc35393793"/>
      <w:r/>
      <w:bookmarkStart w:id="16" w:name="_Toc35393624"/>
      <w:r/>
      <w:bookmarkStart w:id="17" w:name="_Toc28359082"/>
      <w:r/>
      <w:bookmarkStart w:id="18" w:name="_Toc28359005"/>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具备生态环境部门核发的有效《危险废物经营许可证》（经营范围包含：处置医疗废物HW01,841-001-01,841-002-01）；</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自行运输医疗废物的，须具备有效的《道路危险货物运输许可证》（包含医疗废物、危险废物）；如委托第三方运输，须提供与运输方的有效合同或委托证明及运输方有效的《道路危险货物运输许可证》（包含医疗废物、危险废物）。</w:t>
      </w:r>
      <w:r/>
    </w:p>
    <w:p>
      <w:pPr>
        <w:ind w:firstLine="480"/>
        <w:spacing w:line="360" w:lineRule="auto"/>
        <w:tabs>
          <w:tab w:val="left" w:pos="900" w:leader="none"/>
          <w:tab w:val="left" w:pos="1134" w:leader="none"/>
          <w:tab w:val="left" w:pos="1589" w:leader="none"/>
          <w:tab w:val="left" w:pos="5521" w:leader="none"/>
        </w:tabs>
        <w:rPr>
          <w:b/>
          <w:color w:val="auto"/>
          <w:sz w:val="24"/>
          <w:highlight w:val="none"/>
        </w:rPr>
      </w:pPr>
      <w:r>
        <w:rPr>
          <w:rFonts w:hint="eastAsia"/>
          <w:b/>
          <w:color w:val="auto"/>
          <w:sz w:val="24"/>
          <w:highlight w:val="none"/>
        </w:rPr>
        <w:t xml:space="preserve">三、获取采购文件</w:t>
      </w:r>
      <w:r/>
    </w:p>
    <w:p>
      <w:pPr>
        <w:ind w:firstLine="480"/>
        <w:jc w:val="left"/>
        <w:spacing w:before="120" w:line="360" w:lineRule="auto"/>
        <w:rPr>
          <w:rFonts w:hint="eastAsia" w:ascii="宋体" w:hAnsi="宋体"/>
          <w:color w:val="auto"/>
          <w:sz w:val="24"/>
          <w:highlight w:val="none"/>
        </w:rPr>
      </w:pPr>
      <w:r>
        <w:rPr>
          <w:rFonts w:hint="eastAsia" w:ascii="宋体" w:hAnsi="宋体"/>
          <w:color w:val="auto"/>
          <w:sz w:val="24"/>
          <w:highlight w:val="none"/>
        </w:rPr>
        <w:t xml:space="preserve">时间：提交（上传）响应文件截止时间前。</w:t>
      </w:r>
      <w:r/>
    </w:p>
    <w:p>
      <w:pPr>
        <w:ind w:firstLine="480"/>
        <w:jc w:val="left"/>
        <w:spacing w:before="120" w:line="360" w:lineRule="auto"/>
        <w:rPr>
          <w:rFonts w:hint="eastAsia" w:ascii="宋体" w:hAnsi="宋体"/>
          <w:bCs/>
          <w:color w:val="auto"/>
          <w:sz w:val="24"/>
          <w:highlight w:val="none"/>
        </w:rPr>
      </w:pPr>
      <w:r>
        <w:rPr>
          <w:rFonts w:hint="eastAsia" w:ascii="宋体" w:hAnsi="宋体"/>
          <w:bCs/>
          <w:color w:val="auto"/>
          <w:sz w:val="24"/>
          <w:highlight w:val="none"/>
        </w:rPr>
        <w:t xml:space="preserve">地点：</w:t>
      </w:r>
      <w:r>
        <w:rPr>
          <w:rFonts w:hint="eastAsia" w:ascii="宋体" w:hAnsi="宋体"/>
          <w:color w:val="auto"/>
          <w:sz w:val="24"/>
          <w:highlight w:val="none"/>
        </w:rPr>
        <w:t xml:space="preserve">供应商完成注册并办理CA证书后登录“苏采云”（网址：http://jszfcg.jsczt.cn/jszc/login），下载本项目电子版采购文件。</w:t>
      </w:r>
      <w:r/>
    </w:p>
    <w:p>
      <w:pPr>
        <w:ind w:firstLine="480"/>
        <w:jc w:val="left"/>
        <w:spacing w:before="120" w:line="360" w:lineRule="auto"/>
        <w:rPr>
          <w:rFonts w:ascii="宋体" w:hAnsi="宋体"/>
          <w:bCs/>
          <w:color w:val="auto"/>
          <w:sz w:val="24"/>
          <w:highlight w:val="none"/>
        </w:rPr>
      </w:pPr>
      <w:r>
        <w:rPr>
          <w:rFonts w:hint="eastAsia" w:ascii="宋体" w:hAnsi="宋体"/>
          <w:bCs/>
          <w:color w:val="auto"/>
          <w:sz w:val="24"/>
          <w:highlight w:val="none"/>
        </w:rPr>
        <w:t xml:space="preserve">售价：0元。</w:t>
      </w:r>
      <w:r/>
    </w:p>
    <w:p>
      <w:pPr>
        <w:pStyle w:val="1071"/>
        <w:ind w:firstLine="482"/>
        <w:jc w:val="left"/>
        <w:keepLines w:val="0"/>
        <w:keepNext w:val="0"/>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w:t>
      </w:r>
      <w:bookmarkEnd w:id="15"/>
      <w:r/>
      <w:bookmarkEnd w:id="16"/>
      <w:r/>
      <w:bookmarkEnd w:id="17"/>
      <w:r/>
      <w:bookmarkEnd w:id="18"/>
      <w:r>
        <w:rPr>
          <w:rFonts w:ascii="Times New Roman" w:hAnsi="Times New Roman" w:eastAsia="宋体"/>
          <w:color w:val="auto"/>
          <w:sz w:val="24"/>
          <w:szCs w:val="24"/>
          <w:highlight w:val="none"/>
        </w:rPr>
        <w:t xml:space="preserve">响应文件提交</w:t>
      </w:r>
      <w:r/>
    </w:p>
    <w:p>
      <w:pPr>
        <w:ind w:firstLine="480"/>
        <w:spacing w:line="360" w:lineRule="auto"/>
        <w:rPr>
          <w:rFonts w:ascii="黑体" w:hAnsi="黑体" w:eastAsia="黑体"/>
          <w:color w:val="auto"/>
          <w:sz w:val="24"/>
          <w:highlight w:val="none"/>
        </w:rPr>
      </w:pPr>
      <w:r/>
      <w:bookmarkStart w:id="19" w:name="_Toc35393795"/>
      <w:r/>
      <w:bookmarkStart w:id="20" w:name="_Toc35393626"/>
      <w:r>
        <w:rPr>
          <w:rFonts w:hint="eastAsia" w:ascii="宋体" w:hAnsi="宋体"/>
          <w:color w:val="auto"/>
          <w:sz w:val="24"/>
          <w:highlight w:val="none"/>
        </w:rPr>
        <w:t xml:space="preserve">截止时间：</w:t>
      </w:r>
      <w:r>
        <w:rPr>
          <w:rFonts w:ascii="宋体" w:hAnsi="宋体"/>
          <w:bCs/>
          <w:color w:val="auto"/>
          <w:sz w:val="24"/>
          <w:highlight w:val="none"/>
          <w:u w:val="single"/>
        </w:rPr>
        <w:t xml:space="preserve">20</w:t>
      </w:r>
      <w:r>
        <w:rPr>
          <w:rFonts w:hint="eastAsia" w:ascii="宋体" w:hAnsi="宋体"/>
          <w:bCs/>
          <w:color w:val="auto"/>
          <w:sz w:val="24"/>
          <w:highlight w:val="none"/>
          <w:u w:val="single"/>
        </w:rPr>
        <w:t xml:space="preserve">26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8</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20日14</w:t>
      </w:r>
      <w:r>
        <w:rPr>
          <w:rFonts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00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地点：本项目采用不见面交易方式，无需到现场提交，供应商登录“苏采云”系统供应商端，通过系统在线提交电子响应文件。</w:t>
      </w:r>
      <w:r/>
    </w:p>
    <w:p>
      <w:pPr>
        <w:pStyle w:val="1071"/>
        <w:ind w:firstLine="482"/>
        <w:jc w:val="left"/>
        <w:spacing w:before="0" w:line="360" w:lineRule="auto"/>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五、其他补充事宜</w:t>
      </w:r>
      <w:bookmarkEnd w:id="19"/>
      <w:r/>
      <w:bookmarkEnd w:id="20"/>
      <w:r/>
      <w:r/>
    </w:p>
    <w:p>
      <w:pPr>
        <w:pStyle w:val="1092"/>
        <w:ind w:firstLine="480"/>
        <w:spacing w:line="276" w:lineRule="auto"/>
        <w:shd w:val="clear" w:color="auto" w:fill="ffffff"/>
        <w:rPr>
          <w:rFonts w:ascii="微软雅黑" w:hAnsi="微软雅黑" w:eastAsia="微软雅黑"/>
          <w:color w:val="auto"/>
          <w:sz w:val="21"/>
          <w:szCs w:val="21"/>
          <w:highlight w:val="none"/>
        </w:rPr>
      </w:pPr>
      <w:r/>
      <w:bookmarkStart w:id="21" w:name="_Toc28359008"/>
      <w:r/>
      <w:bookmarkStart w:id="22" w:name="_Toc28359085"/>
      <w:r/>
      <w:bookmarkStart w:id="23" w:name="_Toc35393627"/>
      <w:r/>
      <w:bookmarkStart w:id="24" w:name="_Toc35393796"/>
      <w:r>
        <w:rPr>
          <w:rFonts w:hint="eastAsia"/>
          <w:color w:val="auto"/>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技术支持服务热线   0519-85588210</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CA认证证书办理联系电话   0519-85588120</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1.1办理CA认证证书</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供应商登录常州市政府采购网“下载中心”下载并查阅 “江苏省政府采购数字证书CA及电子签章办理指南”，按照程序要求办理。因供应商完成注册并办理CA证书需要一定时间,请提前办理好相关手续,逾期未成功下载单一来源文件的责任由供应商自行承担。</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1.2注册</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供应商登录常州市政府采购网-下载中心-“苏采云”系统供应商操作手册”下载相关操作手册，查阅后进行自助注册。</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1.3控件、客户端下载</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供应商登录“苏采云”“驱动中心”下载相关控件和客户端。</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1.4 获取电子单一来源文件</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供应商持CA数字认证证书登录“苏采云”获取电子单一来源文件。未在规定期限内通过“苏采云”获取单一来源文件的响应无效。</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1.5编制电子响应文件</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供应商必须通过“苏采云”投标（响应）文件制作客户端”制作并使用CA证书加密上传响应文件，除上述方式之外，不接受供应商以纸质文件以及其他任何方式提交的响应文件。如无法按照要求在电子响应文件中加盖电子签章和加密，请及时通过技术支持服务热线联系技术人员。</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1.6提交电子响应文件</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供应商应于响应截止时间（开启）前在“苏采云”提交电子响应文件，上传电子响应文件过程中请保持与互联网的连接畅通。</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1.7电子开标</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供应商使用CA认证证书登录“苏采云”进行电子化不见面开标。</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1.8注意事项</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1）有关本次采购的事项若存在变动或修改，敬请及时关注常州市政府采购网发布的更正公告。</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供应商自行承担。</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3）如潜在供应商未按上述要求操作，将自行承担所产生的风险。</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2.关于常州市政府采购供应商信用管理</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2.1为了维护政府采购市场秩序，规范供应商的政府采购行为，促进供应商诚信经营和公平竞争，参加政府采购活动获取单一来源文件的响应人，应当履行以下诚信义务:</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1）自觉遵守政府采购法律法规，维护政府采购市场秩序和公平竞争环境，接受财政部门的监督检查；</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2）诚信参与政府采购活动，依法履行政府采购合同和政府采购活动中的各项承诺，为采购人提供符合单一来源文件规定的货物、工程和服务；</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3）保守在政府采购活动中获悉的国家秘密和他人商业秘密；</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4）法律法规规定的其他诚信义务。</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2.2供应商在参与政府采购活动中失信行为具体详见《常州市政府采购供应商信用管理暂行办法》。</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2.3供应商在参与政府采购活动中失信行为惩戒相关规定具体详见第二章响应须知。</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3.关于常州市中小企业政府采购信用融资：</w:t>
      </w:r>
      <w:r/>
    </w:p>
    <w:p>
      <w:pPr>
        <w:pStyle w:val="1092"/>
        <w:ind w:firstLine="210"/>
        <w:spacing w:line="276" w:lineRule="auto"/>
        <w:shd w:val="clear" w:color="auto" w:fill="ffffff"/>
        <w:rPr>
          <w:rFonts w:ascii="微软雅黑" w:hAnsi="微软雅黑" w:eastAsia="微软雅黑"/>
          <w:color w:val="auto"/>
          <w:sz w:val="21"/>
          <w:szCs w:val="21"/>
          <w:highlight w:val="none"/>
        </w:rPr>
      </w:pPr>
      <w:r>
        <w:rPr>
          <w:rFonts w:hint="eastAsia"/>
          <w:color w:val="auto"/>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71"/>
        <w:ind w:firstLine="482"/>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w:t>
      </w:r>
      <w:r>
        <w:rPr>
          <w:rFonts w:ascii="Times New Roman" w:hAnsi="Times New Roman" w:eastAsia="宋体"/>
          <w:color w:val="auto"/>
          <w:sz w:val="24"/>
          <w:szCs w:val="24"/>
          <w:highlight w:val="none"/>
        </w:rPr>
        <w:t xml:space="preserve">、对本次采购提出询问，请按以下方式联系。</w:t>
      </w:r>
      <w:bookmarkEnd w:id="21"/>
      <w:r/>
      <w:bookmarkEnd w:id="22"/>
      <w:r/>
      <w:bookmarkEnd w:id="23"/>
      <w:r/>
      <w:bookmarkEnd w:id="24"/>
      <w:r/>
      <w:r/>
    </w:p>
    <w:p>
      <w:pPr>
        <w:ind w:firstLine="723"/>
        <w:jc w:val="left"/>
        <w:spacing w:line="360" w:lineRule="auto"/>
        <w:widowControl/>
        <w:rPr>
          <w:rFonts w:hint="eastAsia" w:ascii="宋体" w:hAnsi="宋体" w:cs="宋体"/>
          <w:b/>
          <w:color w:val="auto"/>
          <w:sz w:val="24"/>
          <w:highlight w:val="none"/>
        </w:rPr>
      </w:pPr>
      <w:r/>
      <w:bookmarkStart w:id="25" w:name="_Toc28359086"/>
      <w:r/>
      <w:bookmarkStart w:id="26" w:name="_Toc28359009"/>
      <w:r>
        <w:rPr>
          <w:rFonts w:hint="eastAsia" w:ascii="宋体" w:hAnsi="宋体" w:cs="宋体"/>
          <w:b/>
          <w:color w:val="auto"/>
          <w:sz w:val="24"/>
          <w:highlight w:val="none"/>
        </w:rPr>
        <w:t xml:space="preserve">1.采购人信息</w:t>
      </w:r>
      <w:r/>
    </w:p>
    <w:p>
      <w:pPr>
        <w:ind w:firstLine="7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名  称：常州市第一人民医院</w:t>
      </w:r>
      <w:r/>
    </w:p>
    <w:p>
      <w:pPr>
        <w:ind w:firstLine="7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  址：常州市局前街185号</w:t>
      </w:r>
      <w:r>
        <w:rPr>
          <w:rFonts w:hint="eastAsia" w:ascii="MS Gothic" w:hAnsi="MS Gothic" w:eastAsia="MS Gothic" w:cs="MS Gothic"/>
          <w:color w:val="auto"/>
          <w:sz w:val="24"/>
          <w:highlight w:val="none"/>
        </w:rPr>
        <w:t xml:space="preserve"> ‌</w:t>
      </w:r>
      <w:r/>
    </w:p>
    <w:p>
      <w:pPr>
        <w:ind w:firstLine="7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w:t>
      </w:r>
      <w:bookmarkStart w:id="27" w:name="OLE_LINK14"/>
      <w:r/>
      <w:bookmarkStart w:id="28" w:name="_Hlk195012910"/>
      <w:r/>
      <w:bookmarkStart w:id="29" w:name="OLE_LINK23"/>
      <w:r>
        <w:rPr>
          <w:rFonts w:hint="eastAsia" w:ascii="宋体" w:hAnsi="宋体" w:cs="宋体"/>
          <w:color w:val="auto"/>
          <w:sz w:val="24"/>
          <w:highlight w:val="none"/>
        </w:rPr>
        <w:t xml:space="preserve">蒋女士 0519-68870725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徐</w:t>
      </w:r>
      <w:r>
        <w:rPr>
          <w:rFonts w:hint="eastAsia" w:ascii="宋体" w:hAnsi="宋体" w:cs="宋体"/>
          <w:color w:val="auto"/>
          <w:sz w:val="24"/>
          <w:highlight w:val="none"/>
        </w:rPr>
        <w:t xml:space="preserve">女士</w:t>
      </w:r>
      <w:bookmarkEnd w:id="27"/>
      <w:r/>
      <w:bookmarkEnd w:id="28"/>
      <w:r/>
      <w:bookmarkEnd w:id="29"/>
      <w:r>
        <w:rPr>
          <w:rStyle w:val="1104"/>
          <w:rFonts w:hint="eastAsia" w:ascii="宋体" w:hAnsi="宋体" w:eastAsia="宋体" w:cs="宋体"/>
          <w:color w:val="auto"/>
          <w:sz w:val="24"/>
          <w:highlight w:val="none"/>
        </w:rPr>
        <w:t xml:space="preserve"> 0519－68870413</w:t>
      </w:r>
      <w:r/>
    </w:p>
    <w:p>
      <w:pPr>
        <w:ind w:left="1080" w:hanging="301"/>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left="1080" w:hanging="301"/>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25"/>
      <w:r/>
      <w:bookmarkEnd w:id="26"/>
      <w:r/>
      <w:r/>
    </w:p>
    <w:p>
      <w:pPr>
        <w:ind w:left="1079" w:hanging="300"/>
        <w:jc w:val="left"/>
        <w:spacing w:line="360" w:lineRule="auto"/>
        <w:rPr>
          <w:rFonts w:hint="eastAsia" w:ascii="宋体" w:hAnsi="宋体" w:cs="宋体"/>
          <w:color w:val="auto"/>
          <w:sz w:val="24"/>
          <w:highlight w:val="none"/>
        </w:rPr>
      </w:pPr>
      <w:r/>
      <w:bookmarkStart w:id="30" w:name="_Toc28359010"/>
      <w:r/>
      <w:bookmarkStart w:id="31" w:name="_Toc28359087"/>
      <w:r>
        <w:rPr>
          <w:rFonts w:hint="eastAsia" w:ascii="宋体" w:hAnsi="宋体" w:cs="宋体"/>
          <w:color w:val="auto"/>
          <w:sz w:val="24"/>
          <w:highlight w:val="none"/>
        </w:rPr>
        <w:t xml:space="preserve">名  称：常州中采招投标有限公司</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址：钟楼区玉龙南路280号常州大数据产业园2号楼19楼1903室</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联系方式：0519-86661066</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723"/>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rPr>
        <w:t xml:space="preserve">3.项目联系方式</w:t>
      </w:r>
      <w:bookmarkEnd w:id="30"/>
      <w:r/>
      <w:bookmarkEnd w:id="31"/>
      <w:r/>
      <w:r/>
    </w:p>
    <w:p>
      <w:pPr>
        <w:pStyle w:val="1084"/>
        <w:ind w:firstLine="720"/>
        <w:spacing w:line="360" w:lineRule="auto"/>
        <w:rPr>
          <w:rFonts w:hAnsi="宋体" w:cs="宋体"/>
          <w:color w:val="auto"/>
          <w:sz w:val="24"/>
          <w:szCs w:val="24"/>
          <w:highlight w:val="none"/>
        </w:rPr>
      </w:pPr>
      <w:r>
        <w:rPr>
          <w:rFonts w:hAnsi="宋体" w:cs="宋体"/>
          <w:color w:val="auto"/>
          <w:sz w:val="24"/>
          <w:szCs w:val="24"/>
          <w:highlight w:val="none"/>
        </w:rPr>
        <w:t xml:space="preserve">项目联系人：戴女士</w:t>
      </w:r>
      <w:r/>
    </w:p>
    <w:p>
      <w:pPr>
        <w:pStyle w:val="1084"/>
        <w:ind w:firstLine="720"/>
        <w:spacing w:line="360" w:lineRule="auto"/>
        <w:rPr>
          <w:rFonts w:ascii="Times New Roman" w:hAnsi="Times New Roman"/>
          <w:color w:val="auto"/>
          <w:sz w:val="24"/>
          <w:szCs w:val="24"/>
          <w:highlight w:val="none"/>
        </w:rPr>
      </w:pPr>
      <w:r>
        <w:rPr>
          <w:rFonts w:hAnsi="宋体" w:cs="宋体"/>
          <w:color w:val="auto"/>
          <w:sz w:val="24"/>
          <w:szCs w:val="24"/>
          <w:highlight w:val="none"/>
        </w:rPr>
        <w:t xml:space="preserve">电      话：0519-86661066</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bookmarkStart w:id="32" w:name="_Toc264969275"/>
      <w:r/>
      <w:bookmarkStart w:id="33" w:name="_Toc305158928"/>
      <w:r/>
      <w:bookmarkStart w:id="34" w:name="_Toc305158854"/>
      <w:r/>
      <w:bookmarkStart w:id="35" w:name="_Toc353873938"/>
      <w:r/>
      <w:bookmarkStart w:id="36" w:name="_Toc353825548"/>
      <w:r/>
      <w:bookmarkStart w:id="37" w:name="_Toc512937850"/>
      <w:r/>
      <w:bookmarkStart w:id="38" w:name="_Toc226965856"/>
      <w:r/>
      <w:bookmarkStart w:id="39" w:name="_Toc195842950"/>
      <w:r/>
      <w:bookmarkStart w:id="40" w:name="_Toc150774783"/>
      <w:r/>
      <w:bookmarkStart w:id="41" w:name="_Toc127151777"/>
      <w:r/>
      <w:bookmarkStart w:id="42" w:name="_Toc265228423"/>
      <w:r/>
      <w:bookmarkStart w:id="43" w:name="_Toc127161488"/>
      <w:r>
        <w:rPr>
          <w:b/>
          <w:color w:val="auto"/>
          <w:sz w:val="36"/>
          <w:szCs w:val="36"/>
          <w:highlight w:val="none"/>
        </w:rPr>
        <w:br w:type="page" w:clear="all"/>
      </w:r>
      <w:bookmarkStart w:id="44" w:name="_Toc195012920"/>
      <w:r>
        <w:rPr>
          <w:b/>
          <w:color w:val="auto"/>
          <w:sz w:val="36"/>
          <w:szCs w:val="36"/>
          <w:highlight w:val="none"/>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71"/>
        <w:spacing w:before="0" w:line="360" w:lineRule="auto"/>
        <w:tabs>
          <w:tab w:val="center" w:pos="4592" w:leader="none"/>
          <w:tab w:val="left" w:pos="7860" w:leader="none"/>
        </w:tabs>
        <w:rPr>
          <w:rFonts w:hint="eastAsia" w:ascii="宋体" w:hAnsi="宋体" w:eastAsia="宋体" w:cs="宋体"/>
          <w:color w:val="auto"/>
          <w:sz w:val="28"/>
          <w:szCs w:val="28"/>
          <w:highlight w:val="none"/>
        </w:rPr>
      </w:pPr>
      <w:r/>
      <w:bookmarkStart w:id="45" w:name="_Toc164229214"/>
      <w:r/>
      <w:bookmarkStart w:id="46" w:name="_Toc127151720"/>
      <w:r/>
      <w:bookmarkStart w:id="47" w:name="_Toc164608788"/>
      <w:r/>
      <w:bookmarkStart w:id="48" w:name="_Toc151190146"/>
      <w:r/>
      <w:bookmarkStart w:id="49" w:name="_Toc150774619"/>
      <w:r/>
      <w:bookmarkStart w:id="50" w:name="_Toc150480757"/>
      <w:r/>
      <w:bookmarkStart w:id="51" w:name="_Toc226309763"/>
      <w:r/>
      <w:bookmarkStart w:id="52" w:name="_Toc164608633"/>
      <w:r/>
      <w:bookmarkStart w:id="53" w:name="_Toc151193689"/>
      <w:r/>
      <w:bookmarkStart w:id="54" w:name="_Toc520356144"/>
      <w:r/>
      <w:bookmarkStart w:id="55" w:name="_Toc151193761"/>
      <w:r/>
      <w:bookmarkStart w:id="56" w:name="_Toc150509270"/>
      <w:r/>
      <w:bookmarkStart w:id="57" w:name="_Toc151193617"/>
      <w:r/>
      <w:bookmarkStart w:id="58" w:name="_Toc226965709"/>
      <w:r/>
      <w:bookmarkStart w:id="59" w:name="_Toc149720812"/>
      <w:r/>
      <w:bookmarkStart w:id="60" w:name="_Toc195842884"/>
      <w:r/>
      <w:bookmarkStart w:id="61" w:name="_Toc150774724"/>
      <w:r/>
      <w:bookmarkStart w:id="62" w:name="_Toc127161433"/>
      <w:r/>
      <w:bookmarkStart w:id="63" w:name="_Toc151193907"/>
      <w:r/>
      <w:bookmarkStart w:id="64" w:name="_Toc127151519"/>
      <w:r/>
      <w:bookmarkStart w:id="65" w:name="_Toc226337215"/>
      <w:r/>
      <w:bookmarkStart w:id="66" w:name="_Toc164351613"/>
      <w:r/>
      <w:bookmarkStart w:id="67" w:name="_Toc164229360"/>
      <w:r/>
      <w:bookmarkStart w:id="68" w:name="_Toc151193833"/>
      <w:r/>
      <w:bookmarkStart w:id="69" w:name="_Toc142311021"/>
      <w:r/>
      <w:bookmarkStart w:id="70" w:name="_Toc226965792"/>
      <w:r>
        <w:rPr>
          <w:rFonts w:hint="eastAsia" w:ascii="宋体" w:hAnsi="宋体" w:eastAsia="宋体" w:cs="宋体"/>
          <w:color w:val="auto"/>
          <w:sz w:val="28"/>
          <w:szCs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MS Gothic" w:hAnsi="MS Gothic" w:eastAsia="MS Gothic" w:cs="MS Gothic"/>
          <w:color w:val="auto"/>
          <w:highlight w:val="none"/>
        </w:rPr>
        <w:t xml:space="preserve">■</w:t>
      </w:r>
      <w:r>
        <w:rPr>
          <w:color w:val="auto"/>
          <w:sz w:val="24"/>
          <w:highlight w:val="none"/>
        </w:rPr>
        <w:t xml:space="preserve">”的选项意为适用于本项目，标记“□”的选项意为不适用于本项目。</w:t>
      </w:r>
      <w:r/>
    </w:p>
    <w:tbl>
      <w:tblPr>
        <w:tblStyle w:val="90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222"/>
        <w:gridCol w:w="6732"/>
      </w:tblGrid>
      <w:tr>
        <w:trPr>
          <w:jc w:val="center"/>
          <w:trHeight w:val="594"/>
          <w:tblHeader/>
        </w:trPr>
        <w:tc>
          <w:tcPr>
            <w:tcW w:w="98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222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673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bookmarkStart w:id="71" w:name="OLE_LINK134"/>
            <w:r/>
            <w:bookmarkStart w:id="72" w:name="OLE_LINK133"/>
            <w:r/>
            <w:bookmarkStart w:id="73" w:name="_Hlk193363555"/>
            <w:r>
              <w:rPr>
                <w:rFonts w:hAnsi="宋体" w:cs="宋体"/>
                <w:color w:val="auto"/>
                <w:sz w:val="24"/>
                <w:szCs w:val="24"/>
                <w:highlight w:val="none"/>
              </w:rPr>
              <w:t xml:space="preserve">2.2</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6732"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Times New Roman" w:hAnsi="Times New Roman" w:eastAsia="宋体" w:cs="Times New Roman"/>
                <w:color w:val="auto"/>
                <w:sz w:val="24"/>
                <w:highlight w:val="none"/>
                <w:lang w:eastAsia="zh-CN"/>
              </w:rPr>
              <w:t xml:space="preserve">■</w:t>
            </w:r>
            <w:r>
              <w:rPr>
                <w:color w:val="auto"/>
                <w:sz w:val="24"/>
                <w:highlight w:val="none"/>
              </w:rPr>
              <w:t xml:space="preserve">服务</w:t>
            </w:r>
            <w:r/>
          </w:p>
          <w:p>
            <w:pPr>
              <w:jc w:val="left"/>
              <w:rPr>
                <w:color w:val="auto"/>
                <w:sz w:val="24"/>
                <w:highlight w:val="none"/>
              </w:rPr>
            </w:pPr>
            <w:r>
              <w:rPr>
                <w:rFonts w:hint="eastAsia"/>
                <w:color w:val="auto"/>
                <w:sz w:val="24"/>
                <w:highlight w:val="none"/>
                <w:lang w:eastAsia="zh-CN"/>
              </w:rPr>
              <w:t xml:space="preserve">□</w:t>
            </w:r>
            <w:r>
              <w:rPr>
                <w:color w:val="auto"/>
                <w:sz w:val="24"/>
                <w:highlight w:val="none"/>
              </w:rPr>
              <w:t xml:space="preserve">货物</w:t>
            </w:r>
            <w:r/>
          </w:p>
          <w:p>
            <w:pPr>
              <w:jc w:val="left"/>
              <w:spacing w:line="360" w:lineRule="auto"/>
              <w:rPr>
                <w:rFonts w:hint="eastAsia" w:ascii="宋体" w:hAnsi="宋体" w:cs="宋体"/>
                <w:color w:val="auto"/>
                <w:sz w:val="24"/>
                <w:highlight w:val="none"/>
              </w:rPr>
            </w:pPr>
            <w:r/>
            <w:bookmarkStart w:id="74" w:name="OLE_LINK115"/>
            <w:r>
              <w:rPr>
                <w:rFonts w:hint="eastAsia"/>
                <w:color w:val="auto"/>
                <w:sz w:val="24"/>
                <w:highlight w:val="none"/>
              </w:rPr>
              <w:t xml:space="preserve">□</w:t>
            </w:r>
            <w:bookmarkEnd w:id="74"/>
            <w:r>
              <w:rPr>
                <w:rFonts w:hint="eastAsia"/>
                <w:color w:val="auto"/>
                <w:sz w:val="24"/>
                <w:highlight w:val="none"/>
              </w:rPr>
              <w:t xml:space="preserve">工程</w:t>
            </w:r>
            <w:bookmarkEnd w:id="71"/>
            <w:bookmarkEnd w:id="72"/>
            <w:bookmarkEnd w:id="73"/>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2.3</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spacing w:line="360" w:lineRule="auto"/>
              <w:rPr>
                <w:rFonts w:hint="eastAsia" w:ascii="宋体" w:hAnsi="宋体" w:cs="宋体"/>
                <w:color w:val="auto"/>
                <w:sz w:val="24"/>
                <w:highlight w:val="none"/>
              </w:rPr>
            </w:pPr>
            <w:r>
              <w:rPr>
                <w:rFonts w:hint="eastAsia" w:ascii="Times New Roman" w:hAnsi="Times New Roman" w:eastAsia="宋体" w:cs="Times New Roman"/>
                <w:color w:val="auto"/>
                <w:sz w:val="24"/>
                <w:highlight w:val="none"/>
                <w:lang w:eastAsia="zh-CN"/>
              </w:rPr>
              <w:t xml:space="preserve">■</w:t>
            </w:r>
            <w:r>
              <w:rPr>
                <w:rFonts w:hint="eastAsia" w:ascii="宋体" w:hAnsi="宋体" w:cs="宋体"/>
                <w:color w:val="auto"/>
                <w:sz w:val="24"/>
                <w:highlight w:val="none"/>
              </w:rPr>
              <w:t xml:space="preserve">否</w:t>
            </w:r>
            <w:r/>
          </w:p>
        </w:tc>
      </w:tr>
      <w:tr>
        <w:trPr>
          <w:jc w:val="center"/>
          <w:trHeight w:val="906"/>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3.2.5</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w:t>
            </w:r>
            <w:r/>
          </w:p>
        </w:tc>
      </w:tr>
      <w:tr>
        <w:trPr>
          <w:jc w:val="center"/>
          <w:trHeight w:val="721"/>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6.3</w:t>
            </w:r>
            <w:r/>
          </w:p>
        </w:tc>
        <w:tc>
          <w:tcPr>
            <w:tcW w:w="222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对单一来源采购文件的澄清或修改</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提交响应文件截止之日</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 xml:space="preserve">个工作日前</w:t>
            </w:r>
            <w:r/>
          </w:p>
        </w:tc>
      </w:tr>
      <w:tr>
        <w:trPr>
          <w:jc w:val="center"/>
          <w:trHeight w:val="721"/>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9.2</w:t>
            </w:r>
            <w:r/>
          </w:p>
        </w:tc>
        <w:tc>
          <w:tcPr>
            <w:tcW w:w="2222" w:type="dxa"/>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有，具体情形：</w:t>
            </w:r>
            <w:r>
              <w:rPr>
                <w:rFonts w:hint="eastAsia" w:ascii="宋体" w:hAnsi="宋体" w:cs="宋体"/>
                <w:b/>
                <w:color w:val="auto"/>
                <w:sz w:val="24"/>
                <w:highlight w:val="none"/>
                <w:u w:val="single"/>
              </w:rPr>
              <w:t xml:space="preserve">本项目采用至少二次报价。</w:t>
            </w:r>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10.1</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保证金</w:t>
            </w:r>
            <w:r/>
          </w:p>
        </w:tc>
        <w:tc>
          <w:tcPr>
            <w:tcW w:w="6732" w:type="dxa"/>
            <w:vAlign w:val="center"/>
            <w:textDirection w:val="lrTb"/>
            <w:noWrap w:val="false"/>
          </w:tcPr>
          <w:p>
            <w:pPr>
              <w:pStyle w:val="1084"/>
              <w:spacing w:line="360" w:lineRule="auto"/>
              <w:rPr>
                <w:rFonts w:hAnsi="宋体" w:cs="宋体"/>
                <w:color w:val="auto"/>
                <w:sz w:val="24"/>
                <w:szCs w:val="24"/>
                <w:highlight w:val="none"/>
              </w:rPr>
            </w:pPr>
            <w:r>
              <w:rPr>
                <w:rFonts w:hAnsi="宋体" w:cs="宋体"/>
                <w:color w:val="auto"/>
                <w:sz w:val="24"/>
                <w:szCs w:val="24"/>
                <w:highlight w:val="none"/>
              </w:rPr>
              <w:t xml:space="preserve">免收</w:t>
            </w:r>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11.1</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响应有效期</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自提交响应文件的截止之日起算60日历天。</w:t>
            </w:r>
            <w:r/>
          </w:p>
        </w:tc>
      </w:tr>
      <w:tr>
        <w:trPr>
          <w:jc w:val="center"/>
          <w:trHeight w:val="543"/>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16.1</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解密地点</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本项目不涉及</w:t>
            </w:r>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22.5</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本项目是否允许分包：</w:t>
            </w:r>
            <w:r/>
          </w:p>
          <w:p>
            <w:pPr>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不允许</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（1）可以分包履行的具体内容：__________；</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（2）允许分包的金额或者比例：__________；</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（3）其他要求：__________。</w:t>
            </w:r>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23.1.1</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询问送达形式：书面形式。</w:t>
            </w:r>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23.3</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联系部门：常州中采招投标有限公司；</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联系电话：0519-86661066；</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通讯地址：钟楼区玉龙南路280号常州大数据产业园2号楼19楼1903室。</w:t>
            </w:r>
            <w:r/>
          </w:p>
        </w:tc>
      </w:tr>
      <w:tr>
        <w:trPr>
          <w:jc w:val="center"/>
          <w:trHeight w:val="20"/>
        </w:trPr>
        <w:tc>
          <w:tcPr>
            <w:tcW w:w="988" w:type="dxa"/>
            <w:vAlign w:val="center"/>
            <w:textDirection w:val="lrTb"/>
            <w:noWrap w:val="false"/>
          </w:tcPr>
          <w:p>
            <w:pPr>
              <w:pStyle w:val="1084"/>
              <w:jc w:val="center"/>
              <w:spacing w:line="360" w:lineRule="auto"/>
              <w:rPr>
                <w:rFonts w:hAnsi="宋体" w:cs="宋体"/>
                <w:color w:val="auto"/>
                <w:sz w:val="24"/>
                <w:szCs w:val="24"/>
                <w:highlight w:val="none"/>
              </w:rPr>
            </w:pPr>
            <w:r>
              <w:rPr>
                <w:rFonts w:hAnsi="宋体" w:cs="宋体"/>
                <w:color w:val="auto"/>
                <w:sz w:val="24"/>
                <w:szCs w:val="24"/>
                <w:highlight w:val="none"/>
              </w:rPr>
              <w:t xml:space="preserve">24.1</w:t>
            </w:r>
            <w:r/>
          </w:p>
        </w:tc>
        <w:tc>
          <w:tcPr>
            <w:tcW w:w="22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W w:w="6732"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收费对象：</w:t>
            </w:r>
            <w:r/>
          </w:p>
          <w:p>
            <w:pPr>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成交供应商</w:t>
            </w:r>
            <w:r/>
          </w:p>
          <w:p>
            <w:pPr>
              <w:numPr>
                <w:ilvl w:val="0"/>
                <w:numId w:val="2"/>
              </w:num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采购代理服务费收费标准为</w:t>
            </w:r>
            <w:r>
              <w:rPr>
                <w:rFonts w:hint="eastAsia" w:ascii="宋体" w:hAnsi="宋体" w:cs="宋体"/>
                <w:bCs/>
                <w:color w:val="auto"/>
                <w:sz w:val="24"/>
                <w:highlight w:val="none"/>
              </w:rPr>
              <w:t xml:space="preserve">：</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本项目预算包含代理服务费，</w:t>
            </w:r>
            <w:r>
              <w:rPr>
                <w:rFonts w:hint="eastAsia" w:ascii="宋体" w:hAnsi="宋体" w:cs="宋体"/>
                <w:bCs/>
                <w:color w:val="auto"/>
                <w:sz w:val="24"/>
                <w:highlight w:val="none"/>
              </w:rPr>
              <w:t xml:space="preserve">服务费</w:t>
            </w:r>
            <w:r>
              <w:rPr>
                <w:rFonts w:hint="eastAsia" w:ascii="宋体" w:hAnsi="宋体" w:cs="宋体"/>
                <w:color w:val="auto"/>
                <w:sz w:val="24"/>
                <w:highlight w:val="none"/>
              </w:rPr>
              <w:t xml:space="preserve">按照下列标准收取并由</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承担，</w:t>
            </w:r>
            <w:r>
              <w:rPr>
                <w:rFonts w:hint="eastAsia" w:ascii="宋体" w:hAnsi="宋体" w:cs="宋体"/>
                <w:bCs/>
                <w:color w:val="auto"/>
                <w:sz w:val="24"/>
                <w:highlight w:val="none"/>
              </w:rPr>
              <w:t xml:space="preserve">成交通知书</w:t>
            </w:r>
            <w:r>
              <w:rPr>
                <w:rFonts w:hint="eastAsia" w:ascii="宋体" w:hAnsi="宋体" w:cs="宋体"/>
                <w:color w:val="auto"/>
                <w:sz w:val="24"/>
                <w:highlight w:val="none"/>
              </w:rPr>
              <w:t xml:space="preserve">应在领取</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通知书时将代理服务费付至采购代理机构收费账户。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（2）代理服务收费标准</w:t>
            </w:r>
            <w:r/>
          </w:p>
          <w:p>
            <w:pPr>
              <w:ind w:firstLine="480"/>
              <w:spacing w:line="360" w:lineRule="auto"/>
              <w:tabs>
                <w:tab w:val="left" w:pos="510" w:leader="none"/>
                <w:tab w:val="left" w:pos="735" w:leader="none"/>
                <w:tab w:val="left" w:pos="945" w:leader="none"/>
                <w:tab w:val="left" w:pos="1155" w:leader="none"/>
              </w:tabs>
              <w:rPr>
                <w:rFonts w:hint="eastAsia" w:ascii="宋体" w:hAnsi="宋体"/>
                <w:strike/>
                <w:color w:val="auto"/>
                <w:sz w:val="24"/>
                <w:highlight w:val="none"/>
              </w:rPr>
            </w:pPr>
            <w:r>
              <w:rPr>
                <w:rFonts w:hint="eastAsia" w:ascii="宋体" w:hAnsi="宋体" w:cs="宋体"/>
                <w:color w:val="auto"/>
                <w:sz w:val="24"/>
                <w:highlight w:val="none"/>
              </w:rPr>
              <w:t xml:space="preserve">本项目代理服务费收费以一年预算金额为基数计算，按一年预算金额的0.8%收取。</w:t>
            </w:r>
            <w:r/>
          </w:p>
          <w:p>
            <w:pPr>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2.成交供应商领取成交通知书时须向</w:t>
            </w:r>
            <w:r>
              <w:rPr>
                <w:rFonts w:hint="eastAsia" w:ascii="宋体" w:hAnsi="宋体" w:cs="宋体"/>
                <w:color w:val="auto"/>
                <w:sz w:val="24"/>
                <w:highlight w:val="none"/>
              </w:rPr>
              <w:t xml:space="preserve">常州中采招投标有限公司</w:t>
            </w:r>
            <w:r>
              <w:rPr>
                <w:rFonts w:hint="eastAsia" w:ascii="宋体" w:hAnsi="宋体" w:cs="宋体"/>
                <w:bCs/>
                <w:color w:val="auto"/>
                <w:sz w:val="24"/>
                <w:highlight w:val="none"/>
              </w:rPr>
              <w:t xml:space="preserve">缴纳采购代理服务费。</w:t>
            </w:r>
            <w:r/>
          </w:p>
          <w:p>
            <w:pPr>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3.公司账户信息</w:t>
            </w:r>
            <w:r/>
          </w:p>
          <w:p>
            <w:pPr>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单位名称：常州中采招投标有限公司</w:t>
            </w:r>
            <w:r/>
          </w:p>
          <w:p>
            <w:pPr>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账  号：32050162970100001741</w:t>
            </w:r>
            <w:r/>
          </w:p>
          <w:p>
            <w:pPr>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开户行：建行常州惠民支行</w:t>
            </w:r>
            <w:r/>
          </w:p>
        </w:tc>
      </w:tr>
    </w:tbl>
    <w:p>
      <w:pPr>
        <w:jc w:val="both"/>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559" w:bottom="1418" w:left="1701" w:header="851" w:footer="851" w:gutter="0"/>
          <w:pgNumType w:start="1"/>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bookmarkStart w:id="75" w:name="_Toc305158859"/>
      <w:r/>
      <w:bookmarkStart w:id="76" w:name="_Toc353825542"/>
      <w:r/>
      <w:bookmarkStart w:id="77" w:name="_Toc195842882"/>
      <w:r/>
      <w:bookmarkStart w:id="78" w:name="_Toc127151517"/>
      <w:r/>
      <w:bookmarkStart w:id="79" w:name="_Toc305158785"/>
      <w:r/>
      <w:bookmarkStart w:id="80" w:name="_Toc226965790"/>
      <w:r/>
      <w:bookmarkStart w:id="81" w:name="_Toc265228355"/>
      <w:r/>
      <w:bookmarkStart w:id="82" w:name="_Toc142311019"/>
      <w:r/>
      <w:bookmarkStart w:id="83" w:name="_Toc264969207"/>
      <w:r/>
      <w:bookmarkStart w:id="84" w:name="_Toc353873662"/>
      <w:r/>
      <w:bookmarkStart w:id="85" w:name="_Toc353873932"/>
      <w:r/>
      <w:bookmarkStart w:id="86" w:name="_Toc150774722"/>
      <w:r/>
      <w:bookmarkStart w:id="87" w:name="_Toc226337213"/>
      <w:r/>
      <w:bookmarkStart w:id="88" w:name="_Toc150480755"/>
      <w:r>
        <w:rPr>
          <w:b/>
          <w:color w:val="auto"/>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1"/>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127151518"/>
      <w:r/>
      <w:bookmarkStart w:id="90" w:name="_Toc520356143"/>
      <w:r>
        <w:rPr>
          <w:rFonts w:ascii="Times New Roman" w:hAnsi="Times New Roman" w:eastAsia="宋体"/>
          <w:color w:val="auto"/>
          <w:sz w:val="28"/>
          <w:highlight w:val="none"/>
        </w:rPr>
        <w:tab/>
      </w:r>
      <w:bookmarkStart w:id="91" w:name="_Toc226337214"/>
      <w:r/>
      <w:bookmarkStart w:id="92" w:name="_Toc151193616"/>
      <w:r/>
      <w:bookmarkStart w:id="93" w:name="_Toc150480756"/>
      <w:r/>
      <w:bookmarkStart w:id="94" w:name="_Toc226965791"/>
      <w:r/>
      <w:bookmarkStart w:id="95" w:name="_Toc226965708"/>
      <w:r/>
      <w:bookmarkStart w:id="96" w:name="_Toc151193832"/>
      <w:r/>
      <w:bookmarkStart w:id="97" w:name="_Toc305158786"/>
      <w:r/>
      <w:bookmarkStart w:id="98" w:name="_Toc264969208"/>
      <w:r/>
      <w:bookmarkStart w:id="99" w:name="_Toc305158860"/>
      <w:r/>
      <w:bookmarkStart w:id="100" w:name="_Toc150774723"/>
      <w:r/>
      <w:bookmarkStart w:id="101" w:name="_Toc151193906"/>
      <w:r/>
      <w:bookmarkStart w:id="102" w:name="_Toc151193760"/>
      <w:r/>
      <w:bookmarkStart w:id="103" w:name="_Toc151190145"/>
      <w:r/>
      <w:bookmarkStart w:id="104" w:name="_Toc150509269"/>
      <w:r/>
      <w:bookmarkStart w:id="105" w:name="_Toc195842883"/>
      <w:r/>
      <w:bookmarkStart w:id="106" w:name="_Toc226309762"/>
      <w:r/>
      <w:bookmarkStart w:id="107" w:name="_Toc142311020"/>
      <w:r/>
      <w:bookmarkStart w:id="108" w:name="_Toc151193688"/>
      <w:r/>
      <w:bookmarkStart w:id="109" w:name="_Toc265228356"/>
      <w:r/>
      <w:bookmarkStart w:id="110" w:name="_Toc150774618"/>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3"/>
        </w:numPr>
        <w:ind w:left="357" w:hanging="357"/>
        <w:spacing w:line="360" w:lineRule="auto"/>
        <w:tabs>
          <w:tab w:val="left" w:pos="360" w:leader="none"/>
        </w:tabs>
        <w:rPr>
          <w:color w:val="auto"/>
          <w:sz w:val="24"/>
          <w:highlight w:val="none"/>
        </w:rPr>
        <w:outlineLvl w:val="1"/>
      </w:pPr>
      <w:r/>
      <w:bookmarkStart w:id="111" w:name="_Toc305158861"/>
      <w:r/>
      <w:bookmarkStart w:id="112" w:name="_Toc265228357"/>
      <w:r/>
      <w:bookmarkStart w:id="113" w:name="_Toc305158787"/>
      <w:r/>
      <w:bookmarkStart w:id="114" w:name="_Toc264969209"/>
      <w:r>
        <w:rPr>
          <w:color w:val="auto"/>
          <w:sz w:val="24"/>
          <w:highlight w:val="none"/>
        </w:rPr>
        <w:t xml:space="preserve">采购人、采购代理机构、供应商（申请人）</w:t>
      </w:r>
      <w:bookmarkEnd w:id="111"/>
      <w:r/>
      <w:bookmarkEnd w:id="112"/>
      <w:r/>
      <w:bookmarkEnd w:id="113"/>
      <w:r/>
      <w:bookmarkEnd w:id="114"/>
      <w:r>
        <w:rPr>
          <w:color w:val="auto"/>
          <w:sz w:val="24"/>
          <w:highlight w:val="none"/>
        </w:rPr>
        <w:t xml:space="preserve">、联合体</w:t>
      </w:r>
      <w:r/>
    </w:p>
    <w:p>
      <w:pPr>
        <w:numPr>
          <w:ilvl w:val="1"/>
          <w:numId w:val="3"/>
        </w:numPr>
        <w:ind w:left="1080" w:hanging="720"/>
        <w:spacing w:line="360" w:lineRule="auto"/>
        <w:tabs>
          <w:tab w:val="left" w:pos="1080" w:leader="none"/>
          <w:tab w:val="left" w:pos="1589"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3"/>
        </w:numPr>
        <w:ind w:left="1080" w:hanging="720"/>
        <w:spacing w:line="360" w:lineRule="auto"/>
        <w:tabs>
          <w:tab w:val="left" w:pos="1080" w:leader="none"/>
          <w:tab w:val="left" w:pos="1589"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3"/>
        </w:numPr>
        <w:ind w:left="1080" w:hanging="720"/>
        <w:spacing w:line="360" w:lineRule="auto"/>
        <w:tabs>
          <w:tab w:val="left" w:pos="1080" w:leader="none"/>
          <w:tab w:val="left" w:pos="1589"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3"/>
        </w:numPr>
        <w:ind w:left="357" w:hanging="357"/>
        <w:spacing w:line="360" w:lineRule="auto"/>
        <w:tabs>
          <w:tab w:val="left" w:pos="360" w:leader="none"/>
        </w:tabs>
        <w:rPr>
          <w:color w:val="auto"/>
          <w:sz w:val="24"/>
          <w:highlight w:val="none"/>
        </w:rPr>
        <w:outlineLvl w:val="1"/>
      </w:pPr>
      <w:r/>
      <w:bookmarkStart w:id="115" w:name="_Toc195842885"/>
      <w:r/>
      <w:bookmarkStart w:id="116" w:name="_Toc151193908"/>
      <w:r/>
      <w:bookmarkStart w:id="117" w:name="_Toc150480758"/>
      <w:r/>
      <w:bookmarkStart w:id="118" w:name="_Toc226965793"/>
      <w:r/>
      <w:bookmarkStart w:id="119" w:name="_Toc265228358"/>
      <w:r/>
      <w:bookmarkStart w:id="120" w:name="_Toc150774725"/>
      <w:r/>
      <w:bookmarkStart w:id="121" w:name="_Toc151190147"/>
      <w:r/>
      <w:bookmarkStart w:id="122" w:name="_Toc150509271"/>
      <w:r/>
      <w:bookmarkStart w:id="123" w:name="_Toc142311022"/>
      <w:r/>
      <w:bookmarkStart w:id="124" w:name="_Toc151193762"/>
      <w:r/>
      <w:bookmarkStart w:id="125" w:name="_Toc151193618"/>
      <w:r/>
      <w:bookmarkStart w:id="126" w:name="_Toc150774620"/>
      <w:r/>
      <w:bookmarkStart w:id="127" w:name="_Toc164608789"/>
      <w:r/>
      <w:bookmarkStart w:id="128" w:name="_Toc149720813"/>
      <w:r/>
      <w:bookmarkStart w:id="129" w:name="_Toc164608634"/>
      <w:r/>
      <w:bookmarkStart w:id="130" w:name="_Toc226965710"/>
      <w:r/>
      <w:bookmarkStart w:id="131" w:name="_Toc164351614"/>
      <w:r/>
      <w:bookmarkStart w:id="132" w:name="_Toc151193690"/>
      <w:r/>
      <w:bookmarkStart w:id="133" w:name="_Toc305158788"/>
      <w:r/>
      <w:bookmarkStart w:id="134" w:name="_Toc127161434"/>
      <w:r/>
      <w:bookmarkStart w:id="135" w:name="_Toc264969210"/>
      <w:r/>
      <w:bookmarkStart w:id="136" w:name="_Toc127151721"/>
      <w:r/>
      <w:bookmarkStart w:id="137" w:name="_Toc226337216"/>
      <w:r/>
      <w:bookmarkStart w:id="138" w:name="_Toc127151520"/>
      <w:r/>
      <w:bookmarkStart w:id="139" w:name="_Toc164229361"/>
      <w:r/>
      <w:bookmarkStart w:id="140" w:name="_Toc226309764"/>
      <w:r/>
      <w:bookmarkStart w:id="141" w:name="_Toc164229215"/>
      <w:r/>
      <w:bookmarkStart w:id="142" w:name="_Toc151193834"/>
      <w:r/>
      <w:bookmarkStart w:id="143" w:name="_Toc305158862"/>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、科研仪器设备采购</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3"/>
        </w:numPr>
        <w:ind w:left="357" w:hanging="357"/>
        <w:spacing w:line="360" w:lineRule="auto"/>
        <w:tabs>
          <w:tab w:val="left" w:pos="360" w:leader="none"/>
        </w:tabs>
        <w:rPr>
          <w:color w:val="auto"/>
          <w:sz w:val="24"/>
          <w:highlight w:val="none"/>
        </w:rPr>
        <w:outlineLvl w:val="1"/>
      </w:pPr>
      <w:r/>
      <w:bookmarkStart w:id="144" w:name="_Toc151193910"/>
      <w:r/>
      <w:bookmarkStart w:id="145" w:name="_Toc150774622"/>
      <w:r/>
      <w:bookmarkStart w:id="146" w:name="_Toc226965712"/>
      <w:r/>
      <w:bookmarkStart w:id="147" w:name="_Toc195842887"/>
      <w:r/>
      <w:bookmarkStart w:id="148" w:name="_Toc264969212"/>
      <w:r/>
      <w:bookmarkStart w:id="149" w:name="_Toc142311024"/>
      <w:r/>
      <w:bookmarkStart w:id="150" w:name="_Toc150774727"/>
      <w:r/>
      <w:bookmarkStart w:id="151" w:name="_Toc150480760"/>
      <w:r/>
      <w:bookmarkStart w:id="152" w:name="_Toc226309766"/>
      <w:r/>
      <w:bookmarkStart w:id="153" w:name="_Toc265228360"/>
      <w:r/>
      <w:bookmarkStart w:id="154" w:name="_Toc151193692"/>
      <w:r/>
      <w:bookmarkStart w:id="155" w:name="_Toc305158790"/>
      <w:r/>
      <w:bookmarkStart w:id="156" w:name="_Toc127151522"/>
      <w:r/>
      <w:bookmarkStart w:id="157" w:name="_Toc151193836"/>
      <w:r/>
      <w:bookmarkStart w:id="158" w:name="_Toc226337218"/>
      <w:r/>
      <w:bookmarkStart w:id="159" w:name="_Toc151193620"/>
      <w:r/>
      <w:bookmarkStart w:id="160" w:name="_Toc305158864"/>
      <w:r/>
      <w:bookmarkStart w:id="161" w:name="_Toc150509273"/>
      <w:r/>
      <w:bookmarkStart w:id="162" w:name="_Toc151190149"/>
      <w:r/>
      <w:bookmarkStart w:id="163" w:name="_Toc151193764"/>
      <w:r/>
      <w:bookmarkStart w:id="164" w:name="_Toc226965795"/>
      <w:r/>
      <w:bookmarkStart w:id="165" w:name="_Toc520356146"/>
      <w:r>
        <w:rPr>
          <w:color w:val="auto"/>
          <w:sz w:val="24"/>
          <w:highlight w:val="none"/>
        </w:rPr>
        <w:t xml:space="preserve">政府采购政策（包括但不限于下列具体政策要求）</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进口产品</w:t>
      </w:r>
      <w:r/>
    </w:p>
    <w:p>
      <w:pPr>
        <w:numPr>
          <w:ilvl w:val="2"/>
          <w:numId w:val="3"/>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3"/>
        </w:numPr>
        <w:spacing w:line="360" w:lineRule="auto"/>
        <w:rPr>
          <w:color w:val="auto"/>
          <w:sz w:val="24"/>
          <w:highlight w:val="none"/>
        </w:rPr>
      </w:pPr>
      <w:r>
        <w:rPr>
          <w:color w:val="auto"/>
          <w:sz w:val="24"/>
          <w:highlight w:val="none"/>
        </w:rPr>
        <w:t xml:space="preserve">中小企业定义：</w:t>
      </w:r>
      <w:r/>
    </w:p>
    <w:p>
      <w:pPr>
        <w:numPr>
          <w:ilvl w:val="3"/>
          <w:numId w:val="4"/>
        </w:numPr>
        <w:ind w:left="2885"/>
        <w:spacing w:line="360" w:lineRule="auto"/>
        <w:tabs>
          <w:tab w:val="left" w:pos="1589"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4"/>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4"/>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4"/>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3"/>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3"/>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numPr>
          <w:ilvl w:val="3"/>
          <w:numId w:val="5"/>
        </w:numPr>
        <w:ind w:left="2885"/>
        <w:spacing w:line="360" w:lineRule="auto"/>
        <w:tabs>
          <w:tab w:val="left" w:pos="1980" w:leader="none"/>
          <w:tab w:val="left" w:pos="203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安置的残疾人占本单位在职职工人数的比例不低于25%（含25%），并且安置的残疾人人数不少于10人（含10人）；</w:t>
      </w:r>
      <w:r/>
    </w:p>
    <w:p>
      <w:pPr>
        <w:numPr>
          <w:ilvl w:val="3"/>
          <w:numId w:val="5"/>
        </w:numPr>
        <w:ind w:left="2885"/>
        <w:spacing w:line="360" w:lineRule="auto"/>
        <w:tabs>
          <w:tab w:val="left" w:pos="1980" w:leader="none"/>
          <w:tab w:val="left" w:pos="203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5"/>
        </w:numPr>
        <w:ind w:left="2885"/>
        <w:spacing w:line="360" w:lineRule="auto"/>
        <w:tabs>
          <w:tab w:val="left" w:pos="1980" w:leader="none"/>
          <w:tab w:val="left" w:pos="203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5"/>
        </w:numPr>
        <w:ind w:left="2885"/>
        <w:spacing w:line="360" w:lineRule="auto"/>
        <w:tabs>
          <w:tab w:val="left" w:pos="1980" w:leader="none"/>
          <w:tab w:val="left" w:pos="203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5"/>
        </w:numPr>
        <w:ind w:left="2885"/>
        <w:spacing w:line="360" w:lineRule="auto"/>
        <w:tabs>
          <w:tab w:val="left" w:pos="1980" w:leader="none"/>
          <w:tab w:val="left" w:pos="203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5"/>
        </w:numPr>
        <w:ind w:left="2885"/>
        <w:spacing w:line="360" w:lineRule="auto"/>
        <w:tabs>
          <w:tab w:val="left" w:pos="1980" w:leader="none"/>
          <w:tab w:val="left" w:pos="203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3"/>
        </w:numPr>
        <w:spacing w:line="360" w:lineRule="auto"/>
        <w:rPr>
          <w:color w:val="auto"/>
          <w:sz w:val="24"/>
          <w:highlight w:val="none"/>
        </w:rPr>
      </w:pPr>
      <w:r>
        <w:rPr>
          <w:color w:val="auto"/>
          <w:sz w:val="24"/>
          <w:highlight w:val="none"/>
        </w:rPr>
        <w:t xml:space="preserve">本项目是否专门面向中小企业预留采购份额见第一章《采购邀请》。</w:t>
      </w:r>
      <w:r/>
    </w:p>
    <w:p>
      <w:pPr>
        <w:numPr>
          <w:ilvl w:val="2"/>
          <w:numId w:val="3"/>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3"/>
        </w:numPr>
        <w:spacing w:line="360" w:lineRule="auto"/>
        <w:rPr>
          <w:color w:val="auto"/>
          <w:sz w:val="24"/>
          <w:highlight w:val="none"/>
        </w:rPr>
      </w:pPr>
      <w:r>
        <w:rPr>
          <w:color w:val="auto"/>
          <w:sz w:val="24"/>
          <w:highlight w:val="none"/>
        </w:rPr>
        <w:t xml:space="preserve">小微企业价格评审优惠的政策调整：不适用。</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3"/>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3"/>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3"/>
        </w:numPr>
        <w:spacing w:line="360" w:lineRule="auto"/>
        <w:rPr>
          <w:color w:val="auto"/>
          <w:sz w:val="24"/>
          <w:highlight w:val="none"/>
        </w:rPr>
      </w:pP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auto"/>
          <w:sz w:val="24"/>
          <w:highlight w:val="none"/>
        </w:rPr>
        <w:t xml:space="preserve">响应无效</w:t>
      </w:r>
      <w:r>
        <w:rPr>
          <w:color w:val="auto"/>
          <w:sz w:val="24"/>
          <w:highlight w:val="none"/>
        </w:rPr>
        <w:t xml:space="preserve">；</w:t>
      </w:r>
      <w:r/>
    </w:p>
    <w:p>
      <w:pPr>
        <w:numPr>
          <w:ilvl w:val="2"/>
          <w:numId w:val="3"/>
        </w:numPr>
        <w:spacing w:line="360" w:lineRule="auto"/>
        <w:rPr>
          <w:rFonts w:hint="eastAsia"/>
          <w:color w:val="auto"/>
          <w:sz w:val="24"/>
          <w:highlight w:val="none"/>
        </w:rPr>
      </w:pPr>
      <w:r>
        <w:rPr>
          <w:color w:val="auto"/>
          <w:sz w:val="24"/>
          <w:highlight w:val="none"/>
        </w:rPr>
        <w:t xml:space="preserve">非政府强制采购的节能产品或环境标志产品，依据品目清单和认证证书实施政府优先采购。如涉及，供应商优先提供此类产品。</w:t>
      </w:r>
      <w:r/>
    </w:p>
    <w:p>
      <w:pPr>
        <w:numPr>
          <w:ilvl w:val="2"/>
          <w:numId w:val="3"/>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支持乡村产业振兴管理</w:t>
      </w:r>
      <w:r/>
    </w:p>
    <w:p>
      <w:pPr>
        <w:numPr>
          <w:ilvl w:val="2"/>
          <w:numId w:val="3"/>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正版软件</w:t>
      </w:r>
      <w:r/>
    </w:p>
    <w:p>
      <w:pPr>
        <w:numPr>
          <w:ilvl w:val="2"/>
          <w:numId w:val="3"/>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响应无效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3"/>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3"/>
        </w:numPr>
        <w:ind w:left="1080" w:hanging="72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numPr>
          <w:ilvl w:val="2"/>
          <w:numId w:val="3"/>
        </w:numPr>
        <w:spacing w:line="360" w:lineRule="auto"/>
        <w:tabs>
          <w:tab w:val="left" w:pos="2014" w:leader="none"/>
        </w:tabs>
        <w:rPr>
          <w:rFonts w:hint="eastAsia"/>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3"/>
        </w:numPr>
        <w:ind w:left="1080" w:hanging="72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绿色采购政策</w:t>
      </w:r>
      <w:r/>
    </w:p>
    <w:p>
      <w:pPr>
        <w:numPr>
          <w:ilvl w:val="2"/>
          <w:numId w:val="3"/>
        </w:numPr>
        <w:spacing w:line="360" w:lineRule="auto"/>
        <w:tabs>
          <w:tab w:val="left" w:pos="2014" w:leader="none"/>
        </w:tabs>
        <w:rPr>
          <w:color w:val="auto"/>
          <w:sz w:val="24"/>
          <w:highlight w:val="none"/>
        </w:rPr>
      </w:pPr>
      <w:r>
        <w:rPr>
          <w:rFonts w:hint="eastAsia"/>
          <w:color w:val="auto"/>
          <w:sz w:val="24"/>
          <w:highlight w:val="none"/>
        </w:rPr>
        <w:t xml:space="preserve">绿色数据中心政策</w:t>
      </w:r>
      <w:r/>
    </w:p>
    <w:p>
      <w:pPr>
        <w:ind w:left="1980"/>
        <w:spacing w:line="360" w:lineRule="auto"/>
        <w:tabs>
          <w:tab w:val="left" w:pos="1980" w:leader="none"/>
          <w:tab w:val="left" w:pos="2014" w:leader="none"/>
        </w:tabs>
        <w:rPr>
          <w:rFonts w:hint="eastAsia"/>
          <w:color w:val="auto"/>
          <w:sz w:val="24"/>
          <w:highlight w:val="none"/>
        </w:rPr>
      </w:pPr>
      <w:r>
        <w:rPr>
          <w:rFonts w:hint="eastAsia"/>
          <w:color w:val="auto"/>
          <w:sz w:val="24"/>
          <w:highlight w:val="none"/>
        </w:rPr>
        <w:t xml:space="preserve">依据《绿色数据中心政府采购需求标准（试行）》（财办库〔2023〕7 号）文件精神，采购</w:t>
      </w:r>
      <w:r>
        <w:rPr>
          <w:rFonts w:hint="eastAsia"/>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3"/>
        </w:numPr>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980"/>
        <w:spacing w:line="360" w:lineRule="auto"/>
        <w:tabs>
          <w:tab w:val="left" w:pos="1980" w:leader="none"/>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color w:val="auto"/>
          <w:sz w:val="24"/>
          <w:highlight w:val="none"/>
        </w:rPr>
        <w:t xml:space="preserve">）,依据相关需求标准确定采购需求，在采购文件和采购合同中载明具体需求、履约验收条款和违约责任。</w:t>
      </w:r>
      <w:r/>
    </w:p>
    <w:p>
      <w:pPr>
        <w:numPr>
          <w:ilvl w:val="2"/>
          <w:numId w:val="3"/>
        </w:numPr>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ind w:left="1980"/>
        <w:spacing w:line="360" w:lineRule="auto"/>
        <w:tabs>
          <w:tab w:val="left" w:pos="1980" w:leader="none"/>
          <w:tab w:val="left" w:pos="2014" w:leader="none"/>
        </w:tabs>
        <w:rPr>
          <w:rFonts w:hint="eastAsia"/>
          <w:color w:val="auto"/>
          <w:sz w:val="24"/>
          <w:highlight w:val="none"/>
        </w:rPr>
      </w:pPr>
      <w:r>
        <w:rPr>
          <w:rFonts w:hint="eastAsia"/>
          <w:color w:val="auto"/>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1"/>
          <w:numId w:val="3"/>
        </w:numPr>
        <w:ind w:left="1080" w:hanging="72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采购本国产品的支持政策</w:t>
      </w:r>
      <w:r/>
    </w:p>
    <w:p>
      <w:pPr>
        <w:ind w:left="1078" w:hanging="120"/>
        <w:spacing w:line="480" w:lineRule="exact"/>
        <w:rPr>
          <w:rFonts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1"/>
          <w:numId w:val="3"/>
        </w:numPr>
        <w:ind w:left="1080" w:hanging="720"/>
        <w:spacing w:before="62"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履约保证金相关政策</w:t>
      </w:r>
      <w:r/>
    </w:p>
    <w:p>
      <w:pPr>
        <w:numPr>
          <w:ilvl w:val="2"/>
          <w:numId w:val="3"/>
        </w:numPr>
        <w:spacing w:line="360" w:lineRule="auto"/>
        <w:tabs>
          <w:tab w:val="left" w:pos="2014" w:leader="none"/>
        </w:tabs>
        <w:rPr>
          <w:color w:val="auto"/>
          <w:sz w:val="24"/>
          <w:highlight w:val="none"/>
        </w:rPr>
      </w:pPr>
      <w:r>
        <w:rPr>
          <w:rFonts w:hint="eastAsia"/>
          <w:color w:val="auto"/>
          <w:sz w:val="24"/>
          <w:highlight w:val="none"/>
        </w:rPr>
        <w:t xml:space="preserve">根据国家、省、市相关规定，如果采购人根据项目实际情况，确实需要要求中标或者成交供应商提交履约保证金的，履约保证金的数额不得超过政府采购合同金额的</w:t>
      </w:r>
      <w:r>
        <w:rPr>
          <w:color w:val="auto"/>
          <w:sz w:val="24"/>
          <w:highlight w:val="none"/>
        </w:rPr>
        <w:t xml:space="preserve">5%</w:t>
      </w:r>
      <w:r>
        <w:rPr>
          <w:rFonts w:hint="eastAsia"/>
          <w:color w:val="auto"/>
          <w:sz w:val="24"/>
          <w:highlight w:val="none"/>
        </w:rPr>
        <w:t xml:space="preserve">，供应商应当以支票、汇票、本票或者金融机构、担保机构出具的保函（保险）等非现金形式提交，鼓励优先采用电子履约保函（保险）的形式。</w:t>
      </w:r>
      <w:r/>
    </w:p>
    <w:p>
      <w:pPr>
        <w:numPr>
          <w:ilvl w:val="2"/>
          <w:numId w:val="3"/>
        </w:numPr>
        <w:spacing w:line="360" w:lineRule="auto"/>
        <w:tabs>
          <w:tab w:val="left" w:pos="2014" w:leader="none"/>
        </w:tabs>
        <w:rPr>
          <w:color w:val="auto"/>
          <w:sz w:val="24"/>
          <w:highlight w:val="none"/>
        </w:rPr>
      </w:pPr>
      <w:r>
        <w:rPr>
          <w:rFonts w:hint="eastAsia"/>
          <w:color w:val="auto"/>
          <w:sz w:val="24"/>
          <w:highlight w:val="none"/>
        </w:rPr>
        <w:t xml:space="preserve">电子履约保函（保险）办理业务流程：江苏省</w:t>
      </w:r>
      <w:r>
        <w:rPr>
          <w:color w:val="auto"/>
          <w:sz w:val="24"/>
          <w:highlight w:val="none"/>
        </w:rPr>
        <w:t xml:space="preserve"> </w:t>
      </w:r>
      <w:r>
        <w:rPr>
          <w:rFonts w:hint="eastAsia"/>
          <w:color w:val="auto"/>
          <w:sz w:val="24"/>
          <w:highlight w:val="none"/>
        </w:rPr>
        <w:t xml:space="preserve">“政府采购电子履约保函（保险）平台”可通过江苏省政府采购网、“苏采云”系统链接访问（首次使用需注册，网址：</w:t>
      </w:r>
      <w:r>
        <w:rPr>
          <w:color w:val="auto"/>
          <w:sz w:val="24"/>
          <w:highlight w:val="none"/>
        </w:rPr>
        <w:t xml:space="preserve">https://jsdzbh.com/webSite/bHIndex</w:t>
      </w:r>
      <w:r>
        <w:rPr>
          <w:rFonts w:hint="eastAsia"/>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3"/>
        </w:numPr>
        <w:ind w:left="357" w:hanging="357"/>
        <w:spacing w:line="360" w:lineRule="auto"/>
        <w:tabs>
          <w:tab w:val="left" w:pos="360" w:leader="none"/>
        </w:tabs>
        <w:rPr>
          <w:color w:val="auto"/>
          <w:sz w:val="24"/>
          <w:highlight w:val="none"/>
        </w:rPr>
        <w:outlineLvl w:val="1"/>
      </w:pPr>
      <w:r>
        <w:rPr>
          <w:color w:val="auto"/>
          <w:sz w:val="24"/>
          <w:highlight w:val="none"/>
        </w:rPr>
        <w:t xml:space="preserve">参与协商的费用</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供应商应自行承担所有与准备和参加单一来源采购协商有关的费用，无论协商的结果如何，采购人或采购代理机构在任何情况下均无承担这些费用的义务和责任。</w:t>
      </w:r>
      <w:r/>
    </w:p>
    <w:p>
      <w:pPr>
        <w:pStyle w:val="1071"/>
        <w:spacing w:before="0" w:line="360" w:lineRule="auto"/>
        <w:rPr>
          <w:rFonts w:hint="eastAsia" w:ascii="Times New Roman" w:hAnsi="Times New Roman" w:eastAsia="宋体"/>
          <w:color w:val="auto"/>
          <w:sz w:val="28"/>
          <w:highlight w:val="none"/>
        </w:rPr>
      </w:pPr>
      <w:r/>
      <w:bookmarkStart w:id="166" w:name="_1.8_计量单位"/>
      <w:r/>
      <w:bookmarkEnd w:id="166"/>
      <w:r>
        <w:rPr>
          <w:rFonts w:ascii="Times New Roman" w:hAnsi="Times New Roman" w:eastAsia="宋体"/>
          <w:color w:val="auto"/>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auto"/>
          <w:sz w:val="28"/>
          <w:highlight w:val="none"/>
        </w:rPr>
        <w:t xml:space="preserve">单一来源采购文件</w:t>
      </w:r>
      <w:r/>
    </w:p>
    <w:p>
      <w:pPr>
        <w:pStyle w:val="1072"/>
        <w:rPr>
          <w:color w:val="auto"/>
          <w:highlight w:val="none"/>
        </w:rPr>
      </w:pPr>
      <w:r>
        <w:rPr>
          <w:color w:val="auto"/>
          <w:highlight w:val="none"/>
        </w:rPr>
      </w:r>
      <w:r/>
    </w:p>
    <w:p>
      <w:pPr>
        <w:numPr>
          <w:ilvl w:val="0"/>
          <w:numId w:val="3"/>
        </w:numPr>
        <w:ind w:left="357" w:hanging="357"/>
        <w:spacing w:line="360" w:lineRule="auto"/>
        <w:tabs>
          <w:tab w:val="left" w:pos="360" w:leader="none"/>
        </w:tabs>
        <w:rPr>
          <w:color w:val="auto"/>
          <w:sz w:val="24"/>
          <w:highlight w:val="none"/>
        </w:rPr>
        <w:outlineLvl w:val="1"/>
      </w:pPr>
      <w:r/>
      <w:bookmarkStart w:id="167" w:name="_Toc149720816"/>
      <w:r/>
      <w:bookmarkStart w:id="168" w:name="_Toc226965713"/>
      <w:r/>
      <w:bookmarkStart w:id="169" w:name="_Toc520356147"/>
      <w:r/>
      <w:bookmarkStart w:id="170" w:name="_Toc151193911"/>
      <w:r/>
      <w:bookmarkStart w:id="171" w:name="_Toc195842888"/>
      <w:r/>
      <w:bookmarkStart w:id="172" w:name="_Toc150774623"/>
      <w:r/>
      <w:bookmarkStart w:id="173" w:name="_Toc164229364"/>
      <w:r/>
      <w:bookmarkStart w:id="174" w:name="_Toc164351617"/>
      <w:r/>
      <w:bookmarkStart w:id="175" w:name="_Toc151193621"/>
      <w:r/>
      <w:bookmarkStart w:id="176" w:name="_Toc150774728"/>
      <w:r/>
      <w:bookmarkStart w:id="177" w:name="_Toc127161437"/>
      <w:r/>
      <w:bookmarkStart w:id="178" w:name="_Toc127151523"/>
      <w:r/>
      <w:bookmarkStart w:id="179" w:name="_Toc226309767"/>
      <w:r/>
      <w:bookmarkStart w:id="180" w:name="_Toc305158791"/>
      <w:r/>
      <w:bookmarkStart w:id="181" w:name="_Toc127151724"/>
      <w:r/>
      <w:bookmarkStart w:id="182" w:name="_Toc151193837"/>
      <w:r/>
      <w:bookmarkStart w:id="183" w:name="_Toc305158865"/>
      <w:r/>
      <w:bookmarkStart w:id="184" w:name="_Toc151193693"/>
      <w:r/>
      <w:bookmarkStart w:id="185" w:name="_Toc142311025"/>
      <w:r/>
      <w:bookmarkStart w:id="186" w:name="_Toc164608637"/>
      <w:r/>
      <w:bookmarkStart w:id="187" w:name="_Toc164229218"/>
      <w:r/>
      <w:bookmarkStart w:id="188" w:name="_Toc226337219"/>
      <w:r/>
      <w:bookmarkStart w:id="189" w:name="_Toc264969213"/>
      <w:r/>
      <w:bookmarkStart w:id="190" w:name="_Toc265228361"/>
      <w:r/>
      <w:bookmarkStart w:id="191" w:name="_Toc164608792"/>
      <w:r/>
      <w:bookmarkStart w:id="192" w:name="_Toc226965796"/>
      <w:r/>
      <w:bookmarkStart w:id="193" w:name="_Toc151193765"/>
      <w:r/>
      <w:bookmarkStart w:id="194" w:name="_Toc150480761"/>
      <w:r/>
      <w:bookmarkStart w:id="195" w:name="_Toc150509274"/>
      <w:r/>
      <w:bookmarkStart w:id="196" w:name="_Toc151190150"/>
      <w:r>
        <w:rPr>
          <w:color w:val="auto"/>
          <w:sz w:val="24"/>
          <w:highlight w:val="none"/>
        </w:rPr>
        <w:t xml:space="preserve">单一来源采购文件构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单一来源采购文件包括以下部分：</w:t>
      </w:r>
      <w:r/>
    </w:p>
    <w:p>
      <w:pPr>
        <w:numPr>
          <w:ilvl w:val="0"/>
          <w:numId w:val="6"/>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6"/>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6"/>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协商程序 </w:t>
      </w:r>
      <w:r/>
    </w:p>
    <w:p>
      <w:pPr>
        <w:numPr>
          <w:ilvl w:val="0"/>
          <w:numId w:val="6"/>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6"/>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合同条款</w:t>
      </w:r>
      <w:r/>
    </w:p>
    <w:p>
      <w:pPr>
        <w:numPr>
          <w:ilvl w:val="0"/>
          <w:numId w:val="6"/>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b/>
          <w:color w:val="auto"/>
          <w:sz w:val="24"/>
          <w:highlight w:val="none"/>
        </w:rPr>
        <w:t xml:space="preserve">响应无效</w:t>
      </w:r>
      <w:r>
        <w:rPr>
          <w:color w:val="auto"/>
          <w:sz w:val="24"/>
          <w:highlight w:val="none"/>
        </w:rPr>
        <w:t xml:space="preserve">。</w:t>
      </w:r>
      <w:r/>
    </w:p>
    <w:p>
      <w:pPr>
        <w:numPr>
          <w:ilvl w:val="0"/>
          <w:numId w:val="3"/>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对单一来源采购文件的澄清或修改</w:t>
      </w:r>
      <w:r/>
    </w:p>
    <w:p>
      <w:pPr>
        <w:numPr>
          <w:ilvl w:val="1"/>
          <w:numId w:val="3"/>
        </w:numPr>
        <w:ind w:left="1080" w:hanging="720"/>
        <w:spacing w:line="360" w:lineRule="auto"/>
        <w:tabs>
          <w:tab w:val="left" w:pos="1080" w:leader="none"/>
          <w:tab w:val="left" w:pos="1561" w:leader="none"/>
          <w:tab w:val="left" w:pos="1589" w:leader="none"/>
          <w:tab w:val="left" w:pos="2014" w:leader="none"/>
        </w:tabs>
        <w:rPr>
          <w:color w:val="auto"/>
          <w:sz w:val="24"/>
          <w:highlight w:val="none"/>
        </w:rPr>
      </w:pPr>
      <w:r>
        <w:rPr>
          <w:color w:val="auto"/>
          <w:sz w:val="24"/>
          <w:highlight w:val="none"/>
        </w:rPr>
        <w:t xml:space="preserve">采购人或采购代理机构对已发出的单一来源采购文件进行必要澄清或者修改的，将</w:t>
      </w:r>
      <w:r>
        <w:rPr>
          <w:rFonts w:hint="eastAsia"/>
          <w:color w:val="auto"/>
          <w:sz w:val="24"/>
          <w:highlight w:val="none"/>
        </w:rPr>
        <w:t xml:space="preserve">在原公告发布媒体上以发布更正公告的形式</w:t>
      </w:r>
      <w:r>
        <w:rPr>
          <w:color w:val="auto"/>
          <w:sz w:val="24"/>
          <w:highlight w:val="none"/>
        </w:rPr>
        <w:t xml:space="preserve">通知获取单一来源采购文件的潜在供应商。</w:t>
      </w:r>
      <w:r/>
    </w:p>
    <w:p>
      <w:pPr>
        <w:numPr>
          <w:ilvl w:val="1"/>
          <w:numId w:val="3"/>
        </w:numPr>
        <w:ind w:left="1080" w:hanging="720"/>
        <w:spacing w:line="360" w:lineRule="auto"/>
        <w:tabs>
          <w:tab w:val="left" w:pos="1080" w:leader="none"/>
          <w:tab w:val="left" w:pos="1561" w:leader="none"/>
          <w:tab w:val="left" w:pos="1589" w:leader="none"/>
          <w:tab w:val="left" w:pos="2014" w:leader="none"/>
        </w:tabs>
        <w:rPr>
          <w:color w:val="auto"/>
          <w:sz w:val="24"/>
          <w:highlight w:val="none"/>
        </w:rPr>
      </w:pPr>
      <w:r>
        <w:rPr>
          <w:color w:val="auto"/>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更正公告形式通知获取单一来源采购文件的潜在供应商；时间不足的，将顺延提交响应文件截止之日。</w:t>
      </w:r>
      <w:r/>
    </w:p>
    <w:p>
      <w:pPr>
        <w:pStyle w:val="1071"/>
        <w:spacing w:before="0" w:line="360" w:lineRule="auto"/>
        <w:rPr>
          <w:rFonts w:hint="eastAsia" w:ascii="Times New Roman" w:hAnsi="Times New Roman" w:eastAsia="宋体"/>
          <w:color w:val="auto"/>
          <w:sz w:val="28"/>
          <w:highlight w:val="none"/>
        </w:rPr>
      </w:pPr>
      <w:r/>
      <w:bookmarkStart w:id="197" w:name="_Toc516367020"/>
      <w:r/>
      <w:bookmarkStart w:id="198" w:name="_Toc226337222"/>
      <w:r/>
      <w:bookmarkStart w:id="199" w:name="_Toc265228364"/>
      <w:r/>
      <w:bookmarkStart w:id="200" w:name="_Toc226965799"/>
      <w:r/>
      <w:bookmarkStart w:id="201" w:name="_Toc151190153"/>
      <w:r/>
      <w:bookmarkStart w:id="202" w:name="_Toc151193840"/>
      <w:r/>
      <w:bookmarkStart w:id="203" w:name="_Toc150774626"/>
      <w:r/>
      <w:bookmarkStart w:id="204" w:name="_Toc305158868"/>
      <w:r/>
      <w:bookmarkStart w:id="205" w:name="_Toc226965716"/>
      <w:r/>
      <w:bookmarkStart w:id="206" w:name="_Toc151193768"/>
      <w:r/>
      <w:bookmarkStart w:id="207" w:name="_Toc151193914"/>
      <w:r/>
      <w:bookmarkStart w:id="208" w:name="_Toc195842891"/>
      <w:r/>
      <w:bookmarkStart w:id="209" w:name="_Toc150774731"/>
      <w:r/>
      <w:bookmarkStart w:id="210" w:name="_Toc127151526"/>
      <w:r/>
      <w:bookmarkStart w:id="211" w:name="_Toc264969216"/>
      <w:r/>
      <w:bookmarkStart w:id="212" w:name="_Toc305158794"/>
      <w:r/>
      <w:bookmarkStart w:id="213" w:name="_Toc150509277"/>
      <w:r/>
      <w:bookmarkStart w:id="214" w:name="_Toc150480764"/>
      <w:r/>
      <w:bookmarkStart w:id="215" w:name="_Toc226309770"/>
      <w:r/>
      <w:bookmarkStart w:id="216" w:name="_Toc151193696"/>
      <w:r/>
      <w:bookmarkStart w:id="217" w:name="_Toc142311028"/>
      <w:r/>
      <w:bookmarkStart w:id="218" w:name="_Toc520356150"/>
      <w:r/>
      <w:bookmarkStart w:id="219" w:name="_Toc151193624"/>
      <w:r>
        <w:rPr>
          <w:rFonts w:ascii="Times New Roman" w:hAnsi="Times New Roman" w:eastAsia="宋体"/>
          <w:color w:val="auto"/>
          <w:sz w:val="28"/>
          <w:highlight w:val="none"/>
        </w:rPr>
        <w:t xml:space="preserve">三   响应文件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1072"/>
        <w:rPr>
          <w:color w:val="auto"/>
          <w:highlight w:val="none"/>
        </w:rPr>
      </w:pPr>
      <w:r>
        <w:rPr>
          <w:color w:val="auto"/>
          <w:highlight w:val="none"/>
        </w:rPr>
      </w:r>
      <w:r/>
    </w:p>
    <w:p>
      <w:pPr>
        <w:numPr>
          <w:ilvl w:val="0"/>
          <w:numId w:val="3"/>
        </w:numPr>
        <w:ind w:left="357" w:hanging="357"/>
        <w:spacing w:line="360" w:lineRule="auto"/>
        <w:tabs>
          <w:tab w:val="left" w:pos="360" w:leader="none"/>
        </w:tabs>
        <w:rPr>
          <w:color w:val="auto"/>
          <w:sz w:val="24"/>
          <w:highlight w:val="none"/>
        </w:rPr>
        <w:outlineLvl w:val="1"/>
      </w:pPr>
      <w:r/>
      <w:bookmarkStart w:id="220" w:name="_Toc151193769"/>
      <w:r/>
      <w:bookmarkStart w:id="221" w:name="_Toc150774627"/>
      <w:r/>
      <w:bookmarkStart w:id="222" w:name="_Toc149720820"/>
      <w:r/>
      <w:bookmarkStart w:id="223" w:name="_Toc127161441"/>
      <w:r/>
      <w:bookmarkStart w:id="224" w:name="_Toc151193915"/>
      <w:r/>
      <w:bookmarkStart w:id="225" w:name="_Toc164229368"/>
      <w:r/>
      <w:bookmarkStart w:id="226" w:name="_Toc226309771"/>
      <w:r/>
      <w:bookmarkStart w:id="227" w:name="_Toc151190154"/>
      <w:r/>
      <w:bookmarkStart w:id="228" w:name="_Toc305158795"/>
      <w:r/>
      <w:bookmarkStart w:id="229" w:name="_Toc164229222"/>
      <w:r/>
      <w:bookmarkStart w:id="230" w:name="_Toc142311029"/>
      <w:r/>
      <w:bookmarkStart w:id="231" w:name="_Toc150480765"/>
      <w:r/>
      <w:bookmarkStart w:id="232" w:name="_Toc305158869"/>
      <w:r/>
      <w:bookmarkStart w:id="233" w:name="_Toc226965800"/>
      <w:r/>
      <w:bookmarkStart w:id="234" w:name="_Toc520356151"/>
      <w:r/>
      <w:bookmarkStart w:id="235" w:name="_Toc127151527"/>
      <w:r/>
      <w:bookmarkStart w:id="236" w:name="_Toc151193625"/>
      <w:r/>
      <w:bookmarkStart w:id="237" w:name="_Toc150774732"/>
      <w:r/>
      <w:bookmarkStart w:id="238" w:name="_Toc226965717"/>
      <w:r/>
      <w:bookmarkStart w:id="239" w:name="_Toc226337223"/>
      <w:r/>
      <w:bookmarkStart w:id="240" w:name="_Toc164608641"/>
      <w:r/>
      <w:bookmarkStart w:id="241" w:name="_Toc164351621"/>
      <w:r/>
      <w:bookmarkStart w:id="242" w:name="_Toc151193841"/>
      <w:r/>
      <w:bookmarkStart w:id="243" w:name="_Toc151193697"/>
      <w:r/>
      <w:bookmarkStart w:id="244" w:name="_Toc164608796"/>
      <w:r/>
      <w:bookmarkStart w:id="245" w:name="_Toc195842892"/>
      <w:r/>
      <w:bookmarkStart w:id="246" w:name="_Toc150509278"/>
      <w:r/>
      <w:bookmarkStart w:id="247" w:name="_Toc516367021"/>
      <w:r/>
      <w:bookmarkStart w:id="248" w:name="_Toc127151728"/>
      <w:r/>
      <w:bookmarkStart w:id="249" w:name="_Toc264969217"/>
      <w:r/>
      <w:bookmarkStart w:id="250" w:name="_Toc265228365"/>
      <w:r>
        <w:rPr>
          <w:color w:val="auto"/>
          <w:sz w:val="24"/>
          <w:highlight w:val="none"/>
        </w:rPr>
        <w:t xml:space="preserve">响应范围、响应文件中计量单位的使用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及响应语言</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本项目如划分采购包，供应商应当对采购人所邀请的采购包对应第四章《采购需求》所列的全部内容进行响应，不得将一个采购包中的内容拆开响应。</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除单一来源采购文件有特殊要求外，本项目所使用的计量单位，应采用中华人民共和国法定计量单位。</w:t>
      </w:r>
      <w:r/>
    </w:p>
    <w:p>
      <w:pPr>
        <w:numPr>
          <w:ilvl w:val="1"/>
          <w:numId w:val="3"/>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3"/>
        </w:numPr>
        <w:ind w:left="357" w:hanging="357"/>
        <w:spacing w:line="360" w:lineRule="auto"/>
        <w:tabs>
          <w:tab w:val="left" w:pos="360" w:leader="none"/>
        </w:tabs>
        <w:rPr>
          <w:color w:val="auto"/>
          <w:sz w:val="24"/>
          <w:highlight w:val="none"/>
        </w:rPr>
        <w:outlineLvl w:val="1"/>
      </w:pPr>
      <w:r/>
      <w:bookmarkStart w:id="251" w:name="_Ref467306676"/>
      <w:r/>
      <w:bookmarkStart w:id="252" w:name="_Ref467306195"/>
      <w:r/>
      <w:bookmarkStart w:id="253" w:name="_Toc516367022"/>
      <w:r/>
      <w:bookmarkStart w:id="254" w:name="_Toc142311030"/>
      <w:r/>
      <w:bookmarkStart w:id="255" w:name="_Toc164608642"/>
      <w:r/>
      <w:bookmarkStart w:id="256" w:name="_Toc151193626"/>
      <w:r/>
      <w:bookmarkStart w:id="257" w:name="_Toc164608797"/>
      <w:r/>
      <w:bookmarkStart w:id="258" w:name="_Toc127151528"/>
      <w:r/>
      <w:bookmarkStart w:id="259" w:name="_Toc305158870"/>
      <w:r/>
      <w:bookmarkStart w:id="260" w:name="_Toc151190155"/>
      <w:r/>
      <w:bookmarkStart w:id="261" w:name="_Toc164229223"/>
      <w:r/>
      <w:bookmarkStart w:id="262" w:name="_Toc150509279"/>
      <w:r/>
      <w:bookmarkStart w:id="263" w:name="_Toc149720821"/>
      <w:r/>
      <w:bookmarkStart w:id="264" w:name="_Toc226309772"/>
      <w:r/>
      <w:bookmarkStart w:id="265" w:name="_Toc264969218"/>
      <w:r/>
      <w:bookmarkStart w:id="266" w:name="_Toc150774733"/>
      <w:r/>
      <w:bookmarkStart w:id="267" w:name="_Toc226337224"/>
      <w:r/>
      <w:bookmarkStart w:id="268" w:name="_Toc151193916"/>
      <w:r/>
      <w:bookmarkStart w:id="269" w:name="_Toc127151729"/>
      <w:r/>
      <w:bookmarkStart w:id="270" w:name="_Toc127161442"/>
      <w:r/>
      <w:bookmarkStart w:id="271" w:name="_Toc226965718"/>
      <w:r/>
      <w:bookmarkStart w:id="272" w:name="_Toc150774628"/>
      <w:r/>
      <w:bookmarkStart w:id="273" w:name="_Toc150480766"/>
      <w:r/>
      <w:bookmarkStart w:id="274" w:name="_Toc226965801"/>
      <w:r/>
      <w:bookmarkStart w:id="275" w:name="_Toc151193842"/>
      <w:r/>
      <w:bookmarkStart w:id="276" w:name="_Toc520356152"/>
      <w:r/>
      <w:bookmarkStart w:id="277" w:name="_Toc164351622"/>
      <w:r/>
      <w:bookmarkStart w:id="278" w:name="_Toc195842893"/>
      <w:r/>
      <w:bookmarkStart w:id="279" w:name="_Toc164229369"/>
      <w:r/>
      <w:bookmarkStart w:id="280" w:name="_Toc151193698"/>
      <w:r/>
      <w:bookmarkStart w:id="281" w:name="_Toc265228366"/>
      <w:r/>
      <w:bookmarkStart w:id="282" w:name="_Toc151193770"/>
      <w:r/>
      <w:bookmarkStart w:id="283" w:name="_Toc305158796"/>
      <w:r>
        <w:rPr>
          <w:color w:val="auto"/>
          <w:sz w:val="24"/>
          <w:highlight w:val="none"/>
        </w:rPr>
        <w:t xml:space="preserve">响应文件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bookmarkStart w:id="284" w:name="_Ref467052588"/>
      <w:r>
        <w:rPr>
          <w:color w:val="auto"/>
          <w:sz w:val="24"/>
          <w:highlight w:val="none"/>
        </w:rPr>
        <w:t xml:space="preserve">供应商应当按照单一来源采购文件的要求编制响应文件。响应文件的部分格式要求，见第六章《响应文件格式》。</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响应无效</w:t>
      </w:r>
      <w:r>
        <w:rPr>
          <w:color w:val="auto"/>
          <w:sz w:val="24"/>
          <w:highlight w:val="none"/>
        </w:rPr>
        <w:t xml:space="preserve">。未标记“实质性格式”的文件和单一来源采购文件未提供格式的内容，可由供应商自行编写。</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供应商认为应附的其他材料。</w:t>
      </w:r>
      <w:bookmarkEnd w:id="284"/>
      <w:r/>
      <w:r/>
    </w:p>
    <w:p>
      <w:pPr>
        <w:numPr>
          <w:ilvl w:val="0"/>
          <w:numId w:val="3"/>
        </w:numPr>
        <w:ind w:left="357" w:hanging="357"/>
        <w:spacing w:line="360" w:lineRule="auto"/>
        <w:tabs>
          <w:tab w:val="left" w:pos="360" w:leader="none"/>
        </w:tabs>
        <w:rPr>
          <w:color w:val="auto"/>
          <w:sz w:val="24"/>
          <w:highlight w:val="none"/>
        </w:rPr>
        <w:outlineLvl w:val="1"/>
      </w:pPr>
      <w:r/>
      <w:bookmarkStart w:id="285" w:name="_Toc149720823"/>
      <w:r/>
      <w:bookmarkStart w:id="286" w:name="_Toc151193844"/>
      <w:r/>
      <w:bookmarkStart w:id="287" w:name="_Toc151193700"/>
      <w:r/>
      <w:bookmarkStart w:id="288" w:name="_Toc151190157"/>
      <w:r/>
      <w:bookmarkStart w:id="289" w:name="_Toc520356155"/>
      <w:r/>
      <w:bookmarkStart w:id="290" w:name="_Toc195842895"/>
      <w:r/>
      <w:bookmarkStart w:id="291" w:name="_Toc164229371"/>
      <w:r/>
      <w:bookmarkStart w:id="292" w:name="_Toc150774735"/>
      <w:r/>
      <w:bookmarkStart w:id="293" w:name="_Toc127161444"/>
      <w:r/>
      <w:bookmarkStart w:id="294" w:name="_Toc150509281"/>
      <w:r/>
      <w:bookmarkStart w:id="295" w:name="_Toc127151731"/>
      <w:r/>
      <w:bookmarkStart w:id="296" w:name="_Toc150774630"/>
      <w:r/>
      <w:bookmarkStart w:id="297" w:name="_Toc151193772"/>
      <w:r/>
      <w:bookmarkStart w:id="298" w:name="_Toc150480768"/>
      <w:r/>
      <w:bookmarkStart w:id="299" w:name="_Toc151193918"/>
      <w:r/>
      <w:bookmarkStart w:id="300" w:name="_Toc164608644"/>
      <w:r/>
      <w:bookmarkStart w:id="301" w:name="_Toc164229225"/>
      <w:r/>
      <w:bookmarkStart w:id="302" w:name="_Toc151193628"/>
      <w:r/>
      <w:bookmarkStart w:id="303" w:name="_Toc164351624"/>
      <w:r/>
      <w:bookmarkStart w:id="304" w:name="_Toc164608799"/>
      <w:r/>
      <w:bookmarkStart w:id="305" w:name="_Toc127151530"/>
      <w:r/>
      <w:bookmarkStart w:id="306" w:name="_Toc142311032"/>
      <w:r>
        <w:rPr>
          <w:color w:val="auto"/>
          <w:sz w:val="24"/>
          <w:highlight w:val="none"/>
        </w:rPr>
        <w:t xml:space="preserve">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所有响应均以人民币报价。</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3"/>
        </w:numPr>
        <w:spacing w:line="360" w:lineRule="auto"/>
        <w:rPr>
          <w:color w:val="auto"/>
          <w:sz w:val="24"/>
          <w:highlight w:val="none"/>
        </w:rPr>
      </w:pPr>
      <w:r>
        <w:rPr>
          <w:color w:val="auto"/>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numPr>
          <w:ilvl w:val="2"/>
          <w:numId w:val="3"/>
        </w:numPr>
        <w:spacing w:line="360" w:lineRule="auto"/>
        <w:rPr>
          <w:color w:val="auto"/>
          <w:sz w:val="24"/>
          <w:highlight w:val="none"/>
        </w:rPr>
      </w:pPr>
      <w:r>
        <w:rPr>
          <w:color w:val="auto"/>
          <w:sz w:val="24"/>
          <w:highlight w:val="none"/>
        </w:rPr>
        <w:t xml:space="preserve">按照单一来源采购文件要求完成本项目的全部相关工程或服务费用。 </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0"/>
          <w:numId w:val="3"/>
        </w:numPr>
        <w:ind w:left="357" w:hanging="357"/>
        <w:spacing w:line="360" w:lineRule="auto"/>
        <w:tabs>
          <w:tab w:val="left" w:pos="360" w:leader="none"/>
        </w:tabs>
        <w:rPr>
          <w:color w:val="auto"/>
          <w:sz w:val="24"/>
          <w:highlight w:val="none"/>
        </w:rPr>
        <w:outlineLvl w:val="1"/>
      </w:pPr>
      <w:r/>
      <w:bookmarkStart w:id="307" w:name="_Toc151193773"/>
      <w:r/>
      <w:bookmarkStart w:id="308" w:name="_Toc127151732"/>
      <w:r/>
      <w:bookmarkStart w:id="309" w:name="_Toc149720824"/>
      <w:r/>
      <w:bookmarkStart w:id="310" w:name="_Toc127161445"/>
      <w:r/>
      <w:bookmarkStart w:id="311" w:name="_Toc164608645"/>
      <w:r/>
      <w:bookmarkStart w:id="312" w:name="_Toc127151531"/>
      <w:r/>
      <w:bookmarkStart w:id="313" w:name="_Toc195842896"/>
      <w:r/>
      <w:bookmarkStart w:id="314" w:name="_Toc164608800"/>
      <w:r/>
      <w:bookmarkStart w:id="315" w:name="_Toc226965804"/>
      <w:r/>
      <w:bookmarkStart w:id="316" w:name="_Toc150774736"/>
      <w:r/>
      <w:bookmarkStart w:id="317" w:name="_Toc226965721"/>
      <w:r/>
      <w:bookmarkStart w:id="318" w:name="_Toc226309775"/>
      <w:r/>
      <w:bookmarkStart w:id="319" w:name="_Toc264969221"/>
      <w:r/>
      <w:bookmarkStart w:id="320" w:name="_Toc142311033"/>
      <w:r/>
      <w:bookmarkStart w:id="321" w:name="_Toc151190158"/>
      <w:r/>
      <w:bookmarkStart w:id="322" w:name="_Toc164229226"/>
      <w:r/>
      <w:bookmarkStart w:id="323" w:name="_Toc151193629"/>
      <w:r/>
      <w:bookmarkStart w:id="324" w:name="_Toc520356156"/>
      <w:r/>
      <w:bookmarkStart w:id="325" w:name="_Toc150774631"/>
      <w:r/>
      <w:bookmarkStart w:id="326" w:name="_Toc150480769"/>
      <w:r/>
      <w:bookmarkStart w:id="327" w:name="_Toc305158873"/>
      <w:r/>
      <w:bookmarkStart w:id="328" w:name="_Ref467306513"/>
      <w:r/>
      <w:bookmarkStart w:id="329" w:name="_Toc151193919"/>
      <w:r/>
      <w:bookmarkStart w:id="330" w:name="_Toc265228369"/>
      <w:r/>
      <w:bookmarkStart w:id="331" w:name="_Toc150509282"/>
      <w:r/>
      <w:bookmarkStart w:id="332" w:name="_Toc151193845"/>
      <w:r/>
      <w:bookmarkStart w:id="333" w:name="_Toc164351625"/>
      <w:r/>
      <w:bookmarkStart w:id="334" w:name="_Toc226337227"/>
      <w:r/>
      <w:bookmarkStart w:id="335" w:name="_Toc164229372"/>
      <w:r/>
      <w:bookmarkStart w:id="336" w:name="_Toc305158799"/>
      <w:r/>
      <w:bookmarkStart w:id="337" w:name="_Toc151193701"/>
      <w:r>
        <w:rPr>
          <w:color w:val="auto"/>
          <w:sz w:val="24"/>
          <w:highlight w:val="none"/>
        </w:rPr>
        <w:t xml:space="preserve">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color w:val="auto"/>
          <w:sz w:val="24"/>
          <w:highlight w:val="none"/>
        </w:rPr>
        <w:t xml:space="preserve">免收</w:t>
      </w:r>
      <w:r/>
    </w:p>
    <w:p>
      <w:pPr>
        <w:numPr>
          <w:ilvl w:val="0"/>
          <w:numId w:val="3"/>
        </w:numPr>
        <w:ind w:left="357" w:hanging="357"/>
        <w:spacing w:line="360" w:lineRule="auto"/>
        <w:tabs>
          <w:tab w:val="left" w:pos="360" w:leader="none"/>
        </w:tabs>
        <w:rPr>
          <w:color w:val="auto"/>
          <w:sz w:val="24"/>
          <w:highlight w:val="none"/>
        </w:rPr>
        <w:outlineLvl w:val="1"/>
      </w:pPr>
      <w:r/>
      <w:bookmarkStart w:id="338" w:name="_Toc164229227"/>
      <w:r/>
      <w:bookmarkStart w:id="339" w:name="_Toc305158874"/>
      <w:r/>
      <w:bookmarkStart w:id="340" w:name="_Toc150509283"/>
      <w:r/>
      <w:bookmarkStart w:id="341" w:name="_Toc127161446"/>
      <w:r/>
      <w:bookmarkStart w:id="342" w:name="_Toc142311034"/>
      <w:r/>
      <w:bookmarkStart w:id="343" w:name="_Toc305158800"/>
      <w:r/>
      <w:bookmarkStart w:id="344" w:name="_Toc520356157"/>
      <w:r/>
      <w:bookmarkStart w:id="345" w:name="_Toc151190159"/>
      <w:r/>
      <w:bookmarkStart w:id="346" w:name="_Toc164229373"/>
      <w:r/>
      <w:bookmarkStart w:id="347" w:name="_Toc150774632"/>
      <w:r/>
      <w:bookmarkStart w:id="348" w:name="_Toc151193702"/>
      <w:r/>
      <w:bookmarkStart w:id="349" w:name="_Toc226965805"/>
      <w:r/>
      <w:bookmarkStart w:id="350" w:name="_Toc151193630"/>
      <w:r/>
      <w:bookmarkStart w:id="351" w:name="_Toc226965722"/>
      <w:r/>
      <w:bookmarkStart w:id="352" w:name="_Toc265228370"/>
      <w:r/>
      <w:bookmarkStart w:id="353" w:name="_Toc127151733"/>
      <w:r/>
      <w:bookmarkStart w:id="354" w:name="_Toc151193920"/>
      <w:r/>
      <w:bookmarkStart w:id="355" w:name="_Toc264969222"/>
      <w:r/>
      <w:bookmarkStart w:id="356" w:name="_Toc226309776"/>
      <w:r/>
      <w:bookmarkStart w:id="357" w:name="_Toc164608646"/>
      <w:r/>
      <w:bookmarkStart w:id="358" w:name="_Toc151193846"/>
      <w:r/>
      <w:bookmarkStart w:id="359" w:name="_Toc150480770"/>
      <w:r/>
      <w:bookmarkStart w:id="360" w:name="_Toc226337228"/>
      <w:r/>
      <w:bookmarkStart w:id="361" w:name="_Toc127151532"/>
      <w:r/>
      <w:bookmarkStart w:id="362" w:name="_Toc151193774"/>
      <w:r/>
      <w:bookmarkStart w:id="363" w:name="_Toc164351626"/>
      <w:r/>
      <w:bookmarkStart w:id="364" w:name="_Toc164608801"/>
      <w:r/>
      <w:bookmarkStart w:id="365" w:name="_Toc149720825"/>
      <w:r/>
      <w:bookmarkStart w:id="366" w:name="_Toc150774737"/>
      <w:r/>
      <w:bookmarkStart w:id="367" w:name="_Toc195842897"/>
      <w:r>
        <w:rPr>
          <w:color w:val="auto"/>
          <w:sz w:val="24"/>
          <w:highlight w:val="none"/>
        </w:rPr>
        <w:t xml:space="preserve">响应有效期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响应文件应在本单一来源采购文件《供应商须知资料表》中规定的响应有效期内保持有效，响应有效期少于单一来源采购文件规定期限的，其</w:t>
      </w:r>
      <w:r>
        <w:rPr>
          <w:b/>
          <w:color w:val="auto"/>
          <w:sz w:val="24"/>
          <w:highlight w:val="none"/>
        </w:rPr>
        <w:t xml:space="preserve">响应无效</w:t>
      </w:r>
      <w:r>
        <w:rPr>
          <w:color w:val="auto"/>
          <w:sz w:val="24"/>
          <w:highlight w:val="none"/>
        </w:rPr>
        <w:t xml:space="preserve">。</w:t>
      </w:r>
      <w:r/>
    </w:p>
    <w:p>
      <w:pPr>
        <w:numPr>
          <w:ilvl w:val="0"/>
          <w:numId w:val="3"/>
        </w:numPr>
        <w:ind w:left="357" w:hanging="357"/>
        <w:spacing w:line="360" w:lineRule="auto"/>
        <w:tabs>
          <w:tab w:val="left" w:pos="360" w:leader="none"/>
        </w:tabs>
        <w:rPr>
          <w:color w:val="auto"/>
          <w:sz w:val="24"/>
          <w:highlight w:val="none"/>
        </w:rPr>
        <w:outlineLvl w:val="1"/>
      </w:pPr>
      <w:r/>
      <w:bookmarkStart w:id="368" w:name="_Toc226309777"/>
      <w:r/>
      <w:bookmarkStart w:id="369" w:name="_Toc151193921"/>
      <w:r/>
      <w:bookmarkStart w:id="370" w:name="_Toc305158875"/>
      <w:r/>
      <w:bookmarkStart w:id="371" w:name="_Toc151193631"/>
      <w:r/>
      <w:bookmarkStart w:id="372" w:name="_Toc164608647"/>
      <w:r/>
      <w:bookmarkStart w:id="373" w:name="_Toc226965806"/>
      <w:r/>
      <w:bookmarkStart w:id="374" w:name="_Toc164229374"/>
      <w:r/>
      <w:bookmarkStart w:id="375" w:name="_Toc520356158"/>
      <w:r/>
      <w:bookmarkStart w:id="376" w:name="_Toc127151734"/>
      <w:r/>
      <w:bookmarkStart w:id="377" w:name="_Toc164351627"/>
      <w:r/>
      <w:bookmarkStart w:id="378" w:name="_Toc150774633"/>
      <w:r/>
      <w:bookmarkStart w:id="379" w:name="_Toc150509284"/>
      <w:r/>
      <w:bookmarkStart w:id="380" w:name="_Toc164608802"/>
      <w:r/>
      <w:bookmarkStart w:id="381" w:name="_Toc150774738"/>
      <w:r/>
      <w:bookmarkStart w:id="382" w:name="_Toc305158801"/>
      <w:r/>
      <w:bookmarkStart w:id="383" w:name="_Toc226337229"/>
      <w:r/>
      <w:bookmarkStart w:id="384" w:name="_Toc264969223"/>
      <w:r/>
      <w:bookmarkStart w:id="385" w:name="_Toc149720826"/>
      <w:r/>
      <w:bookmarkStart w:id="386" w:name="_Toc151193703"/>
      <w:r/>
      <w:bookmarkStart w:id="387" w:name="_Toc265228371"/>
      <w:r/>
      <w:bookmarkStart w:id="388" w:name="_Toc151193847"/>
      <w:r/>
      <w:bookmarkStart w:id="389" w:name="_Toc150480771"/>
      <w:r/>
      <w:bookmarkStart w:id="390" w:name="_Toc164229228"/>
      <w:r/>
      <w:bookmarkStart w:id="391" w:name="_Toc142311035"/>
      <w:r/>
      <w:bookmarkStart w:id="392" w:name="_Toc151193775"/>
      <w:r/>
      <w:bookmarkStart w:id="393" w:name="_Toc127151533"/>
      <w:r/>
      <w:bookmarkStart w:id="394" w:name="_Toc151190160"/>
      <w:r/>
      <w:bookmarkStart w:id="395" w:name="_Toc226965723"/>
      <w:r/>
      <w:bookmarkStart w:id="396" w:name="_Toc195842898"/>
      <w:r/>
      <w:bookmarkStart w:id="397" w:name="_Toc127161447"/>
      <w:r>
        <w:rPr>
          <w:color w:val="auto"/>
          <w:sz w:val="24"/>
          <w:highlight w:val="none"/>
        </w:rPr>
        <w:t xml:space="preserve">响应文件的签署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、盖章</w:t>
      </w:r>
      <w:r/>
    </w:p>
    <w:p>
      <w:pPr>
        <w:numPr>
          <w:ilvl w:val="1"/>
          <w:numId w:val="3"/>
        </w:numPr>
        <w:spacing w:line="360" w:lineRule="auto"/>
        <w:tabs>
          <w:tab w:val="left" w:pos="1080" w:leader="none"/>
          <w:tab w:val="left" w:pos="1589" w:leader="none"/>
          <w:tab w:val="left" w:pos="2014" w:leader="none"/>
        </w:tabs>
        <w:rPr>
          <w:color w:val="auto"/>
          <w:sz w:val="24"/>
          <w:highlight w:val="none"/>
        </w:rPr>
      </w:pPr>
      <w:r/>
      <w:bookmarkStart w:id="398" w:name="_Toc127151534"/>
      <w:r/>
      <w:bookmarkStart w:id="399" w:name="_Toc150774739"/>
      <w:r/>
      <w:bookmarkStart w:id="400" w:name="_Toc151193922"/>
      <w:r/>
      <w:bookmarkStart w:id="401" w:name="_Toc150509285"/>
      <w:r/>
      <w:bookmarkStart w:id="402" w:name="_Toc150480772"/>
      <w:r/>
      <w:bookmarkStart w:id="403" w:name="_Toc226309778"/>
      <w:r/>
      <w:bookmarkStart w:id="404" w:name="_Toc151193776"/>
      <w:r/>
      <w:bookmarkStart w:id="405" w:name="_Toc265228372"/>
      <w:r/>
      <w:bookmarkStart w:id="406" w:name="_Toc151193632"/>
      <w:r/>
      <w:bookmarkStart w:id="407" w:name="_Toc305158876"/>
      <w:r/>
      <w:bookmarkStart w:id="408" w:name="_Toc151193848"/>
      <w:r/>
      <w:bookmarkStart w:id="409" w:name="_Toc305158802"/>
      <w:r/>
      <w:bookmarkStart w:id="410" w:name="_Toc150774634"/>
      <w:r/>
      <w:bookmarkStart w:id="411" w:name="_Toc151190161"/>
      <w:r/>
      <w:bookmarkStart w:id="412" w:name="_Toc142311036"/>
      <w:r/>
      <w:bookmarkStart w:id="413" w:name="_Toc151193704"/>
      <w:r/>
      <w:bookmarkStart w:id="414" w:name="_Toc264969224"/>
      <w:r/>
      <w:bookmarkStart w:id="415" w:name="_Toc226965724"/>
      <w:r/>
      <w:bookmarkStart w:id="416" w:name="_Toc226965807"/>
      <w:r/>
      <w:bookmarkStart w:id="417" w:name="_Toc226337230"/>
      <w:r/>
      <w:bookmarkStart w:id="418" w:name="_Toc195842899"/>
      <w:r/>
      <w:bookmarkStart w:id="419" w:name="_Toc520356159"/>
      <w:r>
        <w:rPr>
          <w:color w:val="auto"/>
          <w:sz w:val="24"/>
          <w:highlight w:val="none"/>
        </w:rPr>
        <w:t xml:space="preserve">响应文件要求签字的内容必须</w:t>
      </w:r>
      <w:r>
        <w:rPr>
          <w:rFonts w:hint="eastAsia"/>
          <w:color w:val="auto"/>
          <w:sz w:val="24"/>
          <w:highlight w:val="none"/>
        </w:rPr>
        <w:t xml:space="preserve">签字或盖章</w:t>
      </w:r>
      <w:r>
        <w:rPr>
          <w:color w:val="auto"/>
          <w:sz w:val="24"/>
          <w:highlight w:val="none"/>
        </w:rPr>
        <w:t xml:space="preserve">。</w:t>
      </w:r>
      <w:r/>
    </w:p>
    <w:p>
      <w:pPr>
        <w:pStyle w:val="1071"/>
        <w:spacing w:before="0" w:line="360" w:lineRule="auto"/>
        <w:rPr>
          <w:rFonts w:hint="eastAsia"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pStyle w:val="1072"/>
        <w:rPr>
          <w:color w:val="auto"/>
          <w:highlight w:val="none"/>
        </w:rPr>
      </w:pPr>
      <w:r>
        <w:rPr>
          <w:color w:val="auto"/>
          <w:highlight w:val="none"/>
        </w:rPr>
      </w:r>
      <w:r/>
    </w:p>
    <w:p>
      <w:pPr>
        <w:numPr>
          <w:ilvl w:val="0"/>
          <w:numId w:val="3"/>
        </w:numPr>
        <w:ind w:left="357" w:hanging="357"/>
        <w:spacing w:line="360" w:lineRule="auto"/>
        <w:tabs>
          <w:tab w:val="left" w:pos="360" w:leader="none"/>
        </w:tabs>
        <w:rPr>
          <w:color w:val="auto"/>
          <w:sz w:val="24"/>
          <w:highlight w:val="none"/>
        </w:rPr>
        <w:outlineLvl w:val="1"/>
      </w:pPr>
      <w:r/>
      <w:bookmarkStart w:id="420" w:name="_Toc151193633"/>
      <w:r/>
      <w:bookmarkStart w:id="421" w:name="_Toc265228373"/>
      <w:r/>
      <w:bookmarkStart w:id="422" w:name="_Toc150774635"/>
      <w:r/>
      <w:bookmarkStart w:id="423" w:name="_Toc164229376"/>
      <w:r/>
      <w:bookmarkStart w:id="424" w:name="_Toc150480773"/>
      <w:r/>
      <w:bookmarkStart w:id="425" w:name="_Toc226965808"/>
      <w:r/>
      <w:bookmarkStart w:id="426" w:name="_Toc151193705"/>
      <w:r/>
      <w:bookmarkStart w:id="427" w:name="_Toc195842900"/>
      <w:r/>
      <w:bookmarkStart w:id="428" w:name="_Toc164608804"/>
      <w:r/>
      <w:bookmarkStart w:id="429" w:name="_Toc164351629"/>
      <w:r/>
      <w:bookmarkStart w:id="430" w:name="_Toc150774740"/>
      <w:r/>
      <w:bookmarkStart w:id="431" w:name="_Toc226965725"/>
      <w:r/>
      <w:bookmarkStart w:id="432" w:name="_Toc151190162"/>
      <w:r/>
      <w:bookmarkStart w:id="433" w:name="_Toc264969225"/>
      <w:r/>
      <w:bookmarkStart w:id="434" w:name="_Toc151193777"/>
      <w:r/>
      <w:bookmarkStart w:id="435" w:name="_Toc127151535"/>
      <w:r/>
      <w:bookmarkStart w:id="436" w:name="_Toc127151736"/>
      <w:r/>
      <w:bookmarkStart w:id="437" w:name="_Toc164608649"/>
      <w:r/>
      <w:bookmarkStart w:id="438" w:name="_Toc520356160"/>
      <w:r/>
      <w:bookmarkStart w:id="439" w:name="_Toc149720828"/>
      <w:r/>
      <w:bookmarkStart w:id="440" w:name="_Toc142311037"/>
      <w:r/>
      <w:bookmarkStart w:id="441" w:name="_Toc127161449"/>
      <w:r/>
      <w:bookmarkStart w:id="442" w:name="_Toc151193923"/>
      <w:r/>
      <w:bookmarkStart w:id="443" w:name="_Toc305158803"/>
      <w:r/>
      <w:bookmarkStart w:id="444" w:name="_Toc164229230"/>
      <w:r/>
      <w:bookmarkStart w:id="445" w:name="_Toc150509286"/>
      <w:r/>
      <w:bookmarkStart w:id="446" w:name="_Toc226309779"/>
      <w:r/>
      <w:bookmarkStart w:id="447" w:name="_Toc151193849"/>
      <w:r/>
      <w:bookmarkStart w:id="448" w:name="_Toc305158877"/>
      <w:r/>
      <w:bookmarkStart w:id="449" w:name="_Toc226337231"/>
      <w:r>
        <w:rPr>
          <w:color w:val="auto"/>
          <w:sz w:val="24"/>
          <w:highlight w:val="none"/>
        </w:rPr>
        <w:t xml:space="preserve">响应文件的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3"/>
        </w:numPr>
        <w:ind w:left="1134" w:hanging="567"/>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本项目使用</w:t>
      </w:r>
      <w:r>
        <w:rPr>
          <w:rFonts w:hint="eastAsia"/>
          <w:color w:val="auto"/>
          <w:sz w:val="24"/>
          <w:highlight w:val="none"/>
          <w:lang w:bidi="ar"/>
        </w:rPr>
        <w:t xml:space="preserve">政府采购一体化平台</w:t>
      </w:r>
      <w:r>
        <w:rPr>
          <w:color w:val="auto"/>
          <w:sz w:val="24"/>
          <w:highlight w:val="none"/>
          <w:lang w:bidi="ar"/>
        </w:rPr>
        <w:t xml:space="preserve">“</w:t>
      </w:r>
      <w:r>
        <w:rPr>
          <w:rFonts w:hint="eastAsia"/>
          <w:color w:val="auto"/>
          <w:sz w:val="24"/>
          <w:highlight w:val="none"/>
          <w:lang w:bidi="ar"/>
        </w:rPr>
        <w:t xml:space="preserve">苏采云</w:t>
      </w:r>
      <w:r>
        <w:rPr>
          <w:color w:val="auto"/>
          <w:sz w:val="24"/>
          <w:highlight w:val="none"/>
          <w:lang w:bidi="ar"/>
        </w:rPr>
        <w:t xml:space="preserve">”</w:t>
      </w:r>
      <w:r>
        <w:rPr>
          <w:rFonts w:hint="eastAsia"/>
          <w:color w:val="auto"/>
          <w:sz w:val="24"/>
          <w:highlight w:val="none"/>
        </w:rPr>
        <w:t xml:space="preserve">。供应商根据单一来源采购文件及</w:t>
      </w:r>
      <w:r>
        <w:rPr>
          <w:rFonts w:hint="eastAsia"/>
          <w:color w:val="auto"/>
          <w:sz w:val="24"/>
          <w:highlight w:val="none"/>
          <w:lang w:bidi="ar"/>
        </w:rPr>
        <w:t xml:space="preserve">政府采购一体化平台</w:t>
      </w:r>
      <w:r>
        <w:rPr>
          <w:color w:val="auto"/>
          <w:sz w:val="24"/>
          <w:highlight w:val="none"/>
          <w:lang w:bidi="ar"/>
        </w:rPr>
        <w:t xml:space="preserve">“</w:t>
      </w:r>
      <w:r>
        <w:rPr>
          <w:rFonts w:hint="eastAsia"/>
          <w:color w:val="auto"/>
          <w:sz w:val="24"/>
          <w:highlight w:val="none"/>
          <w:lang w:bidi="ar"/>
        </w:rPr>
        <w:t xml:space="preserve">苏采云</w:t>
      </w:r>
      <w:r>
        <w:rPr>
          <w:color w:val="auto"/>
          <w:sz w:val="24"/>
          <w:highlight w:val="none"/>
          <w:lang w:bidi="ar"/>
        </w:rPr>
        <w:t xml:space="preserve">”</w:t>
      </w:r>
      <w:r>
        <w:rPr>
          <w:rFonts w:hint="eastAsia"/>
          <w:color w:val="auto"/>
          <w:sz w:val="24"/>
          <w:highlight w:val="none"/>
        </w:rPr>
        <w:t xml:space="preserve">供应商操作手册要求编制、生成并提交电子响应文件。</w:t>
      </w:r>
      <w:r/>
    </w:p>
    <w:p>
      <w:pPr>
        <w:numPr>
          <w:ilvl w:val="1"/>
          <w:numId w:val="3"/>
        </w:numPr>
        <w:ind w:left="1134" w:hanging="708"/>
        <w:spacing w:line="360" w:lineRule="auto"/>
        <w:tabs>
          <w:tab w:val="left" w:pos="1080" w:leader="none"/>
          <w:tab w:val="left" w:pos="2014" w:leader="none"/>
        </w:tabs>
        <w:rPr>
          <w:rFonts w:hint="eastAsia" w:ascii="Calibri" w:hAnsi="Calibri"/>
          <w:color w:val="auto"/>
          <w:sz w:val="24"/>
          <w:highlight w:val="none"/>
        </w:rPr>
      </w:pPr>
      <w:r/>
      <w:bookmarkStart w:id="450" w:name="OLE_LINK19"/>
      <w:r/>
      <w:bookmarkStart w:id="451" w:name="OLE_LINK16"/>
      <w:r/>
      <w:bookmarkStart w:id="452" w:name="OLE_LINK27"/>
      <w:r/>
      <w:bookmarkStart w:id="453" w:name="OLE_LINK28"/>
      <w:r/>
      <w:bookmarkStart w:id="454" w:name="_Toc142311040"/>
      <w:r/>
      <w:bookmarkStart w:id="455" w:name="_Toc305158806"/>
      <w:r/>
      <w:bookmarkStart w:id="456" w:name="_Toc150774638"/>
      <w:r/>
      <w:bookmarkStart w:id="457" w:name="_Toc520356163"/>
      <w:r/>
      <w:bookmarkStart w:id="458" w:name="_Toc226965728"/>
      <w:r/>
      <w:bookmarkStart w:id="459" w:name="_Toc150509289"/>
      <w:r/>
      <w:bookmarkStart w:id="460" w:name="_Toc195842903"/>
      <w:r/>
      <w:bookmarkStart w:id="461" w:name="_Toc226965811"/>
      <w:r/>
      <w:bookmarkStart w:id="462" w:name="_Toc264969228"/>
      <w:r/>
      <w:bookmarkStart w:id="463" w:name="_Toc226309782"/>
      <w:r/>
      <w:bookmarkStart w:id="464" w:name="_Toc150480776"/>
      <w:r/>
      <w:bookmarkStart w:id="465" w:name="_Toc151193852"/>
      <w:r/>
      <w:bookmarkStart w:id="466" w:name="_Toc151193926"/>
      <w:r/>
      <w:bookmarkStart w:id="467" w:name="_Toc151193708"/>
      <w:r/>
      <w:bookmarkStart w:id="468" w:name="_Toc150774743"/>
      <w:r/>
      <w:bookmarkStart w:id="469" w:name="_Toc265228376"/>
      <w:r/>
      <w:bookmarkStart w:id="470" w:name="_Toc151190165"/>
      <w:r/>
      <w:bookmarkStart w:id="471" w:name="_Toc305158880"/>
      <w:r/>
      <w:bookmarkStart w:id="472" w:name="_Toc151193636"/>
      <w:r/>
      <w:bookmarkStart w:id="473" w:name="_Toc151193780"/>
      <w:r/>
      <w:bookmarkStart w:id="474" w:name="_Toc226337234"/>
      <w:r/>
      <w:bookmarkStart w:id="475" w:name="_Toc127151538"/>
      <w:r>
        <w:rPr>
          <w:rFonts w:hint="eastAsia" w:ascii="Calibri" w:hAnsi="Calibri"/>
          <w:color w:val="auto"/>
          <w:sz w:val="24"/>
          <w:highlight w:val="none"/>
        </w:rPr>
        <w:t xml:space="preserve">采购人及采购代理机构拒绝接受通过“苏采云”政府采购一体化平台以外任何形式提交的响应文件。</w:t>
      </w:r>
      <w:r/>
    </w:p>
    <w:p>
      <w:pPr>
        <w:numPr>
          <w:ilvl w:val="1"/>
          <w:numId w:val="3"/>
        </w:numPr>
        <w:ind w:left="1134" w:hanging="708"/>
        <w:spacing w:line="360" w:lineRule="auto"/>
        <w:tabs>
          <w:tab w:val="left" w:pos="1080" w:leader="none"/>
          <w:tab w:val="left" w:pos="2014" w:leader="none"/>
        </w:tabs>
        <w:rPr>
          <w:rFonts w:ascii="Calibri" w:hAnsi="Calibri"/>
          <w:color w:val="auto"/>
          <w:sz w:val="24"/>
          <w:highlight w:val="none"/>
        </w:rPr>
      </w:pPr>
      <w:r>
        <w:rPr>
          <w:rFonts w:hint="eastAsia"/>
          <w:b/>
          <w:color w:val="auto"/>
          <w:sz w:val="24"/>
          <w:highlight w:val="none"/>
          <w:lang w:val="en-US" w:eastAsia="zh-CN"/>
        </w:rPr>
        <w:t xml:space="preserve">成交</w:t>
      </w:r>
      <w:r>
        <w:rPr>
          <w:rFonts w:hint="eastAsia"/>
          <w:b/>
          <w:color w:val="auto"/>
          <w:sz w:val="24"/>
          <w:highlight w:val="none"/>
        </w:rPr>
        <w:t xml:space="preserve">后，</w:t>
      </w:r>
      <w:r>
        <w:rPr>
          <w:rFonts w:hint="eastAsia"/>
          <w:b/>
          <w:color w:val="auto"/>
          <w:sz w:val="24"/>
          <w:highlight w:val="none"/>
          <w:lang w:val="en-US" w:eastAsia="zh-CN"/>
        </w:rPr>
        <w:t xml:space="preserve">成交</w:t>
      </w:r>
      <w:r>
        <w:rPr>
          <w:rFonts w:hint="eastAsia"/>
          <w:b/>
          <w:color w:val="auto"/>
          <w:sz w:val="24"/>
          <w:highlight w:val="none"/>
        </w:rPr>
        <w:t xml:space="preserve">供应商5个工作日内需提供响应文件共一式</w:t>
      </w:r>
      <w:r>
        <w:rPr>
          <w:rFonts w:hint="eastAsia"/>
          <w:b/>
          <w:color w:val="auto"/>
          <w:sz w:val="24"/>
          <w:highlight w:val="none"/>
          <w:lang w:val="en-US" w:eastAsia="zh-CN"/>
        </w:rPr>
        <w:t xml:space="preserve">叁</w:t>
      </w:r>
      <w:r>
        <w:rPr>
          <w:rFonts w:hint="eastAsia"/>
          <w:b/>
          <w:color w:val="auto"/>
          <w:sz w:val="24"/>
          <w:highlight w:val="none"/>
        </w:rPr>
        <w:t xml:space="preserve">份并送至代理机构，“正本”壹份、“副本”贰份。在每一份响应文件上要标明“正本”或“副本”字样，一旦正本和副本有差异，以正本为准,正本、副本应分别装订成册。</w:t>
      </w:r>
      <w:r/>
    </w:p>
    <w:p>
      <w:pPr>
        <w:numPr>
          <w:ilvl w:val="0"/>
          <w:numId w:val="3"/>
        </w:numPr>
        <w:spacing w:line="360" w:lineRule="auto"/>
        <w:tabs>
          <w:tab w:val="left" w:pos="360" w:leader="none"/>
          <w:tab w:val="left" w:pos="4445" w:leader="none"/>
        </w:tabs>
        <w:rPr>
          <w:color w:val="auto"/>
          <w:sz w:val="24"/>
          <w:highlight w:val="none"/>
        </w:rPr>
        <w:outlineLvl w:val="1"/>
      </w:pPr>
      <w:r/>
      <w:bookmarkStart w:id="476" w:name="_Toc164229377"/>
      <w:r/>
      <w:bookmarkStart w:id="477" w:name="_Toc164608650"/>
      <w:r/>
      <w:bookmarkStart w:id="478" w:name="_Toc164351630"/>
      <w:r/>
      <w:bookmarkStart w:id="479" w:name="_Toc164608805"/>
      <w:r/>
      <w:bookmarkStart w:id="480" w:name="_Toc127151737"/>
      <w:r/>
      <w:bookmarkStart w:id="481" w:name="_Toc151193850"/>
      <w:r/>
      <w:bookmarkStart w:id="482" w:name="_Toc150509287"/>
      <w:r/>
      <w:bookmarkStart w:id="483" w:name="_Toc142311038"/>
      <w:r/>
      <w:bookmarkStart w:id="484" w:name="_Toc149720829"/>
      <w:r/>
      <w:bookmarkStart w:id="485" w:name="_Toc151193706"/>
      <w:r/>
      <w:bookmarkStart w:id="486" w:name="_Toc127161450"/>
      <w:r/>
      <w:bookmarkStart w:id="487" w:name="_Toc151193634"/>
      <w:r/>
      <w:bookmarkStart w:id="488" w:name="_Toc520356161"/>
      <w:r/>
      <w:bookmarkStart w:id="489" w:name="_Toc127151536"/>
      <w:r/>
      <w:bookmarkStart w:id="490" w:name="_Toc265228374"/>
      <w:r/>
      <w:bookmarkStart w:id="491" w:name="_Toc264969226"/>
      <w:r/>
      <w:bookmarkStart w:id="492" w:name="_Toc151190163"/>
      <w:r/>
      <w:bookmarkStart w:id="493" w:name="_Toc150480774"/>
      <w:r/>
      <w:bookmarkStart w:id="494" w:name="_Toc151193778"/>
      <w:r/>
      <w:bookmarkStart w:id="495" w:name="_Toc305158878"/>
      <w:r/>
      <w:bookmarkStart w:id="496" w:name="_Toc150774741"/>
      <w:r/>
      <w:bookmarkStart w:id="497" w:name="_Toc195842901"/>
      <w:r/>
      <w:bookmarkStart w:id="498" w:name="_Toc226337232"/>
      <w:r/>
      <w:bookmarkStart w:id="499" w:name="_Toc305158804"/>
      <w:r/>
      <w:bookmarkStart w:id="500" w:name="_Toc226965809"/>
      <w:r/>
      <w:bookmarkStart w:id="501" w:name="_Toc151193924"/>
      <w:r/>
      <w:bookmarkStart w:id="502" w:name="_Toc226309780"/>
      <w:r/>
      <w:bookmarkStart w:id="503" w:name="_Toc164229231"/>
      <w:r/>
      <w:bookmarkStart w:id="504" w:name="_Toc150774636"/>
      <w:r/>
      <w:bookmarkStart w:id="505" w:name="_Toc226965726"/>
      <w:r/>
      <w:bookmarkStart w:id="506" w:name="OLE_LINK13"/>
      <w:r>
        <w:rPr>
          <w:rFonts w:hint="eastAsia"/>
          <w:color w:val="auto"/>
          <w:sz w:val="24"/>
          <w:highlight w:val="none"/>
        </w:rPr>
        <w:t xml:space="preserve">响应文件截止</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color w:val="auto"/>
          <w:sz w:val="24"/>
          <w:highlight w:val="none"/>
        </w:rPr>
        <w:t xml:space="preserve">时间</w:t>
      </w:r>
      <w:r/>
    </w:p>
    <w:p>
      <w:pPr>
        <w:ind w:left="990" w:hanging="511"/>
        <w:spacing w:line="360" w:lineRule="auto"/>
        <w:tabs>
          <w:tab w:val="left" w:pos="1080" w:leader="none"/>
          <w:tab w:val="left" w:pos="1589" w:leader="none"/>
          <w:tab w:val="left" w:pos="2014" w:leader="none"/>
        </w:tabs>
        <w:rPr>
          <w:rFonts w:ascii="Calibri" w:hAnsi="Calibri"/>
          <w:color w:val="auto"/>
          <w:sz w:val="24"/>
          <w:highlight w:val="none"/>
        </w:rPr>
      </w:pPr>
      <w:r>
        <w:rPr>
          <w:color w:val="auto"/>
          <w:sz w:val="24"/>
          <w:highlight w:val="none"/>
        </w:rPr>
        <w:t xml:space="preserve">14.1</w:t>
      </w:r>
      <w:r>
        <w:rPr>
          <w:rFonts w:hint="eastAsia" w:ascii="Calibri" w:hAnsi="Calibri"/>
          <w:color w:val="auto"/>
          <w:sz w:val="24"/>
          <w:highlight w:val="none"/>
        </w:rPr>
        <w:t xml:space="preserve">供应商应在</w:t>
      </w:r>
      <w:r>
        <w:rPr>
          <w:rFonts w:hint="eastAsia"/>
          <w:color w:val="auto"/>
          <w:sz w:val="24"/>
          <w:highlight w:val="none"/>
        </w:rPr>
        <w:t xml:space="preserve">单一来源采购</w:t>
      </w:r>
      <w:r>
        <w:rPr>
          <w:rFonts w:hint="eastAsia" w:ascii="Calibri" w:hAnsi="Calibri"/>
          <w:color w:val="auto"/>
          <w:sz w:val="24"/>
          <w:highlight w:val="none"/>
        </w:rPr>
        <w:t xml:space="preserve">文件要求提交响应文件截止时间前，将电子响应文件提交至“苏采云”政府采购一体化平台。</w:t>
      </w:r>
      <w:r/>
    </w:p>
    <w:p>
      <w:pPr>
        <w:numPr>
          <w:ilvl w:val="0"/>
          <w:numId w:val="3"/>
        </w:numPr>
        <w:spacing w:line="360" w:lineRule="auto"/>
        <w:tabs>
          <w:tab w:val="left" w:pos="360" w:leader="none"/>
          <w:tab w:val="left" w:pos="4445" w:leader="none"/>
        </w:tabs>
        <w:rPr>
          <w:color w:val="auto"/>
          <w:sz w:val="24"/>
          <w:highlight w:val="none"/>
        </w:rPr>
        <w:outlineLvl w:val="1"/>
      </w:pPr>
      <w:r/>
      <w:bookmarkStart w:id="507" w:name="_Toc164608806"/>
      <w:r/>
      <w:bookmarkStart w:id="508" w:name="_Toc127151537"/>
      <w:r/>
      <w:bookmarkStart w:id="509" w:name="_Toc195842902"/>
      <w:r/>
      <w:bookmarkStart w:id="510" w:name="_Toc164351631"/>
      <w:r/>
      <w:bookmarkStart w:id="511" w:name="_Toc127161451"/>
      <w:r/>
      <w:bookmarkStart w:id="512" w:name="_Toc226965810"/>
      <w:r/>
      <w:bookmarkStart w:id="513" w:name="_Toc520356162"/>
      <w:r/>
      <w:bookmarkStart w:id="514" w:name="_Toc150774637"/>
      <w:r/>
      <w:bookmarkStart w:id="515" w:name="_Toc142311039"/>
      <w:r/>
      <w:bookmarkStart w:id="516" w:name="_Toc164608651"/>
      <w:r/>
      <w:bookmarkStart w:id="517" w:name="_Toc164229232"/>
      <w:r/>
      <w:bookmarkStart w:id="518" w:name="_Toc305158879"/>
      <w:r/>
      <w:bookmarkStart w:id="519" w:name="_Toc151193851"/>
      <w:r/>
      <w:bookmarkStart w:id="520" w:name="_Toc265228375"/>
      <w:r/>
      <w:bookmarkStart w:id="521" w:name="_Toc151193925"/>
      <w:r/>
      <w:bookmarkStart w:id="522" w:name="_Toc305158805"/>
      <w:r/>
      <w:bookmarkStart w:id="523" w:name="_Toc226309781"/>
      <w:r/>
      <w:bookmarkStart w:id="524" w:name="_Toc150509288"/>
      <w:r/>
      <w:bookmarkStart w:id="525" w:name="_Toc151190164"/>
      <w:r/>
      <w:bookmarkStart w:id="526" w:name="_Toc151193635"/>
      <w:r/>
      <w:bookmarkStart w:id="527" w:name="_Toc150774742"/>
      <w:r/>
      <w:bookmarkStart w:id="528" w:name="_Toc149720830"/>
      <w:r/>
      <w:bookmarkStart w:id="529" w:name="_Toc150480775"/>
      <w:r/>
      <w:bookmarkStart w:id="530" w:name="_Toc164229378"/>
      <w:r/>
      <w:bookmarkStart w:id="531" w:name="_Toc127151738"/>
      <w:r/>
      <w:bookmarkStart w:id="532" w:name="_Toc151193707"/>
      <w:r/>
      <w:bookmarkStart w:id="533" w:name="_Toc264969227"/>
      <w:r/>
      <w:bookmarkStart w:id="534" w:name="_Toc226337233"/>
      <w:r/>
      <w:bookmarkStart w:id="535" w:name="_Toc226965727"/>
      <w:r/>
      <w:bookmarkStart w:id="536" w:name="_Toc151193779"/>
      <w:r>
        <w:rPr>
          <w:rFonts w:hint="eastAsia"/>
          <w:color w:val="auto"/>
          <w:sz w:val="24"/>
          <w:highlight w:val="none"/>
        </w:rPr>
        <w:t xml:space="preserve">响应文件的修改与撤回</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left="991" w:hanging="422"/>
        <w:spacing w:line="360" w:lineRule="auto"/>
        <w:tabs>
          <w:tab w:val="left" w:pos="1589" w:leader="none"/>
          <w:tab w:val="left" w:pos="2014" w:leader="none"/>
        </w:tabs>
        <w:rPr>
          <w:color w:val="auto"/>
          <w:sz w:val="24"/>
          <w:highlight w:val="none"/>
        </w:rPr>
      </w:pPr>
      <w:r>
        <w:rPr>
          <w:color w:val="auto"/>
          <w:sz w:val="24"/>
          <w:highlight w:val="none"/>
        </w:rPr>
        <w:t xml:space="preserve">15.1</w:t>
      </w:r>
      <w:r>
        <w:rPr>
          <w:rFonts w:hint="eastAsia"/>
          <w:color w:val="auto"/>
          <w:sz w:val="24"/>
          <w:highlight w:val="none"/>
        </w:rPr>
        <w:t xml:space="preserve">提交响应文件截止时间前，供应商可以通过电子交易平台对所提交的响应文件进行补充、修改或者撤回。</w:t>
      </w:r>
      <w:r/>
    </w:p>
    <w:p>
      <w:pPr>
        <w:ind w:left="991" w:hanging="422"/>
        <w:spacing w:line="360" w:lineRule="auto"/>
        <w:tabs>
          <w:tab w:val="left" w:pos="1589" w:leader="none"/>
          <w:tab w:val="left" w:pos="2014" w:leader="none"/>
        </w:tabs>
        <w:rPr>
          <w:rFonts w:hint="eastAsia"/>
          <w:color w:val="auto"/>
          <w:sz w:val="24"/>
          <w:highlight w:val="none"/>
        </w:rPr>
      </w:pPr>
      <w:r>
        <w:rPr>
          <w:color w:val="auto"/>
          <w:sz w:val="24"/>
          <w:highlight w:val="none"/>
        </w:rPr>
        <w:t xml:space="preserve">15.2</w:t>
      </w:r>
      <w:r>
        <w:rPr>
          <w:rFonts w:hint="eastAsia"/>
          <w:color w:val="auto"/>
          <w:sz w:val="24"/>
          <w:highlight w:val="none"/>
        </w:rPr>
        <w:t xml:space="preserve">供应商对响应文件的补充、修改的内容应当按照单一来源采购文件要求签署、盖章，作为响应文件的组成部分。补充、修改的内容与响应文件不一致的，以补充、修改的内容为准。</w:t>
      </w:r>
      <w:bookmarkEnd w:id="450"/>
      <w:r/>
      <w:bookmarkEnd w:id="451"/>
      <w:r/>
      <w:bookmarkEnd w:id="506"/>
      <w:r/>
      <w:r/>
    </w:p>
    <w:p>
      <w:pPr>
        <w:pStyle w:val="107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五   协商</w:t>
      </w:r>
      <w:r/>
    </w:p>
    <w:p>
      <w:pPr>
        <w:numPr>
          <w:ilvl w:val="0"/>
          <w:numId w:val="3"/>
        </w:numPr>
        <w:ind w:left="357" w:hanging="357"/>
        <w:spacing w:line="360" w:lineRule="auto"/>
        <w:tabs>
          <w:tab w:val="left" w:pos="360" w:leader="none"/>
        </w:tabs>
        <w:rPr>
          <w:color w:val="auto"/>
          <w:sz w:val="24"/>
          <w:highlight w:val="none"/>
        </w:rPr>
        <w:outlineLvl w:val="1"/>
      </w:pPr>
      <w:r>
        <w:rPr>
          <w:color w:val="auto"/>
          <w:sz w:val="24"/>
          <w:highlight w:val="none"/>
        </w:rPr>
        <w:t xml:space="preserve">解密</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采购人或采购代理机构将按单一来源采购文件的规定，在提交响应文件截止时间的同一时间和《供应商须知资料表》约定的地点组织解密。本项目</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，供应商使用</w:t>
      </w:r>
      <w:bookmarkStart w:id="537" w:name="OLE_LINK144"/>
      <w:r/>
      <w:bookmarkStart w:id="538" w:name="OLE_LINK149"/>
      <w:r/>
      <w:bookmarkStart w:id="539" w:name="OLE_LINK145"/>
      <w:r>
        <w:rPr>
          <w:rFonts w:hint="eastAsia"/>
          <w:color w:val="auto"/>
          <w:sz w:val="24"/>
          <w:highlight w:val="none"/>
        </w:rPr>
        <w:t xml:space="preserve">“苏采云”政府采购一体化平台</w:t>
      </w:r>
      <w:bookmarkEnd w:id="537"/>
      <w:r/>
      <w:bookmarkEnd w:id="538"/>
      <w:r/>
      <w:bookmarkEnd w:id="539"/>
      <w:r>
        <w:rPr>
          <w:rFonts w:hint="eastAsia"/>
          <w:color w:val="auto"/>
          <w:sz w:val="24"/>
          <w:highlight w:val="none"/>
        </w:rPr>
        <w:t xml:space="preserve">在线进行解密</w:t>
      </w:r>
      <w:r>
        <w:rPr>
          <w:color w:val="auto"/>
          <w:sz w:val="24"/>
          <w:highlight w:val="none"/>
        </w:rPr>
        <w:t xml:space="preserve">。</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本项目解密使用</w:t>
      </w:r>
      <w:r>
        <w:rPr>
          <w:rFonts w:hint="eastAsia"/>
          <w:color w:val="auto"/>
          <w:sz w:val="24"/>
          <w:highlight w:val="none"/>
        </w:rPr>
        <w:t xml:space="preserve">“苏采云”政府采购一体化平台</w:t>
      </w:r>
      <w:r>
        <w:rPr>
          <w:color w:val="auto"/>
          <w:sz w:val="24"/>
          <w:highlight w:val="none"/>
        </w:rPr>
        <w:t xml:space="preserve">。供应商应在规定的时间内对响应文件进行解密，因非系统原因导致的解密失败，视</w:t>
      </w:r>
      <w:r>
        <w:rPr>
          <w:b/>
          <w:color w:val="auto"/>
          <w:sz w:val="24"/>
          <w:highlight w:val="none"/>
        </w:rPr>
        <w:t xml:space="preserve">为无效响应</w:t>
      </w:r>
      <w:r>
        <w:rPr>
          <w:color w:val="auto"/>
          <w:sz w:val="24"/>
          <w:highlight w:val="none"/>
        </w:rPr>
        <w:t xml:space="preserve">。</w:t>
      </w:r>
      <w:r/>
    </w:p>
    <w:p>
      <w:pPr>
        <w:numPr>
          <w:ilvl w:val="0"/>
          <w:numId w:val="3"/>
        </w:numPr>
        <w:ind w:left="357" w:hanging="357"/>
        <w:spacing w:line="360" w:lineRule="auto"/>
        <w:tabs>
          <w:tab w:val="left" w:pos="360" w:leader="none"/>
        </w:tabs>
        <w:rPr>
          <w:color w:val="auto"/>
          <w:sz w:val="24"/>
          <w:highlight w:val="none"/>
        </w:rPr>
        <w:outlineLvl w:val="1"/>
      </w:pPr>
      <w:r>
        <w:rPr>
          <w:color w:val="auto"/>
          <w:sz w:val="24"/>
          <w:highlight w:val="none"/>
        </w:rPr>
        <w:t xml:space="preserve">单一来源采购人员</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bookmarkStart w:id="540" w:name="_Toc520356166"/>
      <w:r>
        <w:rPr>
          <w:color w:val="auto"/>
          <w:sz w:val="24"/>
          <w:highlight w:val="none"/>
        </w:rPr>
        <w:t xml:space="preserve">采购人、采购代理机构组织具有相关经验的专业人员与供应商商定合理的成交价格并保证采购项目质量。</w:t>
      </w:r>
      <w:bookmarkEnd w:id="540"/>
      <w:r/>
    </w:p>
    <w:p>
      <w:pPr>
        <w:numPr>
          <w:ilvl w:val="0"/>
          <w:numId w:val="3"/>
        </w:numPr>
        <w:ind w:left="357" w:hanging="357"/>
        <w:spacing w:line="360" w:lineRule="auto"/>
        <w:tabs>
          <w:tab w:val="left" w:pos="360" w:leader="none"/>
        </w:tabs>
        <w:rPr>
          <w:rFonts w:hint="eastAsia"/>
          <w:color w:val="auto"/>
          <w:sz w:val="24"/>
          <w:highlight w:val="none"/>
        </w:rPr>
        <w:outlineLvl w:val="1"/>
      </w:pPr>
      <w:r>
        <w:rPr>
          <w:color w:val="auto"/>
          <w:sz w:val="24"/>
          <w:highlight w:val="none"/>
        </w:rPr>
        <w:t xml:space="preserve">协商程序 </w:t>
      </w:r>
      <w:r/>
    </w:p>
    <w:p>
      <w:pPr>
        <w:numPr>
          <w:ilvl w:val="1"/>
          <w:numId w:val="3"/>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见第三章《协商程序》。</w:t>
      </w:r>
      <w:bookmarkEnd w:id="452"/>
      <w:bookmarkEnd w:id="453"/>
      <w:r/>
    </w:p>
    <w:p>
      <w:pPr>
        <w:pStyle w:val="107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六   </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Start w:id="541" w:name="_Toc151193933"/>
      <w:r/>
      <w:bookmarkStart w:id="542" w:name="_Toc226337241"/>
      <w:r/>
      <w:bookmarkStart w:id="543" w:name="_Toc150480783"/>
      <w:r/>
      <w:bookmarkStart w:id="544" w:name="_Toc151193859"/>
      <w:r/>
      <w:bookmarkStart w:id="545" w:name="_Toc305158887"/>
      <w:r/>
      <w:bookmarkStart w:id="546" w:name="_Toc150774750"/>
      <w:r/>
      <w:bookmarkStart w:id="547" w:name="_Toc226309789"/>
      <w:r/>
      <w:bookmarkStart w:id="548" w:name="_Toc150509296"/>
      <w:r/>
      <w:bookmarkStart w:id="549" w:name="_Toc265228383"/>
      <w:r/>
      <w:bookmarkStart w:id="550" w:name="_Toc264969235"/>
      <w:r/>
      <w:bookmarkStart w:id="551" w:name="_Toc151193787"/>
      <w:r/>
      <w:bookmarkStart w:id="552" w:name="_Toc127151545"/>
      <w:r/>
      <w:bookmarkStart w:id="553" w:name="_Toc226965735"/>
      <w:r/>
      <w:bookmarkStart w:id="554" w:name="_Toc151190172"/>
      <w:r/>
      <w:bookmarkStart w:id="555" w:name="_Toc195842910"/>
      <w:r/>
      <w:bookmarkStart w:id="556" w:name="_Toc226965818"/>
      <w:r/>
      <w:bookmarkStart w:id="557" w:name="_Toc150774645"/>
      <w:r/>
      <w:bookmarkStart w:id="558" w:name="_Toc151193715"/>
      <w:r/>
      <w:bookmarkStart w:id="559" w:name="_Toc305158813"/>
      <w:r/>
      <w:bookmarkStart w:id="560" w:name="_Toc151193643"/>
      <w:r/>
      <w:bookmarkStart w:id="561" w:name="_Toc142311047"/>
      <w:r>
        <w:rPr>
          <w:rFonts w:ascii="Times New Roman" w:hAnsi="Times New Roman" w:eastAsia="宋体"/>
          <w:color w:val="auto"/>
          <w:sz w:val="28"/>
          <w:highlight w:val="none"/>
        </w:rPr>
        <w:t xml:space="preserve">确定</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ascii="Times New Roman" w:hAnsi="Times New Roman" w:eastAsia="宋体"/>
          <w:color w:val="auto"/>
          <w:sz w:val="28"/>
          <w:highlight w:val="none"/>
        </w:rPr>
        <w:t xml:space="preserve">成交供应商</w:t>
      </w:r>
      <w:r/>
    </w:p>
    <w:p>
      <w:pPr>
        <w:ind w:left="900"/>
        <w:spacing w:line="360" w:lineRule="auto"/>
        <w:tabs>
          <w:tab w:val="left" w:pos="900" w:leader="none"/>
          <w:tab w:val="left" w:pos="1080" w:leader="none"/>
          <w:tab w:val="left" w:pos="1589" w:leader="none"/>
        </w:tabs>
        <w:rPr>
          <w:color w:val="auto"/>
          <w:sz w:val="24"/>
          <w:highlight w:val="none"/>
        </w:rPr>
      </w:pPr>
      <w:r/>
      <w:bookmarkStart w:id="562" w:name="_Toc151193717"/>
      <w:r/>
      <w:bookmarkStart w:id="563" w:name="_Toc151193861"/>
      <w:r/>
      <w:bookmarkStart w:id="564" w:name="_Toc226309791"/>
      <w:r/>
      <w:bookmarkStart w:id="565" w:name="_Toc265228385"/>
      <w:r/>
      <w:bookmarkStart w:id="566" w:name="_Toc151193935"/>
      <w:r/>
      <w:bookmarkStart w:id="567" w:name="_Toc164608661"/>
      <w:r/>
      <w:bookmarkStart w:id="568" w:name="_Toc164229242"/>
      <w:r/>
      <w:bookmarkStart w:id="569" w:name="_Toc264969237"/>
      <w:r/>
      <w:bookmarkStart w:id="570" w:name="_Toc226965737"/>
      <w:r/>
      <w:bookmarkStart w:id="571" w:name="_Toc226965820"/>
      <w:r/>
      <w:bookmarkStart w:id="572" w:name="_Toc150774752"/>
      <w:r/>
      <w:bookmarkStart w:id="573" w:name="_Toc127151547"/>
      <w:r/>
      <w:bookmarkStart w:id="574" w:name="_Toc151190174"/>
      <w:r/>
      <w:bookmarkStart w:id="575" w:name="_Toc150509298"/>
      <w:r/>
      <w:bookmarkStart w:id="576" w:name="_Toc305158815"/>
      <w:r/>
      <w:bookmarkStart w:id="577" w:name="_Toc150774647"/>
      <w:r/>
      <w:bookmarkStart w:id="578" w:name="_Toc142311049"/>
      <w:r/>
      <w:bookmarkStart w:id="579" w:name="_Toc151193789"/>
      <w:r/>
      <w:bookmarkStart w:id="580" w:name="_Toc151193645"/>
      <w:r/>
      <w:bookmarkStart w:id="581" w:name="_Toc195842912"/>
      <w:r/>
      <w:bookmarkStart w:id="582" w:name="_Toc305158889"/>
      <w:r/>
      <w:bookmarkStart w:id="583" w:name="_Toc127151748"/>
      <w:r/>
      <w:bookmarkStart w:id="584" w:name="_Toc164608816"/>
      <w:r/>
      <w:bookmarkStart w:id="585" w:name="_Toc150480785"/>
      <w:r/>
      <w:bookmarkStart w:id="586" w:name="_Toc164229388"/>
      <w:r/>
      <w:bookmarkStart w:id="587" w:name="_Toc127161461"/>
      <w:r/>
      <w:bookmarkStart w:id="588" w:name="_Toc149720840"/>
      <w:r/>
      <w:bookmarkStart w:id="589" w:name="_Toc226337243"/>
      <w:r/>
      <w:bookmarkStart w:id="590" w:name="_Toc164351641"/>
      <w:r/>
      <w:r/>
    </w:p>
    <w:p>
      <w:pPr>
        <w:numPr>
          <w:ilvl w:val="0"/>
          <w:numId w:val="3"/>
        </w:numPr>
        <w:ind w:left="357" w:hanging="357"/>
        <w:spacing w:line="360" w:lineRule="auto"/>
        <w:tabs>
          <w:tab w:val="left" w:pos="360" w:leader="none"/>
        </w:tabs>
        <w:rPr>
          <w:color w:val="auto"/>
          <w:sz w:val="24"/>
          <w:highlight w:val="none"/>
        </w:rPr>
        <w:outlineLvl w:val="1"/>
      </w:pPr>
      <w:r>
        <w:rPr>
          <w:color w:val="auto"/>
          <w:sz w:val="24"/>
          <w:highlight w:val="none"/>
        </w:rPr>
        <w:t xml:space="preserve">确定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color w:val="auto"/>
          <w:sz w:val="24"/>
          <w:highlight w:val="none"/>
        </w:rPr>
        <w:t xml:space="preserve">成交供应商</w:t>
      </w:r>
      <w:r/>
    </w:p>
    <w:p>
      <w:pPr>
        <w:numPr>
          <w:ilvl w:val="1"/>
          <w:numId w:val="3"/>
        </w:numPr>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采购人在收到单一来源采购人员编写的协商情况记录后，确定成交供应商。</w:t>
      </w:r>
      <w:r/>
    </w:p>
    <w:p>
      <w:pPr>
        <w:numPr>
          <w:ilvl w:val="0"/>
          <w:numId w:val="3"/>
        </w:numPr>
        <w:ind w:left="357" w:hanging="357"/>
        <w:spacing w:line="360" w:lineRule="auto"/>
        <w:tabs>
          <w:tab w:val="left" w:pos="360" w:leader="none"/>
        </w:tabs>
        <w:rPr>
          <w:color w:val="auto"/>
          <w:sz w:val="24"/>
          <w:highlight w:val="none"/>
        </w:rPr>
        <w:outlineLvl w:val="1"/>
      </w:pPr>
      <w:r/>
      <w:bookmarkStart w:id="591" w:name="_Toc305158817"/>
      <w:r/>
      <w:bookmarkStart w:id="592" w:name="_Toc305158891"/>
      <w:r/>
      <w:bookmarkStart w:id="593" w:name="_Toc265228387"/>
      <w:r/>
      <w:bookmarkStart w:id="594" w:name="_Toc151193791"/>
      <w:r/>
      <w:bookmarkStart w:id="595" w:name="_Toc150774649"/>
      <w:r/>
      <w:bookmarkStart w:id="596" w:name="_Toc226309793"/>
      <w:r/>
      <w:bookmarkStart w:id="597" w:name="_Toc127161463"/>
      <w:r/>
      <w:bookmarkStart w:id="598" w:name="_Toc127151750"/>
      <w:r/>
      <w:bookmarkStart w:id="599" w:name="_Toc164351643"/>
      <w:r/>
      <w:bookmarkStart w:id="600" w:name="_Toc142311051"/>
      <w:r/>
      <w:bookmarkStart w:id="601" w:name="_Toc127151549"/>
      <w:r/>
      <w:bookmarkStart w:id="602" w:name="_Toc151193719"/>
      <w:r/>
      <w:bookmarkStart w:id="603" w:name="_Toc150509300"/>
      <w:r/>
      <w:bookmarkStart w:id="604" w:name="_Toc151193863"/>
      <w:r/>
      <w:bookmarkStart w:id="605" w:name="_Toc226965822"/>
      <w:r/>
      <w:bookmarkStart w:id="606" w:name="_Toc264969239"/>
      <w:r/>
      <w:bookmarkStart w:id="607" w:name="_Toc164608663"/>
      <w:r/>
      <w:bookmarkStart w:id="608" w:name="_Toc150480787"/>
      <w:r/>
      <w:bookmarkStart w:id="609" w:name="_Toc149720842"/>
      <w:r/>
      <w:bookmarkStart w:id="610" w:name="_Toc151193647"/>
      <w:r/>
      <w:bookmarkStart w:id="611" w:name="_Toc150774754"/>
      <w:r/>
      <w:bookmarkStart w:id="612" w:name="_Toc164608818"/>
      <w:r/>
      <w:bookmarkStart w:id="613" w:name="_Toc151190176"/>
      <w:r/>
      <w:bookmarkStart w:id="614" w:name="_Toc164229244"/>
      <w:r/>
      <w:bookmarkStart w:id="615" w:name="_Toc195842914"/>
      <w:r/>
      <w:bookmarkStart w:id="616" w:name="_Toc226337245"/>
      <w:r/>
      <w:bookmarkStart w:id="617" w:name="_Toc151193937"/>
      <w:r/>
      <w:bookmarkStart w:id="618" w:name="_Toc164229390"/>
      <w:r/>
      <w:bookmarkStart w:id="619" w:name="_Toc226965739"/>
      <w:r/>
      <w:bookmarkStart w:id="620" w:name="_Ref467306425"/>
      <w:r/>
      <w:bookmarkStart w:id="621" w:name="_Toc520356176"/>
      <w:r/>
      <w:bookmarkStart w:id="622" w:name="_Ref467307090"/>
      <w:r>
        <w:rPr>
          <w:color w:val="auto"/>
          <w:sz w:val="24"/>
          <w:highlight w:val="none"/>
        </w:rPr>
        <w:t xml:space="preserve">成交公告与成交通知书</w:t>
      </w:r>
      <w:bookmarkEnd w:id="591"/>
      <w:r/>
      <w:bookmarkEnd w:id="592"/>
      <w:r/>
      <w:r/>
    </w:p>
    <w:p>
      <w:pPr>
        <w:numPr>
          <w:ilvl w:val="1"/>
          <w:numId w:val="3"/>
        </w:numPr>
        <w:ind w:left="1134" w:hanging="708"/>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采购人或采购代理机构自成交供应商确定后2个工作日内，在常州市政府采购网公告成交结果，同时向成交供应商发出成交通知书，成交公告期限为1个工作日。</w:t>
      </w:r>
      <w:r/>
    </w:p>
    <w:p>
      <w:pPr>
        <w:numPr>
          <w:ilvl w:val="1"/>
          <w:numId w:val="3"/>
        </w:numPr>
        <w:ind w:left="1134" w:hanging="708"/>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成交通知书对采购人和成交供应商具有同等法律效力。成交通知书发出后，采购人改变成交结果的，或者成交供应商放弃成交项目的，应当依法承担法律责任。</w:t>
      </w:r>
      <w:r/>
    </w:p>
    <w:p>
      <w:pPr>
        <w:numPr>
          <w:ilvl w:val="0"/>
          <w:numId w:val="7"/>
        </w:numPr>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出现下列情形之一的，采购人或采购代理机构将终止采购活动，发布项目终止公告并说明原因，重新开展采购活动：</w:t>
      </w:r>
      <w:r/>
    </w:p>
    <w:p>
      <w:pPr>
        <w:numPr>
          <w:ilvl w:val="2"/>
          <w:numId w:val="7"/>
        </w:numPr>
        <w:spacing w:line="360" w:lineRule="auto"/>
        <w:rPr>
          <w:color w:val="auto"/>
          <w:sz w:val="24"/>
          <w:highlight w:val="none"/>
        </w:rPr>
      </w:pPr>
      <w:r>
        <w:rPr>
          <w:color w:val="auto"/>
          <w:sz w:val="24"/>
          <w:highlight w:val="none"/>
        </w:rPr>
        <w:t xml:space="preserve">因情况变化，不再符合规定的单一来源采购方式适用情形的；</w:t>
      </w:r>
      <w:r/>
    </w:p>
    <w:p>
      <w:pPr>
        <w:numPr>
          <w:ilvl w:val="2"/>
          <w:numId w:val="7"/>
        </w:numPr>
        <w:spacing w:line="360" w:lineRule="auto"/>
        <w:rPr>
          <w:color w:val="auto"/>
          <w:sz w:val="24"/>
          <w:highlight w:val="none"/>
        </w:rPr>
      </w:pPr>
      <w:r>
        <w:rPr>
          <w:color w:val="auto"/>
          <w:sz w:val="24"/>
          <w:highlight w:val="none"/>
        </w:rPr>
        <w:t xml:space="preserve">出现影响采购公正的违法、违规行为的；</w:t>
      </w:r>
      <w:r/>
    </w:p>
    <w:p>
      <w:pPr>
        <w:numPr>
          <w:ilvl w:val="2"/>
          <w:numId w:val="7"/>
        </w:numPr>
        <w:spacing w:line="360" w:lineRule="auto"/>
        <w:rPr>
          <w:color w:val="auto"/>
          <w:sz w:val="24"/>
          <w:highlight w:val="none"/>
        </w:rPr>
      </w:pPr>
      <w:r>
        <w:rPr>
          <w:color w:val="auto"/>
          <w:sz w:val="24"/>
          <w:highlight w:val="none"/>
        </w:rPr>
        <w:t xml:space="preserve">报价超过采购预算的。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p>
    <w:p>
      <w:pPr>
        <w:numPr>
          <w:ilvl w:val="0"/>
          <w:numId w:val="7"/>
        </w:numPr>
        <w:ind w:left="357" w:hanging="357"/>
        <w:spacing w:line="360" w:lineRule="auto"/>
        <w:tabs>
          <w:tab w:val="left" w:pos="360" w:leader="none"/>
        </w:tabs>
        <w:rPr>
          <w:color w:val="auto"/>
          <w:sz w:val="24"/>
          <w:highlight w:val="none"/>
        </w:rPr>
        <w:outlineLvl w:val="1"/>
      </w:pPr>
      <w:r/>
      <w:bookmarkStart w:id="623" w:name="_Toc151193720"/>
      <w:r/>
      <w:bookmarkStart w:id="624" w:name="_Toc150480788"/>
      <w:r/>
      <w:bookmarkStart w:id="625" w:name="_Toc151193938"/>
      <w:r/>
      <w:bookmarkStart w:id="626" w:name="_Toc164608819"/>
      <w:r/>
      <w:bookmarkStart w:id="627" w:name="_Toc149720843"/>
      <w:r/>
      <w:bookmarkStart w:id="628" w:name="_Toc265228388"/>
      <w:r/>
      <w:bookmarkStart w:id="629" w:name="_Toc151193648"/>
      <w:r/>
      <w:bookmarkStart w:id="630" w:name="_Ref467306978"/>
      <w:r/>
      <w:bookmarkStart w:id="631" w:name="_Toc305158818"/>
      <w:r/>
      <w:bookmarkStart w:id="632" w:name="_Toc305158892"/>
      <w:r/>
      <w:bookmarkStart w:id="633" w:name="_Toc195842915"/>
      <w:r/>
      <w:bookmarkStart w:id="634" w:name="_Toc226965823"/>
      <w:r/>
      <w:bookmarkStart w:id="635" w:name="_Toc151193792"/>
      <w:r/>
      <w:bookmarkStart w:id="636" w:name="_Toc127151550"/>
      <w:r/>
      <w:bookmarkStart w:id="637" w:name="_Toc164351644"/>
      <w:r/>
      <w:bookmarkStart w:id="638" w:name="_Toc520356175"/>
      <w:r/>
      <w:bookmarkStart w:id="639" w:name="_Ref467307204"/>
      <w:r/>
      <w:bookmarkStart w:id="640" w:name="_Ref467306377"/>
      <w:r/>
      <w:bookmarkStart w:id="641" w:name="_Toc150774755"/>
      <w:r/>
      <w:bookmarkStart w:id="642" w:name="_Toc151193864"/>
      <w:r/>
      <w:bookmarkStart w:id="643" w:name="_Toc150774650"/>
      <w:r/>
      <w:bookmarkStart w:id="644" w:name="_Toc150509301"/>
      <w:r/>
      <w:bookmarkStart w:id="645" w:name="_Toc226965740"/>
      <w:r/>
      <w:bookmarkStart w:id="646" w:name="_Toc127161464"/>
      <w:r/>
      <w:bookmarkStart w:id="647" w:name="_Toc164229391"/>
      <w:r/>
      <w:bookmarkStart w:id="648" w:name="_Toc226337246"/>
      <w:r/>
      <w:bookmarkStart w:id="649" w:name="_Toc164608664"/>
      <w:r/>
      <w:bookmarkStart w:id="650" w:name="_Toc264969240"/>
      <w:r/>
      <w:bookmarkStart w:id="651" w:name="_Toc127151751"/>
      <w:r/>
      <w:bookmarkStart w:id="652" w:name="_Toc226309794"/>
      <w:r/>
      <w:bookmarkStart w:id="653" w:name="_Ref467307062"/>
      <w:r/>
      <w:bookmarkStart w:id="654" w:name="_Toc142311052"/>
      <w:r/>
      <w:bookmarkStart w:id="655" w:name="_Toc164229245"/>
      <w:r/>
      <w:bookmarkStart w:id="656" w:name="_Toc151190177"/>
      <w:r>
        <w:rPr>
          <w:color w:val="auto"/>
          <w:sz w:val="24"/>
          <w:highlight w:val="none"/>
        </w:rPr>
        <w:t xml:space="preserve">签订合同</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采购人与成交供应商应当自成交通知书发出之日起30日内，按照单一来源采购文件确定的合同文本以及采购标的、规格型号、采购金额、采购数量、技术和服务要求等事项签订政府采购合同。</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成交供应商拒绝签订政府采购合同的，采购人可以重新开展采购活动。拒绝签订政府采购合同的成交供应商不得参加对该项目重新开展的采购活动。</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联合体成交的，联合体各方应当共同与采购人签订合同，就成交项目向采购人承担连带责任。</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政府采购合同不能转包。</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响应无效</w:t>
      </w:r>
      <w:r>
        <w:rPr>
          <w:color w:val="auto"/>
          <w:sz w:val="24"/>
          <w:highlight w:val="none"/>
        </w:rPr>
        <w:t xml:space="preserve">。成交供应商就采购项目和分包项目向采购人负责，分包供应商就分包项目承担责任。</w:t>
      </w:r>
      <w:bookmarkEnd w:id="620"/>
      <w:bookmarkEnd w:id="621"/>
      <w:bookmarkEnd w:id="622"/>
      <w:r/>
    </w:p>
    <w:p>
      <w:pPr>
        <w:numPr>
          <w:ilvl w:val="0"/>
          <w:numId w:val="7"/>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询问</w:t>
      </w:r>
      <w:r/>
    </w:p>
    <w:p>
      <w:pPr>
        <w:numPr>
          <w:ilvl w:val="2"/>
          <w:numId w:val="7"/>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7"/>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质疑</w:t>
      </w:r>
      <w:r/>
    </w:p>
    <w:p>
      <w:pPr>
        <w:numPr>
          <w:ilvl w:val="2"/>
          <w:numId w:val="7"/>
        </w:numPr>
        <w:spacing w:line="360" w:lineRule="auto"/>
        <w:rPr>
          <w:rFonts w:hint="eastAsia"/>
          <w:color w:val="auto"/>
          <w:sz w:val="24"/>
          <w:highlight w:val="none"/>
        </w:rPr>
      </w:pPr>
      <w:r>
        <w:rPr>
          <w:color w:val="auto"/>
          <w:sz w:val="24"/>
          <w:highlight w:val="none"/>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7"/>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t xml:space="preserve">http://gk</w:t>
      </w:r>
      <w:bookmarkStart w:id="657" w:name="_Hlt100654014"/>
      <w:r>
        <w:rPr>
          <w:color w:val="auto"/>
          <w:highlight w:val="none"/>
        </w:rPr>
        <w:t xml:space="preserve">s</w:t>
      </w:r>
      <w:bookmarkEnd w:id="657"/>
      <w:r>
        <w:rPr>
          <w:color w:val="auto"/>
          <w:highlight w:val="none"/>
        </w:rPr>
        <w:t xml:space="preserve">.m</w:t>
      </w:r>
      <w:bookmarkStart w:id="658" w:name="_Hlt100653994"/>
      <w:r/>
      <w:bookmarkStart w:id="659" w:name="_Hlt100653993"/>
      <w:r>
        <w:rPr>
          <w:color w:val="auto"/>
          <w:highlight w:val="none"/>
        </w:rPr>
        <w:t xml:space="preserve">o</w:t>
      </w:r>
      <w:bookmarkEnd w:id="658"/>
      <w:r/>
      <w:bookmarkEnd w:id="659"/>
      <w:r>
        <w:rPr>
          <w:color w:val="auto"/>
          <w:highlight w:val="none"/>
        </w:rPr>
        <w:t xml:space="preserve">f.gov.cn/ztztz/zhengfucaigouguanli/201802/t20180201_2804589.htm</w:t>
      </w:r>
      <w:r>
        <w:rPr>
          <w:rFonts w:hint="eastAsia"/>
          <w:color w:val="auto"/>
          <w:highlight w:val="none"/>
        </w:rPr>
        <w:t xml:space="preserve">）</w:t>
      </w:r>
      <w:r/>
    </w:p>
    <w:p>
      <w:pPr>
        <w:numPr>
          <w:ilvl w:val="2"/>
          <w:numId w:val="7"/>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7"/>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p>
    <w:p>
      <w:pPr>
        <w:numPr>
          <w:ilvl w:val="0"/>
          <w:numId w:val="7"/>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7"/>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收费对象、收费标准及缴纳时间见《供应商须知资料表》。由成交供应商支付的，成交供应商须一次性向采购代理机构缴纳代理费，供应商的报价应包含代理费用</w:t>
      </w:r>
      <w:bookmarkStart w:id="660" w:name="OLE_LINK29"/>
      <w:r/>
      <w:bookmarkStart w:id="661" w:name="OLE_LINK24"/>
      <w:r/>
      <w:bookmarkStart w:id="662" w:name="OLE_LINK36"/>
      <w:r>
        <w:rPr>
          <w:color w:val="auto"/>
          <w:sz w:val="24"/>
          <w:highlight w:val="none"/>
        </w:rPr>
        <w:t xml:space="preserve">及前期项目相关论证等费用</w:t>
      </w:r>
      <w:bookmarkEnd w:id="660"/>
      <w:r/>
      <w:bookmarkEnd w:id="661"/>
      <w:r/>
      <w:bookmarkEnd w:id="662"/>
      <w:r>
        <w:rPr>
          <w:color w:val="auto"/>
          <w:sz w:val="24"/>
          <w:highlight w:val="none"/>
        </w:rPr>
        <w:t xml:space="preserve">。</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Start w:id="663" w:name="_Hlt487972895"/>
      <w:r/>
      <w:bookmarkEnd w:id="663"/>
      <w:r/>
      <w:bookmarkStart w:id="664" w:name="_Hlt522424701"/>
      <w:r/>
      <w:bookmarkEnd w:id="664"/>
      <w:r/>
      <w:bookmarkStart w:id="665" w:name="_Hlt487900425"/>
      <w:r/>
      <w:bookmarkEnd w:id="665"/>
      <w:r/>
      <w:bookmarkStart w:id="666" w:name="_Toc353873940"/>
      <w:r/>
      <w:bookmarkStart w:id="667" w:name="_Toc127151779"/>
      <w:r/>
      <w:bookmarkStart w:id="668" w:name="_Toc226965858"/>
      <w:r/>
      <w:bookmarkStart w:id="669" w:name="_Toc353825550"/>
      <w:r/>
      <w:bookmarkStart w:id="670" w:name="_Toc127161490"/>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671" w:name="_Toc195012921"/>
      <w:r>
        <w:rPr>
          <w:b/>
          <w:color w:val="auto"/>
          <w:sz w:val="36"/>
          <w:szCs w:val="36"/>
          <w:highlight w:val="none"/>
        </w:rPr>
        <w:t xml:space="preserve">第三章   </w:t>
      </w:r>
      <w:bookmarkEnd w:id="666"/>
      <w:r/>
      <w:bookmarkEnd w:id="667"/>
      <w:r/>
      <w:bookmarkEnd w:id="668"/>
      <w:r/>
      <w:bookmarkEnd w:id="669"/>
      <w:r/>
      <w:bookmarkEnd w:id="670"/>
      <w:r/>
      <w:bookmarkStart w:id="672" w:name="_Hlt164229061"/>
      <w:r/>
      <w:bookmarkEnd w:id="672"/>
      <w:r>
        <w:rPr>
          <w:b/>
          <w:color w:val="auto"/>
          <w:sz w:val="36"/>
          <w:szCs w:val="36"/>
          <w:highlight w:val="none"/>
        </w:rPr>
        <w:t xml:space="preserve">协商程序</w:t>
      </w:r>
      <w:bookmarkEnd w:id="671"/>
      <w:r>
        <w:rPr>
          <w:b/>
          <w:color w:val="auto"/>
          <w:sz w:val="36"/>
          <w:szCs w:val="36"/>
          <w:highlight w:val="none"/>
        </w:rPr>
        <w:t xml:space="preserve"> </w:t>
      </w:r>
      <w:r/>
    </w:p>
    <w:p>
      <w:pPr>
        <w:tabs>
          <w:tab w:val="left" w:pos="1080" w:leader="none"/>
        </w:tabs>
        <w:rPr>
          <w:color w:val="auto"/>
          <w:sz w:val="24"/>
          <w:highlight w:val="none"/>
        </w:rPr>
      </w:pPr>
      <w:r>
        <w:rPr>
          <w:color w:val="auto"/>
          <w:sz w:val="24"/>
          <w:highlight w:val="none"/>
        </w:rPr>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响应文件的资格审查和符合性审查</w:t>
      </w:r>
      <w:r/>
    </w:p>
    <w:p>
      <w:pPr>
        <w:numPr>
          <w:ilvl w:val="1"/>
          <w:numId w:val="8"/>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单一来源采购人员将根据《资格审查要求》和《符合性审查要求》中规定的审查因素和审查内容，对供应商进行审查，并形成审查记录。</w:t>
      </w:r>
      <w:r/>
    </w:p>
    <w:p>
      <w:pPr>
        <w:numPr>
          <w:ilvl w:val="1"/>
          <w:numId w:val="8"/>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《资格审查要求》和《符合性审查要求》中对格式有要求的，除单一来源采购文件另有规定外，均为“实质性格式”文件。未实质性响应</w:t>
      </w:r>
      <w:r>
        <w:rPr>
          <w:rFonts w:hint="eastAsia"/>
          <w:color w:val="auto"/>
          <w:sz w:val="24"/>
          <w:highlight w:val="none"/>
        </w:rPr>
        <w:t xml:space="preserve">单一来源采购</w:t>
      </w:r>
      <w:r>
        <w:rPr>
          <w:color w:val="auto"/>
          <w:sz w:val="24"/>
          <w:highlight w:val="none"/>
        </w:rPr>
        <w:t xml:space="preserve">文件的响应文件按</w:t>
      </w:r>
      <w:r>
        <w:rPr>
          <w:b/>
          <w:color w:val="auto"/>
          <w:sz w:val="24"/>
          <w:highlight w:val="none"/>
        </w:rPr>
        <w:t xml:space="preserve">无效响应</w:t>
      </w:r>
      <w:r>
        <w:rPr>
          <w:color w:val="auto"/>
          <w:sz w:val="24"/>
          <w:highlight w:val="none"/>
        </w:rPr>
        <w:t xml:space="preserve">处理，</w:t>
      </w:r>
      <w:r>
        <w:rPr>
          <w:rFonts w:hint="eastAsia"/>
          <w:color w:val="auto"/>
          <w:sz w:val="24"/>
          <w:highlight w:val="none"/>
        </w:rPr>
        <w:t xml:space="preserve">协商</w:t>
      </w:r>
      <w:r>
        <w:rPr>
          <w:color w:val="auto"/>
          <w:sz w:val="24"/>
          <w:highlight w:val="none"/>
        </w:rPr>
        <w:t xml:space="preserve">小组应当告知提交响应文件的供应商。</w:t>
      </w:r>
      <w:r/>
    </w:p>
    <w:p>
      <w:pPr>
        <w:numPr>
          <w:ilvl w:val="1"/>
          <w:numId w:val="8"/>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《资格审查要求》见下表：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资格审查要求</w:t>
      </w:r>
      <w:r/>
    </w:p>
    <w:tbl>
      <w:tblPr>
        <w:tblStyle w:val="90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38"/>
        <w:gridCol w:w="4591"/>
        <w:gridCol w:w="1952"/>
      </w:tblGrid>
      <w:tr>
        <w:trPr>
          <w:cantSplit/>
          <w:trHeight w:val="20"/>
          <w:tblHeader/>
        </w:trPr>
        <w:tc>
          <w:tcPr>
            <w:tcW w:w="37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序号</w:t>
            </w:r>
            <w:r/>
          </w:p>
        </w:tc>
        <w:tc>
          <w:tcPr>
            <w:tcW w:w="101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3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077"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3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14"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3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1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2532"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3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1014" w:type="dxa"/>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2532"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查询渠道：信用中国网站和中国政府采购网(www.creditchina.gov.cn</w:t>
            </w:r>
            <w:r>
              <w:rPr>
                <w:rFonts w:hint="eastAsia"/>
                <w:color w:val="auto"/>
                <w:sz w:val="24"/>
                <w:highlight w:val="none"/>
              </w:rPr>
              <w:t xml:space="preserve">､</w:t>
            </w:r>
            <w:r>
              <w:rPr>
                <w:color w:val="auto"/>
                <w:sz w:val="24"/>
                <w:highlight w:val="none"/>
              </w:rPr>
              <w:t xml:space="preserve">www.ccgp.gov.cn);</w:t>
            </w:r>
            <w:r/>
          </w:p>
          <w:p>
            <w:pPr>
              <w:tabs>
                <w:tab w:val="left" w:pos="10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10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14"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3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698" w:type="dxa"/>
            <w:vAlign w:val="center"/>
            <w:textDirection w:val="lrTb"/>
            <w:noWrap w:val="false"/>
          </w:tcPr>
          <w:p>
            <w:pPr>
              <w:tabs>
                <w:tab w:val="left" w:pos="1080" w:leader="none"/>
              </w:tabs>
              <w:rPr>
                <w:color w:val="auto"/>
                <w:sz w:val="24"/>
                <w:highlight w:val="none"/>
              </w:rPr>
            </w:pPr>
            <w:r>
              <w:rPr>
                <w:rFonts w:ascii="宋体" w:hAnsi="宋体"/>
                <w:color w:val="auto"/>
                <w:sz w:val="24"/>
                <w:highlight w:val="none"/>
              </w:rPr>
              <w:t xml:space="preserve">2-1</w:t>
            </w:r>
            <w:r/>
          </w:p>
        </w:tc>
        <w:tc>
          <w:tcPr>
            <w:tcW w:w="1884" w:type="dxa"/>
            <w:vAlign w:val="center"/>
            <w:textDirection w:val="lrTb"/>
            <w:noWrap w:val="false"/>
          </w:tcPr>
          <w:p>
            <w:pPr>
              <w:tabs>
                <w:tab w:val="left" w:pos="1080" w:leader="none"/>
              </w:tabs>
              <w:rPr>
                <w:color w:val="auto"/>
                <w:sz w:val="24"/>
                <w:highlight w:val="none"/>
              </w:rPr>
            </w:pPr>
            <w:r>
              <w:rPr>
                <w:rFonts w:ascii="宋体" w:hAnsi="宋体"/>
                <w:color w:val="auto"/>
                <w:sz w:val="24"/>
                <w:highlight w:val="none"/>
              </w:rPr>
              <w:t xml:space="preserve">中小企业声明函</w:t>
            </w:r>
            <w:r/>
          </w:p>
        </w:tc>
        <w:tc>
          <w:tcPr>
            <w:tcW w:w="4705" w:type="dxa"/>
            <w:vAlign w:val="center"/>
            <w:textDirection w:val="lrTb"/>
            <w:noWrap w:val="false"/>
          </w:tcPr>
          <w:p>
            <w:pPr>
              <w:tabs>
                <w:tab w:val="left" w:pos="1080" w:leader="none"/>
              </w:tabs>
              <w:rPr>
                <w:b/>
                <w:color w:val="auto"/>
                <w:sz w:val="24"/>
                <w:highlight w:val="none"/>
              </w:rPr>
            </w:pPr>
            <w:r>
              <w:rPr>
                <w:rFonts w:hint="eastAsia" w:ascii="宋体" w:hAnsi="宋体"/>
                <w:color w:val="auto"/>
                <w:sz w:val="24"/>
                <w:highlight w:val="none"/>
              </w:rPr>
              <w:t xml:space="preserve">本项目不专门面向中小企业采购。</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color w:val="auto"/>
                <w:sz w:val="24"/>
                <w:highlight w:val="none"/>
              </w:rPr>
            </w:pPr>
            <w:r>
              <w:rPr>
                <w:color w:val="auto"/>
                <w:sz w:val="24"/>
                <w:highlight w:val="none"/>
              </w:rPr>
              <w:t xml:space="preserve">2-</w:t>
            </w:r>
            <w:r>
              <w:rPr>
                <w:rFonts w:hint="eastAsia"/>
                <w:color w:val="auto"/>
                <w:sz w:val="24"/>
                <w:highlight w:val="none"/>
              </w:rPr>
              <w:t xml:space="preserve">2</w:t>
            </w:r>
            <w:r/>
          </w:p>
        </w:tc>
        <w:tc>
          <w:tcPr>
            <w:tcW w:w="1014" w:type="dxa"/>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3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w:t>
            </w:r>
            <w:r>
              <w:rPr>
                <w:rFonts w:hint="eastAsia"/>
                <w:color w:val="auto"/>
                <w:sz w:val="24"/>
                <w:highlight w:val="none"/>
              </w:rPr>
              <w:t xml:space="preserve">扫描件加盖公章</w:t>
            </w:r>
            <w:r/>
          </w:p>
        </w:tc>
      </w:tr>
      <w:tr>
        <w:trPr>
          <w:cantSplit/>
          <w:trHeight w:val="20"/>
        </w:trPr>
        <w:tc>
          <w:tcPr>
            <w:tcW w:w="3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14"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3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14"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是否接受联合体响应</w:t>
            </w:r>
            <w:r/>
          </w:p>
        </w:tc>
        <w:tc>
          <w:tcPr>
            <w:tcW w:w="253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w:t>
            </w:r>
            <w:r/>
          </w:p>
        </w:tc>
        <w:tc>
          <w:tcPr>
            <w:tcW w:w="1077"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14"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4705" w:type="dxa"/>
            <w:vAlign w:val="center"/>
            <w:textDirection w:val="lrTb"/>
            <w:noWrap w:val="false"/>
          </w:tcPr>
          <w:p>
            <w:pPr>
              <w:tabs>
                <w:tab w:val="left" w:pos="1080"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lang w:val="en-US" w:eastAsia="zh-CN"/>
              </w:rPr>
              <w:t xml:space="preserve">供应商</w:t>
            </w:r>
            <w:r>
              <w:rPr>
                <w:rFonts w:hint="eastAsia" w:ascii="Times New Roman" w:hAnsi="Times New Roman" w:eastAsia="宋体" w:cs="Times New Roman"/>
                <w:color w:val="auto"/>
                <w:sz w:val="24"/>
                <w:highlight w:val="none"/>
              </w:rPr>
              <w:t xml:space="preserve">具备生态环境部门核发的有效《危险废物经营许可证》（经营范围包含：处置医疗废物HW01,841-001-01,841-002-01）；</w:t>
            </w:r>
            <w:r/>
          </w:p>
          <w:p>
            <w:pPr>
              <w:tabs>
                <w:tab w:val="left" w:pos="1080" w:leader="none"/>
              </w:tabs>
              <w:rPr>
                <w:color w:val="auto"/>
                <w:sz w:val="24"/>
                <w:highlight w:val="none"/>
              </w:rPr>
            </w:pPr>
            <w:r>
              <w:rPr>
                <w:rFonts w:hint="eastAsia"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lang w:val="en-US" w:eastAsia="zh-CN"/>
              </w:rPr>
              <w:t xml:space="preserve">供应商</w:t>
            </w:r>
            <w:r>
              <w:rPr>
                <w:rFonts w:hint="eastAsia" w:ascii="Times New Roman" w:hAnsi="Times New Roman" w:eastAsia="宋体" w:cs="Times New Roman"/>
                <w:color w:val="auto"/>
                <w:sz w:val="24"/>
                <w:highlight w:val="none"/>
              </w:rPr>
              <w:t xml:space="preserve">自行运输医疗废物的，须具备有效的《道路危险货物运输许可证》（包含医疗废物、危险废物）；如委托第三方运输，须提供与运输方的有效合同或委托证明及运输方有效的《道路危险货物运输许可证》（包含医疗废物、危险废物）。</w:t>
            </w:r>
            <w:r/>
          </w:p>
        </w:tc>
        <w:tc>
          <w:tcPr>
            <w:tcW w:w="2001"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提供证明材料扫描件加盖电子公章</w:t>
            </w:r>
            <w:r/>
          </w:p>
        </w:tc>
      </w:tr>
    </w:tbl>
    <w:p>
      <w:pPr>
        <w:jc w:val="left"/>
        <w:widowControl/>
        <w:rPr>
          <w:color w:val="auto"/>
          <w:sz w:val="24"/>
          <w:highlight w:val="none"/>
        </w:rPr>
      </w:pPr>
      <w:r>
        <w:rPr>
          <w:color w:val="auto"/>
          <w:sz w:val="24"/>
          <w:highlight w:val="none"/>
        </w:rPr>
      </w:r>
      <w:r/>
    </w:p>
    <w:p>
      <w:pPr>
        <w:numPr>
          <w:ilvl w:val="1"/>
          <w:numId w:val="8"/>
        </w:numPr>
        <w:ind w:left="1077" w:hanging="720"/>
        <w:spacing w:line="360" w:lineRule="auto"/>
        <w:tabs>
          <w:tab w:val="left" w:pos="1080" w:leader="none"/>
          <w:tab w:val="left" w:pos="1589" w:leader="none"/>
        </w:tabs>
        <w:rPr>
          <w:color w:val="auto"/>
          <w:sz w:val="24"/>
          <w:highlight w:val="none"/>
        </w:rPr>
      </w:pPr>
      <w:r>
        <w:rPr>
          <w:color w:val="auto"/>
          <w:sz w:val="24"/>
          <w:highlight w:val="none"/>
        </w:rPr>
        <w:br w:type="page" w:clear="all"/>
      </w:r>
      <w:r>
        <w:rPr>
          <w:color w:val="auto"/>
          <w:sz w:val="24"/>
          <w:highlight w:val="none"/>
        </w:rPr>
        <w:t xml:space="preserve">《符合性审查要求》见下表：</w:t>
      </w:r>
      <w:r/>
    </w:p>
    <w:p>
      <w:pPr>
        <w:jc w:val="center"/>
        <w:rPr>
          <w:b/>
          <w:color w:val="auto"/>
          <w:sz w:val="24"/>
          <w:highlight w:val="none"/>
        </w:rPr>
      </w:pPr>
      <w:r>
        <w:rPr>
          <w:b/>
          <w:color w:val="auto"/>
          <w:sz w:val="24"/>
          <w:highlight w:val="none"/>
        </w:rPr>
        <w:t xml:space="preserve">符合性审查要求</w:t>
      </w:r>
      <w:r/>
    </w:p>
    <w:tbl>
      <w:tblPr>
        <w:tblStyle w:val="9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807"/>
        <w:gridCol w:w="6442"/>
      </w:tblGrid>
      <w:tr>
        <w:trPr>
          <w:jc w:val="center"/>
          <w:trHeight w:val="300"/>
        </w:trPr>
        <w:tc>
          <w:tcPr>
            <w:tcW w:w="36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016"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2"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36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016"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响应函、法定代表人资格证明书和政府采购供应商信用承诺书</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按</w:t>
            </w:r>
            <w:r>
              <w:rPr>
                <w:rFonts w:hint="eastAsia"/>
                <w:color w:val="auto"/>
                <w:sz w:val="24"/>
                <w:highlight w:val="none"/>
              </w:rPr>
              <w:t xml:space="preserve">单一来源</w:t>
            </w:r>
            <w:r>
              <w:rPr>
                <w:color w:val="auto"/>
                <w:sz w:val="24"/>
                <w:highlight w:val="none"/>
              </w:rPr>
              <w:t xml:space="preserve">文件要求提供</w:t>
            </w:r>
            <w:r>
              <w:rPr>
                <w:rFonts w:hint="eastAsia"/>
                <w:color w:val="auto"/>
                <w:sz w:val="24"/>
                <w:highlight w:val="none"/>
              </w:rPr>
              <w:t xml:space="preserve">响应函、法定代表人资格证明书和政府采购供应商信用承诺书</w:t>
            </w:r>
            <w:r>
              <w:rPr>
                <w:color w:val="auto"/>
                <w:sz w:val="24"/>
                <w:highlight w:val="none"/>
              </w:rPr>
              <w:t xml:space="preserve">；</w:t>
            </w:r>
            <w:r/>
          </w:p>
        </w:tc>
      </w:tr>
      <w:tr>
        <w:trPr>
          <w:jc w:val="center"/>
          <w:trHeight w:val="642"/>
        </w:trPr>
        <w:tc>
          <w:tcPr>
            <w:tcW w:w="36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36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w:t>
            </w:r>
            <w:r>
              <w:rPr>
                <w:rFonts w:hint="eastAsia"/>
                <w:color w:val="auto"/>
                <w:sz w:val="24"/>
                <w:highlight w:val="none"/>
              </w:rPr>
              <w:t xml:space="preserve">单一来源</w:t>
            </w:r>
            <w:r>
              <w:rPr>
                <w:color w:val="auto"/>
                <w:sz w:val="24"/>
                <w:highlight w:val="none"/>
              </w:rPr>
              <w:t xml:space="preserve">文件中规定的项目/采购包预算金额或者项目/采购包最高限价；</w:t>
            </w:r>
            <w:r/>
          </w:p>
        </w:tc>
      </w:tr>
      <w:tr>
        <w:trPr>
          <w:jc w:val="center"/>
          <w:trHeight w:val="685"/>
        </w:trPr>
        <w:tc>
          <w:tcPr>
            <w:tcW w:w="36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未出现可选择性或可调整的报价（单一来源文件另有规定的除外）</w:t>
            </w:r>
            <w:r>
              <w:rPr>
                <w:color w:val="auto"/>
                <w:sz w:val="24"/>
                <w:highlight w:val="none"/>
              </w:rPr>
              <w:t xml:space="preserve">；</w:t>
            </w:r>
            <w:r/>
          </w:p>
        </w:tc>
      </w:tr>
      <w:tr>
        <w:trPr>
          <w:jc w:val="center"/>
          <w:trHeight w:val="685"/>
        </w:trPr>
        <w:tc>
          <w:tcPr>
            <w:tcW w:w="36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满足单一来源</w:t>
            </w:r>
            <w:r>
              <w:rPr>
                <w:color w:val="auto"/>
                <w:sz w:val="24"/>
                <w:highlight w:val="none"/>
              </w:rPr>
              <w:t xml:space="preserve">文件中载明的响应有效期的；</w:t>
            </w:r>
            <w:r/>
          </w:p>
        </w:tc>
      </w:tr>
      <w:tr>
        <w:trPr>
          <w:jc w:val="center"/>
          <w:trHeight w:val="685"/>
        </w:trPr>
        <w:tc>
          <w:tcPr>
            <w:tcW w:w="36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按照</w:t>
            </w:r>
            <w:r>
              <w:rPr>
                <w:rFonts w:hint="eastAsia"/>
                <w:color w:val="auto"/>
                <w:sz w:val="24"/>
                <w:highlight w:val="none"/>
              </w:rPr>
              <w:t xml:space="preserve">单一来源</w:t>
            </w:r>
            <w:r>
              <w:rPr>
                <w:color w:val="auto"/>
                <w:sz w:val="24"/>
                <w:highlight w:val="none"/>
              </w:rPr>
              <w:t xml:space="preserve">文件要求签署、加盖公章的；</w:t>
            </w:r>
            <w:r/>
          </w:p>
        </w:tc>
      </w:tr>
      <w:tr>
        <w:trPr>
          <w:jc w:val="center"/>
          <w:trHeight w:val="685"/>
        </w:trPr>
        <w:tc>
          <w:tcPr>
            <w:tcW w:w="36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016" w:type="dxa"/>
            <w:vAlign w:val="center"/>
            <w:textDirection w:val="lrTb"/>
            <w:noWrap w:val="false"/>
          </w:tcPr>
          <w:p>
            <w:pPr>
              <w:jc w:val="left"/>
              <w:widowControl/>
              <w:rPr>
                <w:color w:val="auto"/>
                <w:sz w:val="24"/>
                <w:highlight w:val="none"/>
              </w:rPr>
            </w:pPr>
            <w:r>
              <w:rPr>
                <w:rFonts w:hint="eastAsia"/>
                <w:color w:val="auto"/>
                <w:sz w:val="24"/>
                <w:highlight w:val="none"/>
              </w:rPr>
              <w:t xml:space="preserve">进口产品（如有）</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lang w:val="en-US" w:eastAsia="zh-CN"/>
              </w:rPr>
              <w:t xml:space="preserve">采购</w:t>
            </w:r>
            <w:r>
              <w:rPr>
                <w:rFonts w:hint="eastAsia"/>
                <w:color w:val="auto"/>
                <w:sz w:val="24"/>
                <w:highlight w:val="none"/>
              </w:rPr>
              <w:t xml:space="preserve">文件不接受进口产品投标的内容时，</w:t>
            </w:r>
            <w:r>
              <w:rPr>
                <w:rFonts w:hint="eastAsia"/>
                <w:color w:val="auto"/>
                <w:sz w:val="24"/>
                <w:highlight w:val="none"/>
                <w:lang w:val="en-US" w:eastAsia="zh-CN"/>
              </w:rPr>
              <w:t xml:space="preserve">供应商</w:t>
            </w:r>
            <w:r>
              <w:rPr>
                <w:rFonts w:hint="eastAsia"/>
                <w:color w:val="auto"/>
                <w:sz w:val="24"/>
                <w:highlight w:val="none"/>
              </w:rPr>
              <w:t xml:space="preserve">所投产品均为非进口产品。</w:t>
            </w:r>
            <w:r/>
          </w:p>
        </w:tc>
      </w:tr>
      <w:tr>
        <w:trPr>
          <w:jc w:val="center"/>
          <w:trHeight w:val="685"/>
        </w:trPr>
        <w:tc>
          <w:tcPr>
            <w:tcW w:w="360" w:type="dxa"/>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1016"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文件均按单一来源</w:t>
            </w:r>
            <w:r>
              <w:rPr>
                <w:color w:val="auto"/>
                <w:sz w:val="24"/>
                <w:highlight w:val="none"/>
              </w:rPr>
              <w:t xml:space="preserve">文件</w:t>
            </w:r>
            <w:r>
              <w:rPr>
                <w:rFonts w:hint="eastAsia"/>
                <w:color w:val="auto"/>
                <w:sz w:val="24"/>
                <w:highlight w:val="none"/>
              </w:rPr>
              <w:t xml:space="preserve">要求提供；</w:t>
            </w:r>
            <w:r/>
          </w:p>
        </w:tc>
      </w:tr>
      <w:tr>
        <w:trPr>
          <w:jc w:val="center"/>
          <w:trHeight w:val="685"/>
        </w:trPr>
        <w:tc>
          <w:tcPr>
            <w:tcW w:w="36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9</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36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10</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36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11</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国家有关部门对供应商的响应产品有强制性规定或要求的</w:t>
            </w:r>
            <w:r/>
          </w:p>
        </w:tc>
        <w:tc>
          <w:tcPr>
            <w:tcW w:w="3622" w:type="dxa"/>
            <w:vAlign w:val="center"/>
            <w:textDirection w:val="lrTb"/>
            <w:noWrap w:val="false"/>
          </w:tcPr>
          <w:p>
            <w:pPr>
              <w:jc w:val="left"/>
              <w:widowControl/>
              <w:rPr>
                <w:color w:val="auto"/>
                <w:sz w:val="24"/>
                <w:highlight w:val="none"/>
              </w:rPr>
            </w:pPr>
            <w:r>
              <w:rPr>
                <w:rFonts w:hint="eastAsia"/>
                <w:color w:val="auto"/>
                <w:sz w:val="24"/>
                <w:highlight w:val="none"/>
              </w:rPr>
              <w:t xml:space="preserve">国家有关部门对</w:t>
            </w:r>
            <w:r>
              <w:rPr>
                <w:rFonts w:hint="eastAsia"/>
                <w:color w:val="auto"/>
                <w:sz w:val="24"/>
                <w:highlight w:val="none"/>
                <w:lang w:eastAsia="zh-CN"/>
              </w:rPr>
              <w:t xml:space="preserve">供应商</w:t>
            </w:r>
            <w:r>
              <w:rPr>
                <w:rFonts w:hint="eastAsia"/>
                <w:color w:val="auto"/>
                <w:sz w:val="24"/>
                <w:highlight w:val="none"/>
              </w:rPr>
              <w:t xml:space="preserve">（供应商）的投标产品有强制性规定或要求的，如有下列情形的，</w:t>
            </w:r>
            <w:r>
              <w:rPr>
                <w:rFonts w:hint="eastAsia"/>
                <w:color w:val="auto"/>
                <w:sz w:val="24"/>
                <w:highlight w:val="none"/>
                <w:lang w:eastAsia="zh-CN"/>
              </w:rPr>
              <w:t xml:space="preserve">供应商</w:t>
            </w:r>
            <w:r>
              <w:rPr>
                <w:rFonts w:hint="eastAsia"/>
                <w:color w:val="auto"/>
                <w:sz w:val="24"/>
                <w:highlight w:val="none"/>
              </w:rPr>
              <w:t xml:space="preserve">（供应商）的投标产品应符合相应规定或要求，并提供证明文件电子件：1）采购的产品若属于《节能产品政府采购品目清单》范围中政府强制采购产品，则</w:t>
            </w:r>
            <w:r>
              <w:rPr>
                <w:rFonts w:hint="eastAsia"/>
                <w:color w:val="auto"/>
                <w:sz w:val="24"/>
                <w:highlight w:val="none"/>
                <w:lang w:eastAsia="zh-CN"/>
              </w:rPr>
              <w:t xml:space="preserve">供应商</w:t>
            </w:r>
            <w:r>
              <w:rPr>
                <w:rFonts w:hint="eastAsia"/>
                <w:color w:val="auto"/>
                <w:sz w:val="24"/>
                <w:highlight w:val="none"/>
              </w:rPr>
              <w:t xml:space="preserve">（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685"/>
        </w:trPr>
        <w:tc>
          <w:tcPr>
            <w:tcW w:w="36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12</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622" w:type="dxa"/>
            <w:vAlign w:val="center"/>
            <w:textDirection w:val="lrTb"/>
            <w:noWrap w:val="false"/>
          </w:tcPr>
          <w:p>
            <w:pPr>
              <w:jc w:val="left"/>
              <w:widowControl/>
              <w:rPr>
                <w:color w:val="auto"/>
                <w:sz w:val="24"/>
                <w:highlight w:val="none"/>
              </w:rPr>
            </w:pPr>
            <w:r/>
            <w:bookmarkStart w:id="673" w:name="OLE_LINK66"/>
            <w:r>
              <w:rPr>
                <w:color w:val="auto"/>
                <w:sz w:val="24"/>
                <w:highlight w:val="none"/>
              </w:rPr>
              <w:t xml:space="preserve">响应</w:t>
            </w:r>
            <w:bookmarkEnd w:id="673"/>
            <w:r>
              <w:rPr>
                <w:color w:val="auto"/>
                <w:sz w:val="24"/>
                <w:highlight w:val="none"/>
              </w:rPr>
              <w:t xml:space="preserve">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36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13</w:t>
            </w:r>
            <w:r/>
          </w:p>
        </w:tc>
        <w:tc>
          <w:tcPr>
            <w:tcW w:w="1016" w:type="dxa"/>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响应</w:t>
            </w:r>
            <w:r>
              <w:rPr>
                <w:rFonts w:hint="eastAsia"/>
                <w:color w:val="auto"/>
                <w:sz w:val="24"/>
                <w:highlight w:val="none"/>
              </w:rPr>
              <w:t xml:space="preserve">文件满足单一来源文件第四章《采购需求》中实质性条款（斜体且有下划线部分的、或者加“★”号的、或者以文字说明属于实质性要求的内容）要求的，逐项提供相关证明材料；</w:t>
            </w:r>
            <w:r/>
          </w:p>
        </w:tc>
      </w:tr>
      <w:tr>
        <w:trPr>
          <w:jc w:val="center"/>
          <w:trHeight w:val="685"/>
        </w:trPr>
        <w:tc>
          <w:tcPr>
            <w:tcW w:w="36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14</w:t>
            </w:r>
            <w:r/>
          </w:p>
        </w:tc>
        <w:tc>
          <w:tcPr>
            <w:tcW w:w="1016"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622" w:type="dxa"/>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w:t>
            </w:r>
            <w:r>
              <w:rPr>
                <w:rFonts w:hint="eastAsia"/>
                <w:color w:val="auto"/>
                <w:sz w:val="24"/>
                <w:highlight w:val="none"/>
              </w:rPr>
              <w:t xml:space="preserve">单一来源</w:t>
            </w:r>
            <w:r>
              <w:rPr>
                <w:color w:val="auto"/>
                <w:sz w:val="24"/>
                <w:highlight w:val="none"/>
              </w:rPr>
              <w:t xml:space="preserve">文件规定的其他无效情形。</w:t>
            </w:r>
            <w:r/>
          </w:p>
        </w:tc>
      </w:tr>
    </w:tbl>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响应文件有关事项的澄清、说明或更正</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单一来源采购人员在对响应文件的有效性、完整性和响应程度进行审查时，可以要求供应商作出必要的澄清、说明或者更正。</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color w:val="auto"/>
          <w:sz w:val="24"/>
          <w:highlight w:val="none"/>
        </w:rPr>
        <w:t xml:space="preserve">无效</w:t>
      </w:r>
      <w:r>
        <w:rPr>
          <w:color w:val="auto"/>
          <w:sz w:val="24"/>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color w:val="auto"/>
          <w:sz w:val="24"/>
          <w:highlight w:val="none"/>
        </w:rPr>
        <w:t xml:space="preserve">无效</w:t>
      </w:r>
      <w:r>
        <w:rPr>
          <w:color w:val="auto"/>
          <w:sz w:val="24"/>
          <w:highlight w:val="none"/>
        </w:rPr>
        <w:t xml:space="preserve">处理。</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商定合理价格</w:t>
      </w:r>
      <w:r/>
    </w:p>
    <w:p>
      <w:pPr>
        <w:pStyle w:val="1107"/>
        <w:numPr>
          <w:ilvl w:val="0"/>
          <w:numId w:val="9"/>
        </w:numPr>
        <w:spacing w:line="360" w:lineRule="auto"/>
        <w:tabs>
          <w:tab w:val="left" w:pos="1080" w:leader="none"/>
          <w:tab w:val="left" w:pos="5133"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1"/>
          <w:numId w:val="9"/>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单一来源采购人员与供应商商定合理的价格并保证采购项目质量。单一来源采购人员应当编写协商情况记录。</w:t>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pStyle w:val="1107"/>
        <w:numPr>
          <w:ilvl w:val="0"/>
          <w:numId w:val="9"/>
        </w:numPr>
        <w:spacing w:line="360" w:lineRule="auto"/>
        <w:tabs>
          <w:tab w:val="left" w:pos="1080" w:leader="none"/>
          <w:tab w:val="left" w:pos="5133"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单一来源采购人员在评审过程中发现供应商有行贿、提供虚假材料或者串通等违法行为时，有向采购人、采购代理机构或者有关部门报告的职责。</w:t>
      </w:r>
      <w:r/>
    </w:p>
    <w:p>
      <w:pPr>
        <w:spacing w:line="360" w:lineRule="auto"/>
        <w:tabs>
          <w:tab w:val="left" w:pos="1080" w:leader="none"/>
          <w:tab w:val="left" w:pos="5133" w:leader="none"/>
        </w:tabs>
        <w:rPr>
          <w:color w:val="auto"/>
          <w:sz w:val="24"/>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jc w:val="center"/>
        <w:spacing w:line="360" w:lineRule="auto"/>
        <w:rPr>
          <w:rFonts w:hint="eastAsia"/>
          <w:b/>
          <w:color w:val="auto"/>
          <w:sz w:val="36"/>
          <w:szCs w:val="36"/>
          <w:highlight w:val="none"/>
        </w:rPr>
        <w:outlineLvl w:val="0"/>
      </w:pPr>
      <w:r/>
      <w:bookmarkStart w:id="674" w:name="_Toc195012922"/>
      <w:r/>
      <w:bookmarkStart w:id="675" w:name="_Toc150774760"/>
      <w:r/>
      <w:bookmarkStart w:id="676" w:name="_Toc305158897"/>
      <w:r/>
      <w:bookmarkStart w:id="677" w:name="_Toc150480793"/>
      <w:r/>
      <w:bookmarkStart w:id="678" w:name="_Toc142311057"/>
      <w:r/>
      <w:bookmarkStart w:id="679" w:name="_Toc226337251"/>
      <w:r/>
      <w:bookmarkStart w:id="680" w:name="_Toc305158823"/>
      <w:r/>
      <w:bookmarkStart w:id="681" w:name="_Toc353873665"/>
      <w:r/>
      <w:bookmarkStart w:id="682" w:name="_Toc226965828"/>
      <w:r/>
      <w:bookmarkStart w:id="683" w:name="_Toc353825545"/>
      <w:r/>
      <w:bookmarkStart w:id="684" w:name="_Toc264969245"/>
      <w:r/>
      <w:bookmarkStart w:id="685" w:name="_Toc195842920"/>
      <w:r/>
      <w:bookmarkStart w:id="686" w:name="_Toc127151555"/>
      <w:r/>
      <w:bookmarkStart w:id="687" w:name="_Toc265228393"/>
      <w:r/>
      <w:bookmarkStart w:id="688" w:name="_Toc353873935"/>
      <w:r>
        <w:rPr>
          <w:b/>
          <w:color w:val="auto"/>
          <w:sz w:val="36"/>
          <w:szCs w:val="36"/>
          <w:highlight w:val="none"/>
        </w:rPr>
        <w:t xml:space="preserve">第四章   采购需求</w:t>
      </w:r>
      <w:bookmarkEnd w:id="674"/>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b/>
          <w:color w:val="auto"/>
          <w:sz w:val="24"/>
          <w:highlight w:val="none"/>
        </w:rPr>
        <w:t xml:space="preserve">一、</w:t>
      </w:r>
      <w:r>
        <w:rPr>
          <w:rFonts w:hint="eastAsia" w:ascii="宋体" w:hAnsi="宋体" w:cs="宋体"/>
          <w:b/>
          <w:color w:val="auto"/>
          <w:sz w:val="24"/>
          <w:highlight w:val="none"/>
        </w:rPr>
        <w:t xml:space="preserve">采购标的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常州市第一人民医院医疗废物处置及运输服务项目</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2.预算金额：1290.00万元/三年</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3.最高限价：医疗废物处置及运输费（不含病理性医废）最高单价限价为4300元/吨；病理性医废处置及转运费最高单价限价为62元/公斤（其中处置费不得超过50元/公斤，转运费不得超过12元/公斤）</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4.采购需求（简介）：</w:t>
      </w:r>
      <w:r>
        <w:rPr>
          <w:rFonts w:ascii="宋体" w:hAnsi="宋体" w:cs="宋体"/>
          <w:color w:val="auto"/>
          <w:sz w:val="24"/>
          <w:highlight w:val="none"/>
        </w:rPr>
        <w:t xml:space="preserve"> </w:t>
      </w:r>
      <w:r>
        <w:rPr>
          <w:rFonts w:hint="eastAsia" w:ascii="宋体" w:hAnsi="宋体"/>
          <w:color w:val="auto"/>
          <w:sz w:val="24"/>
          <w:highlight w:val="none"/>
        </w:rPr>
        <w:t xml:space="preserve">本项目为常州市第一人民医院医疗废物处置及运输服务项目。项目内容包括但不限于全院医疗废物的收集、运送、贮存、处置等；处置范围涵盖固体、液体、化学性、损伤性、病理性、体内植入物等多种医疗废物；年度预估处置量约950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宋体" w:hAnsi="宋体"/>
          <w:color w:val="auto"/>
          <w:sz w:val="24"/>
          <w:highlight w:val="none"/>
        </w:rPr>
        <w:t xml:space="preserve">服务期3年。合同一年一签，合同到期经采购人考核合格后签订下一期合同。</w:t>
      </w:r>
      <w:r>
        <w:rPr>
          <w:rFonts w:hint="eastAsia" w:ascii="宋体" w:hAnsi="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6.是/否接受联合体投标：不接收联合体投标</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8.是/否属于政府购买服务：否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9.是/否接受进口产品投标：是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10.是/否专门面向中小企业预留采购份额：否</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11.本项目的特定资格要求：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具备生态环境部门核发的有效《危险废物经营许可证》（经营范围包含：处置医疗废物HW01,841-001-01,841-002-01）；</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运输医疗废物的，须具备有效的《道路危险货物运输许可证》（包含医疗废物、危险废物）；如委托第三方运输，须提供与运输方的有效合同或委托证明及运输方有效的《道路危险货物运输许可证》（包含医疗废物、危险废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12.项目类别：</w:t>
      </w:r>
      <w:r>
        <w:rPr>
          <w:rFonts w:hint="eastAsia" w:ascii="宋体" w:hAnsi="宋体" w:cs="宋体"/>
          <w:bCs/>
          <w:color w:val="auto"/>
          <w:sz w:val="24"/>
          <w:highlight w:val="none"/>
          <w:lang w:val="en-US" w:eastAsia="zh-CN"/>
        </w:rPr>
        <w:t xml:space="preserve">服务</w:t>
      </w:r>
      <w:r>
        <w:rPr>
          <w:rFonts w:hint="eastAsia" w:ascii="宋体" w:hAnsi="宋体" w:cs="宋体"/>
          <w:bCs/>
          <w:color w:val="auto"/>
          <w:sz w:val="24"/>
          <w:highlight w:val="none"/>
        </w:rPr>
        <w:t xml:space="preserve">类</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rPr>
        <w:t xml:space="preserve">1.交付（实施）的时间（期限）及地点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1.1时间：</w:t>
      </w:r>
      <w:r>
        <w:rPr>
          <w:rFonts w:hint="eastAsia" w:ascii="宋体" w:hAnsi="宋体" w:cs="宋体"/>
          <w:color w:val="auto"/>
          <w:sz w:val="24"/>
          <w:highlight w:val="none"/>
          <w:lang w:eastAsia="zh-CN"/>
        </w:rPr>
        <w:t xml:space="preserve">服务期3年。合同一年一签，合同到期经采购人考核合格后签订下一期合同。</w:t>
      </w:r>
      <w:r>
        <w:rPr>
          <w:rFonts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1.2地点：采购人指定地点。</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2.付款条件（进度和方式）</w:t>
      </w:r>
      <w:r/>
    </w:p>
    <w:p>
      <w:pPr>
        <w:ind w:firstLine="480"/>
        <w:spacing w:line="360" w:lineRule="auto"/>
        <w:rPr>
          <w:rFonts w:hint="eastAsia" w:ascii="宋体" w:hAnsi="宋体" w:cs="宋体"/>
          <w:color w:val="auto"/>
          <w:sz w:val="24"/>
          <w:highlight w:val="none"/>
        </w:rPr>
      </w:pPr>
      <w:r>
        <w:rPr>
          <w:rFonts w:hint="eastAsia" w:cs="宋体"/>
          <w:color w:val="auto"/>
          <w:sz w:val="24"/>
          <w:highlight w:val="none"/>
        </w:rPr>
        <w:t xml:space="preserve">合同生效后每月底前结算上月费用（按实际产生量结算）。</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3.报价要求</w:t>
      </w:r>
      <w:r/>
    </w:p>
    <w:p>
      <w:pPr>
        <w:ind w:firstLine="480"/>
        <w:spacing w:line="360" w:lineRule="auto"/>
        <w:rPr>
          <w:rFonts w:hint="eastAsia" w:ascii="宋体" w:hAnsi="宋体" w:eastAsia="宋体" w:cs="宋体"/>
          <w:color w:val="auto"/>
          <w:sz w:val="24"/>
          <w:highlight w:val="none"/>
        </w:rPr>
      </w:pPr>
      <w:r>
        <w:rPr>
          <w:rFonts w:hint="eastAsia" w:ascii="Times New Roman" w:hAnsi="Times New Roman" w:eastAsia="宋体" w:cs="Times New Roman"/>
          <w:color w:val="auto"/>
          <w:sz w:val="24"/>
          <w:highlight w:val="none"/>
        </w:rPr>
        <w:t xml:space="preserve">本项目报价为固定单价，</w:t>
      </w:r>
      <w:r>
        <w:rPr>
          <w:rFonts w:hint="eastAsia" w:ascii="Times New Roman" w:hAnsi="Times New Roman" w:eastAsia="宋体" w:cs="Times New Roman"/>
          <w:color w:val="auto"/>
          <w:sz w:val="24"/>
          <w:highlight w:val="none"/>
          <w:lang w:val="en-US" w:eastAsia="zh-CN"/>
        </w:rPr>
        <w:t xml:space="preserve">响应报价</w:t>
      </w:r>
      <w:r>
        <w:rPr>
          <w:rFonts w:hint="eastAsia" w:ascii="Times New Roman" w:hAnsi="Times New Roman" w:eastAsia="宋体" w:cs="Times New Roman"/>
          <w:color w:val="auto"/>
          <w:sz w:val="24"/>
          <w:highlight w:val="none"/>
        </w:rPr>
        <w:t xml:space="preserve">应包括</w:t>
      </w:r>
      <w:r>
        <w:rPr>
          <w:rFonts w:hint="eastAsia" w:ascii="Times New Roman" w:hAnsi="Times New Roman" w:eastAsia="宋体" w:cs="Times New Roman"/>
          <w:color w:val="auto"/>
          <w:sz w:val="24"/>
          <w:highlight w:val="none"/>
          <w:lang w:val="en-US" w:eastAsia="zh-CN"/>
        </w:rPr>
        <w:t xml:space="preserve">采购</w:t>
      </w:r>
      <w:r>
        <w:rPr>
          <w:rFonts w:hint="eastAsia" w:ascii="Times New Roman" w:hAnsi="Times New Roman" w:eastAsia="宋体" w:cs="Times New Roman"/>
          <w:color w:val="auto"/>
          <w:sz w:val="24"/>
          <w:highlight w:val="none"/>
        </w:rPr>
        <w:t xml:space="preserve">文件所确定的采购范围相应服务（</w:t>
      </w:r>
      <w:r>
        <w:rPr>
          <w:rFonts w:hint="eastAsia" w:ascii="Times New Roman" w:hAnsi="Times New Roman" w:eastAsia="宋体" w:cs="Times New Roman"/>
          <w:color w:val="auto"/>
          <w:sz w:val="24"/>
          <w:highlight w:val="none"/>
          <w:lang w:val="zh-TW"/>
        </w:rPr>
        <w:t xml:space="preserve">医疗废物的收集、运送、贮存、处置等</w:t>
      </w:r>
      <w:r>
        <w:rPr>
          <w:rFonts w:hint="eastAsia" w:ascii="Times New Roman" w:hAnsi="Times New Roman" w:eastAsia="宋体" w:cs="Times New Roman"/>
          <w:color w:val="auto"/>
          <w:sz w:val="24"/>
          <w:highlight w:val="none"/>
        </w:rPr>
        <w:t xml:space="preserve">）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highlight w:val="none"/>
        </w:rPr>
        <w:t xml:space="preserve">采购人不再支付其他任何费用。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3.1本项目预算为</w:t>
      </w:r>
      <w:r>
        <w:rPr>
          <w:rFonts w:hint="eastAsia" w:ascii="宋体" w:hAnsi="宋体" w:cs="宋体"/>
          <w:color w:val="auto"/>
          <w:sz w:val="24"/>
          <w:highlight w:val="none"/>
          <w:lang w:eastAsia="zh-CN"/>
        </w:rPr>
        <w:t xml:space="preserve">1290.00万元/三年</w:t>
      </w:r>
      <w:r>
        <w:rPr>
          <w:rFonts w:hint="eastAsia" w:ascii="宋体" w:hAnsi="宋体" w:eastAsia="宋体" w:cs="宋体"/>
          <w:color w:val="auto"/>
          <w:sz w:val="24"/>
          <w:highlight w:val="none"/>
        </w:rPr>
        <w:t xml:space="preserve">。其中，医疗废物处置及运输费（不含病理性医废）最高单价限价为4300元/吨；病理性医废处置及转运费最高单价限价为62元/公斤（其中处置费不得超过50元/公斤，转运费不得超过12元/公斤）；投标报价高于最高限价的作为无效投标处理。年度预估处置量约950吨（其中2026年预估数量为：普通医废约938吨，病理性医废约11000公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3.2报价货币为人民币，评审时以人民币为准。</w:t>
      </w:r>
      <w:r/>
    </w:p>
    <w:p>
      <w:pPr>
        <w:jc w:val="left"/>
        <w:spacing w:line="360" w:lineRule="auto"/>
        <w:tabs>
          <w:tab w:val="left" w:pos="735" w:leader="none"/>
          <w:tab w:val="left" w:pos="945" w:leader="none"/>
          <w:tab w:val="left" w:pos="115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（一）服务内容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需对本项目的医疗废物进行统一上门回收、运输和无害化集中处置。</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（二）服务要求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应建立、健全医疗废物管理责任制，切实履行职责，防止因医疗废物导致传染病传播和环境污染事故。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应制定与医疗废物安全处置有关的规章制度和在发生意外事故时的应急方案。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应依照《中华人民共和国固体废物污染环境防治法》的规定，执行危险废物转移联单管理制度。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医疗废物进行登记，登记内容应当采用医废信息系统进行登记，内容包括医疗废物的来源、种类、重量或者数量、交接时间、处置方法、最终去向以及经办人签名等项目。电子信息系统登记资料及纸质版至少保存3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应采取有效措施，防止医疗废物流失、泄漏、扩散。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6.禁止任何单位和个人转让、买卖医疗废物。禁止在运送过程中丢弃、遗撒医疗废物；禁止在非贮存地点倾倒、堆放医疗废物或者将医疗废物混入其他废物和生活垃圾。</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医疗废物集中处置员应当定期取得体检合格证并进行从业培训。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应至少每天到采购人处收集、运送一次医疗废物，并负责医疗废物的贮存、处置。运用医废电子信息系统实时上传相关信息并留底备查。如遇特殊情况必要时随叫随到。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运送医疗废物，应遵守国家有关危险货物运输管理的规定，使用有明显医疗废物标识的专用车辆配备电子跟踪系统。医疗废物专用车辆应当达到防渗漏、防遗撒以及其他环境保护和卫生要求。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9.运送医疗废物的专用车辆使用后，应在医疗废物集中处置场所内及时进行消毒和清洁。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10.运送医疗废物的专用车辆不得运送其他物品。若车辆半路抛锚，必须在原地等待专用车辆来交接运输。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处置医疗废物，应符合国家规定的环境保护、卫生标准、规范。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负责处理、处置采购人的医疗废物，并承担该废物运输、处置过程中的法律责任和义务。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需科学规划运输线路、优化收运排班，合理统筹调度运力，全面保障采购人医疗废物运输需求。</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采购标的对应的中小企业划分标准所属行业一览表</w:t>
      </w:r>
      <w:r/>
    </w:p>
    <w:tbl>
      <w:tblPr>
        <w:tblStyle w:val="901"/>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324"/>
        <w:gridCol w:w="3860"/>
      </w:tblGrid>
      <w:tr>
        <w:trPr>
          <w:cantSplit/>
          <w:jc w:val="center"/>
        </w:trPr>
        <w:tc>
          <w:tcPr>
            <w:tcW w:w="659"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00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33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59" w:type="dxa"/>
            <w:vAlign w:val="center"/>
            <w:textDirection w:val="lrTb"/>
            <w:noWrap w:val="false"/>
          </w:tcPr>
          <w:p>
            <w:pPr>
              <w:jc w:val="center"/>
              <w:spacing w:line="288"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08" w:type="dxa"/>
            <w:vAlign w:val="center"/>
            <w:textDirection w:val="lrTb"/>
            <w:noWrap w:val="false"/>
          </w:tcPr>
          <w:p>
            <w:pPr>
              <w:jc w:val="center"/>
              <w:spacing w:line="288"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常州市第一人民医院医疗废物处置及运输服务项目</w:t>
            </w:r>
            <w:r/>
          </w:p>
        </w:tc>
        <w:tc>
          <w:tcPr>
            <w:tcW w:w="23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其他未列明行业</w:t>
            </w:r>
            <w:r/>
          </w:p>
        </w:tc>
      </w:tr>
    </w:tbl>
    <w:p>
      <w:pPr>
        <w:jc w:val="center"/>
        <w:spacing w:line="360" w:lineRule="auto"/>
        <w:rPr>
          <w:rFonts w:hint="eastAsia"/>
          <w:b/>
          <w:color w:val="auto"/>
          <w:sz w:val="36"/>
          <w:szCs w:val="36"/>
          <w:highlight w:val="none"/>
        </w:rPr>
        <w:outlineLvl w:val="0"/>
      </w:pPr>
      <w:r>
        <w:rPr>
          <w:b/>
          <w:color w:val="auto"/>
          <w:sz w:val="36"/>
          <w:szCs w:val="36"/>
          <w:highlight w:val="none"/>
        </w:rPr>
        <w:br w:type="page" w:clear="all"/>
      </w:r>
      <w:bookmarkStart w:id="689" w:name="_Toc195012923"/>
      <w:r>
        <w:rPr>
          <w:b/>
          <w:color w:val="auto"/>
          <w:sz w:val="36"/>
          <w:szCs w:val="36"/>
          <w:highlight w:val="none"/>
        </w:rPr>
        <w:t xml:space="preserve">第五章   合同条款</w:t>
      </w:r>
      <w:bookmarkEnd w:id="689"/>
      <w:r/>
      <w:r/>
    </w:p>
    <w:p>
      <w:pPr>
        <w:rPr>
          <w:rFonts w:hint="eastAsia"/>
          <w:color w:val="auto"/>
          <w:highlight w:val="none"/>
        </w:rPr>
      </w:pPr>
      <w:r>
        <w:rPr>
          <w:rFonts w:hint="eastAsia"/>
          <w:b/>
          <w:color w:val="auto"/>
          <w:highlight w:val="none"/>
        </w:rPr>
        <w:t xml:space="preserve">合同签订地点：</w:t>
      </w:r>
      <w:r>
        <w:rPr>
          <w:rFonts w:hint="eastAsia"/>
          <w:color w:val="auto"/>
          <w:highlight w:val="none"/>
        </w:rPr>
        <w:t xml:space="preserve">常州市第一人民医院               </w:t>
      </w:r>
      <w:r>
        <w:rPr>
          <w:rFonts w:hint="eastAsia"/>
          <w:b/>
          <w:color w:val="auto"/>
          <w:highlight w:val="none"/>
        </w:rPr>
        <w:t xml:space="preserve">合同编号：</w:t>
      </w:r>
      <w:r>
        <w:rPr>
          <w:rFonts w:hint="eastAsia"/>
          <w:color w:val="auto"/>
          <w:highlight w:val="none"/>
          <w:u w:val="single"/>
        </w:rPr>
        <w:t xml:space="preserve">                           </w:t>
      </w:r>
      <w:r>
        <w:rPr>
          <w:rFonts w:hint="eastAsia"/>
          <w:color w:val="auto"/>
          <w:highlight w:val="none"/>
        </w:rPr>
        <w:t xml:space="preserve"> </w:t>
      </w:r>
      <w:r/>
    </w:p>
    <w:p>
      <w:pPr>
        <w:rPr>
          <w:rFonts w:hint="eastAsia"/>
          <w:color w:val="auto"/>
          <w:highlight w:val="none"/>
          <w:u w:val="single"/>
        </w:rPr>
      </w:pPr>
      <w:r>
        <w:rPr>
          <w:rFonts w:hint="eastAsia"/>
          <w:color w:val="auto"/>
          <w:highlight w:val="none"/>
          <w:u w:val="single"/>
        </w:rPr>
      </w:r>
      <w:r/>
    </w:p>
    <w:p>
      <w:pPr>
        <w:ind w:firstLine="482"/>
        <w:rPr>
          <w:rFonts w:hint="eastAsia" w:ascii="宋体" w:hAnsi="宋体" w:cs="宋体"/>
          <w:b/>
          <w:color w:val="auto"/>
          <w:sz w:val="24"/>
          <w:highlight w:val="none"/>
          <w:u w:val="single"/>
        </w:rPr>
      </w:pPr>
      <w:r/>
      <w:bookmarkStart w:id="690" w:name="_Toc195012924"/>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常州市第一人民医院  </w:t>
      </w:r>
      <w:r>
        <w:rPr>
          <w:rFonts w:hint="eastAsia" w:ascii="宋体" w:hAnsi="宋体" w:cs="宋体"/>
          <w:b/>
          <w:color w:val="auto"/>
          <w:sz w:val="24"/>
          <w:highlight w:val="none"/>
        </w:rPr>
        <w:t xml:space="preserve">                   </w:t>
      </w:r>
      <w:r>
        <w:rPr>
          <w:rFonts w:hint="eastAsia" w:ascii="宋体" w:hAnsi="宋体" w:cs="宋体"/>
          <w:bCs/>
          <w:color w:val="auto"/>
          <w:sz w:val="24"/>
          <w:highlight w:val="none"/>
        </w:rPr>
        <w:t xml:space="preserve">签订时间：</w:t>
      </w:r>
      <w:r>
        <w:rPr>
          <w:rFonts w:hint="eastAsia" w:ascii="宋体" w:hAnsi="宋体" w:cs="宋体"/>
          <w:b/>
          <w:color w:val="auto"/>
          <w:sz w:val="24"/>
          <w:highlight w:val="none"/>
          <w:u w:val="single"/>
        </w:rPr>
        <w:t xml:space="preserve">    年    月   日 </w:t>
      </w:r>
      <w:r>
        <w:rPr>
          <w:rFonts w:hint="eastAsia" w:ascii="宋体" w:hAnsi="宋体" w:cs="宋体"/>
          <w:bCs/>
          <w:color w:val="auto"/>
          <w:sz w:val="24"/>
          <w:highlight w:val="none"/>
        </w:rPr>
        <w:t xml:space="preserve">           </w:t>
      </w:r>
      <w:r/>
    </w:p>
    <w:p>
      <w:pPr>
        <w:ind w:firstLine="482"/>
        <w:jc w:val="left"/>
        <w:spacing w:line="40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甲、乙双方就乙方中标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w:t>
      </w:r>
      <w:r>
        <w:rPr>
          <w:rFonts w:hint="eastAsia" w:ascii="宋体" w:hAnsi="宋体" w:cs="宋体"/>
          <w:b/>
          <w:color w:val="auto"/>
          <w:sz w:val="24"/>
          <w:highlight w:val="none"/>
          <w:u w:val="single"/>
        </w:rPr>
        <w:t xml:space="preserve"> 常州市第一人民医院医疗废物处置及运输服务项目</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本着平等互利的原则，通过共同协商，根据</w:t>
      </w:r>
      <w:r>
        <w:rPr>
          <w:rFonts w:hint="eastAsia" w:ascii="宋体" w:hAnsi="宋体" w:cs="宋体"/>
          <w:bCs/>
          <w:color w:val="auto"/>
          <w:sz w:val="24"/>
          <w:highlight w:val="none"/>
        </w:rPr>
        <w:t xml:space="preserve">《中华人民共和国民法典》</w:t>
      </w:r>
      <w:r>
        <w:rPr>
          <w:rFonts w:hint="eastAsia" w:ascii="宋体" w:hAnsi="宋体" w:cs="宋体"/>
          <w:color w:val="auto"/>
          <w:sz w:val="24"/>
          <w:highlight w:val="none"/>
        </w:rPr>
        <w:t xml:space="preserve">及有关法律法规，就相关事宜达成如下合同。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w:t>
      </w:r>
      <w:r>
        <w:rPr>
          <w:rFonts w:hAnsi="宋体" w:cs="宋体"/>
          <w:b/>
          <w:color w:val="auto"/>
          <w:sz w:val="24"/>
          <w:highlight w:val="none"/>
        </w:rPr>
        <w:t xml:space="preserve">合同标的</w:t>
      </w:r>
      <w:r>
        <w:rPr>
          <w:rFonts w:hint="eastAsia" w:ascii="宋体" w:hAnsi="宋体" w:cs="宋体"/>
          <w:b/>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乙方按甲方要求，为甲方提供</w:t>
      </w:r>
      <w:r>
        <w:rPr>
          <w:rFonts w:hint="eastAsia" w:ascii="宋体" w:hAnsi="宋体" w:cs="宋体"/>
          <w:bCs/>
          <w:color w:val="auto"/>
          <w:sz w:val="24"/>
          <w:highlight w:val="none"/>
          <w:u w:val="single"/>
        </w:rPr>
        <w:t xml:space="preserve">常州市第一人民医院医疗废物处置及运输服务项目</w:t>
      </w:r>
      <w:r>
        <w:rPr>
          <w:rFonts w:hint="eastAsia" w:ascii="宋体" w:hAnsi="宋体" w:cs="宋体"/>
          <w:color w:val="auto"/>
          <w:sz w:val="24"/>
          <w:highlight w:val="none"/>
        </w:rPr>
        <w:t xml:space="preserve">服务，服务具体内容及要求详见合同文件。</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w:t>
      </w:r>
      <w:r>
        <w:rPr>
          <w:rFonts w:hAnsi="宋体" w:cs="宋体"/>
          <w:b/>
          <w:color w:val="auto"/>
          <w:sz w:val="24"/>
          <w:highlight w:val="none"/>
        </w:rPr>
        <w:t xml:space="preserve">组成本合同的有关文件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下列文件是构成合同不可分割的部分，并与本合同具有同等法律效力，</w:t>
      </w:r>
      <w:r>
        <w:rPr>
          <w:rFonts w:hint="eastAsia" w:ascii="宋体" w:hAnsi="宋体" w:cs="宋体"/>
          <w:bCs/>
          <w:color w:val="auto"/>
          <w:sz w:val="24"/>
          <w:highlight w:val="none"/>
        </w:rPr>
        <w:t xml:space="preserve">这些文件包括但不限于：</w:t>
      </w:r>
      <w:r/>
    </w:p>
    <w:p>
      <w:pPr>
        <w:numPr>
          <w:ilvl w:val="0"/>
          <w:numId w:val="1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文件（编号：</w:t>
      </w:r>
      <w:r>
        <w:rPr>
          <w:rFonts w:hint="eastAsia" w:ascii="宋体" w:hAnsi="宋体" w:cs="宋体"/>
          <w:color w:val="auto"/>
          <w:sz w:val="24"/>
          <w:highlight w:val="none"/>
          <w:lang w:eastAsia="zh-CN"/>
        </w:rPr>
        <w:t xml:space="preserve">JSZC-320400-ZCCZ-D2026-0024</w:t>
      </w:r>
      <w:r>
        <w:rPr>
          <w:rFonts w:hint="eastAsia" w:ascii="宋体" w:hAnsi="宋体" w:cs="宋体"/>
          <w:color w:val="auto"/>
          <w:sz w:val="24"/>
          <w:highlight w:val="none"/>
        </w:rPr>
        <w:t xml:space="preserve">）            </w:t>
      </w:r>
      <w:r/>
    </w:p>
    <w:p>
      <w:pPr>
        <w:numPr>
          <w:ilvl w:val="0"/>
          <w:numId w:val="1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乙方提供的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 </w:t>
      </w:r>
      <w:r/>
    </w:p>
    <w:p>
      <w:pPr>
        <w:numPr>
          <w:ilvl w:val="0"/>
          <w:numId w:val="1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中标（成交）</w:t>
      </w:r>
      <w:r>
        <w:rPr>
          <w:rFonts w:hint="eastAsia" w:ascii="宋体" w:hAnsi="宋体" w:cs="宋体"/>
          <w:color w:val="auto"/>
          <w:sz w:val="24"/>
          <w:highlight w:val="none"/>
        </w:rPr>
        <w:t xml:space="preserve">通知书；   </w:t>
      </w:r>
      <w:r/>
    </w:p>
    <w:p>
      <w:pPr>
        <w:numPr>
          <w:ilvl w:val="0"/>
          <w:numId w:val="10"/>
        </w:numPr>
        <w:ind w:firstLine="480"/>
        <w:spacing w:line="360" w:lineRule="auto"/>
        <w:rPr>
          <w:rFonts w:hint="eastAsia" w:ascii="宋体" w:hAnsi="宋体" w:cs="宋体"/>
          <w:color w:val="auto"/>
          <w:sz w:val="24"/>
          <w:highlight w:val="none"/>
        </w:rPr>
      </w:pPr>
      <w:r>
        <w:rPr>
          <w:rFonts w:hAnsi="宋体" w:cs="宋体"/>
          <w:color w:val="auto"/>
          <w:sz w:val="24"/>
          <w:highlight w:val="none"/>
        </w:rPr>
        <w:t xml:space="preserve">甲乙双方商定的其他文件等。</w:t>
      </w:r>
      <w:r>
        <w:rPr>
          <w:rFonts w:hint="eastAsia" w:ascii="宋体" w:hAnsi="宋体" w:cs="宋体"/>
          <w:color w:val="auto"/>
          <w:sz w:val="24"/>
          <w:highlight w:val="none"/>
        </w:rPr>
        <w:t xml:space="preserve">                      </w:t>
      </w:r>
      <w:r/>
    </w:p>
    <w:p>
      <w:pPr>
        <w:numPr>
          <w:ilvl w:val="0"/>
          <w:numId w:val="11"/>
        </w:num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合同价格</w:t>
      </w:r>
      <w:r/>
    </w:p>
    <w:p>
      <w:pPr>
        <w:ind w:firstLine="480"/>
        <w:spacing w:line="360" w:lineRule="auto"/>
        <w:rPr>
          <w:rFonts w:hAnsi="宋体" w:cs="宋体"/>
          <w:color w:val="auto"/>
          <w:sz w:val="24"/>
          <w:highlight w:val="none"/>
        </w:rPr>
      </w:pPr>
      <w:r>
        <w:rPr>
          <w:rFonts w:hAnsi="宋体" w:cs="宋体"/>
          <w:color w:val="auto"/>
          <w:sz w:val="24"/>
          <w:highlight w:val="none"/>
        </w:rPr>
        <w:t xml:space="preserve">签约合同价格（人民币，下同）：</w:t>
      </w:r>
      <w:r>
        <w:rPr>
          <w:rFonts w:hAnsi="宋体" w:cs="宋体"/>
          <w:color w:val="auto"/>
          <w:sz w:val="24"/>
          <w:highlight w:val="none"/>
          <w:u w:val="single"/>
        </w:rPr>
        <w:t xml:space="preserve">             </w:t>
      </w:r>
      <w:r>
        <w:rPr>
          <w:rFonts w:hAnsi="宋体" w:cs="宋体"/>
          <w:color w:val="auto"/>
          <w:sz w:val="24"/>
          <w:highlight w:val="none"/>
        </w:rPr>
        <w:t xml:space="preserve">元/吨（小写</w:t>
      </w:r>
      <w:r>
        <w:rPr>
          <w:rFonts w:hAnsi="宋体" w:cs="宋体"/>
          <w:color w:val="auto"/>
          <w:sz w:val="24"/>
          <w:highlight w:val="none"/>
          <w:u w:val="single"/>
        </w:rPr>
        <w:t xml:space="preserve">       </w:t>
      </w:r>
      <w:r>
        <w:rPr>
          <w:rFonts w:hAnsi="宋体" w:cs="宋体"/>
          <w:color w:val="auto"/>
          <w:sz w:val="24"/>
          <w:highlight w:val="none"/>
        </w:rPr>
        <w:t xml:space="preserve">）。</w:t>
      </w:r>
      <w:r/>
    </w:p>
    <w:p>
      <w:pPr>
        <w:ind w:firstLine="480"/>
        <w:spacing w:line="360" w:lineRule="auto"/>
        <w:rPr>
          <w:rFonts w:hAnsi="宋体" w:cs="宋体"/>
          <w:color w:val="auto"/>
          <w:sz w:val="24"/>
          <w:highlight w:val="none"/>
        </w:rPr>
      </w:pPr>
      <w:r>
        <w:rPr>
          <w:rFonts w:hint="eastAsia" w:ascii="宋体" w:hAnsi="宋体" w:cs="宋体"/>
          <w:color w:val="auto"/>
          <w:sz w:val="24"/>
          <w:highlight w:val="none"/>
          <w:lang w:bidi="ar"/>
        </w:rPr>
        <w:t xml:space="preserve">本项目为固定单价，合同总价应包括</w:t>
      </w:r>
      <w:r>
        <w:rPr>
          <w:rFonts w:hint="eastAsia" w:ascii="宋体" w:hAnsi="宋体" w:cs="宋体"/>
          <w:color w:val="auto"/>
          <w:sz w:val="24"/>
          <w:highlight w:val="none"/>
          <w:lang w:val="en-US" w:eastAsia="zh-CN" w:bidi="ar"/>
        </w:rPr>
        <w:t xml:space="preserve">采购</w:t>
      </w:r>
      <w:r>
        <w:rPr>
          <w:rFonts w:hint="eastAsia" w:ascii="宋体" w:hAnsi="宋体" w:cs="宋体"/>
          <w:color w:val="auto"/>
          <w:sz w:val="24"/>
          <w:highlight w:val="none"/>
          <w:lang w:bidi="ar"/>
        </w:rPr>
        <w:t xml:space="preserve">文件所确定的采购范围相应服务（</w:t>
      </w:r>
      <w:r>
        <w:rPr>
          <w:rFonts w:hint="eastAsia" w:ascii="宋体" w:hAnsi="宋体" w:cs="宋体"/>
          <w:color w:val="auto"/>
          <w:sz w:val="24"/>
          <w:highlight w:val="none"/>
          <w:lang w:val="zh-TW" w:bidi="ar"/>
        </w:rPr>
        <w:t xml:space="preserve">医疗废</w:t>
      </w:r>
      <w:r>
        <w:rPr>
          <w:rFonts w:hint="eastAsia" w:ascii="宋体" w:hAnsi="宋体" w:cs="宋体"/>
          <w:color w:val="auto"/>
          <w:sz w:val="24"/>
          <w:highlight w:val="none"/>
          <w:lang w:val="zh-TW"/>
        </w:rPr>
        <w:t xml:space="preserve">物的收集、运送、贮存、处置等</w:t>
      </w:r>
      <w:r>
        <w:rPr>
          <w:rFonts w:hint="eastAsia" w:ascii="宋体" w:hAnsi="宋体" w:cs="宋体"/>
          <w:color w:val="auto"/>
          <w:sz w:val="24"/>
          <w:highlight w:val="none"/>
        </w:rPr>
        <w:t xml:space="preserve">）</w:t>
      </w:r>
      <w:r>
        <w:rPr>
          <w:rFonts w:hint="eastAsia" w:ascii="宋体" w:hAnsi="宋体"/>
          <w:color w:val="auto"/>
          <w:sz w:val="24"/>
          <w:highlight w:val="none"/>
        </w:rPr>
        <w:t xml:space="preserve">的提供</w:t>
      </w:r>
      <w:r>
        <w:rPr>
          <w:rFonts w:ascii="宋体" w:hAnsi="宋体"/>
          <w:color w:val="auto"/>
          <w:sz w:val="24"/>
          <w:highlight w:val="none"/>
        </w:rPr>
        <w:t xml:space="preserve">、</w:t>
      </w:r>
      <w:r>
        <w:rPr>
          <w:rFonts w:hint="eastAsia" w:ascii="宋体" w:hAnsi="宋体"/>
          <w:color w:val="auto"/>
          <w:sz w:val="24"/>
          <w:highlight w:val="none"/>
        </w:rPr>
        <w:t xml:space="preserve">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firstLine="482"/>
        <w:spacing w:before="79"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四、服务地点：</w:t>
      </w:r>
      <w:r>
        <w:rPr>
          <w:rFonts w:hint="eastAsia" w:ascii="宋体" w:hAnsi="宋体" w:cs="宋体"/>
          <w:bCs/>
          <w:color w:val="auto"/>
          <w:sz w:val="24"/>
          <w:highlight w:val="none"/>
          <w:u w:val="single"/>
        </w:rPr>
        <w:t xml:space="preserve"> 常州市第一人民医院 </w:t>
      </w:r>
      <w:r>
        <w:rPr>
          <w:rFonts w:hint="eastAsia" w:ascii="宋体" w:hAnsi="宋体" w:cs="宋体"/>
          <w:color w:val="auto"/>
          <w:sz w:val="24"/>
          <w:highlight w:val="none"/>
        </w:rPr>
        <w:t xml:space="preserve">，甲方指定地点。</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五、服务期限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服务期3年。合同一年一签，合同到期经甲方考核合格后签订下一期合同。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本合同服务期限自2026年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日—2027年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六、服务内容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项目内容包括但不限于全院医疗废物的收集、运送、贮存、处置等；处置范围涵盖固体、液体、化学性、损伤性、病理性、体内植入物等多种医疗废物；年度预估处置量约950吨。</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七、服务内容及要求</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（一）服务内容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ascii="宋体" w:hAnsi="宋体" w:cs="宋体"/>
          <w:color w:val="auto"/>
          <w:sz w:val="24"/>
          <w:highlight w:val="none"/>
        </w:rPr>
        <w:t xml:space="preserve">需对本项目医疗机构的医疗废物进行统一上门回收、运输和无害化集中处置。</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（二）服务要求</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乙方</w:t>
      </w:r>
      <w:r>
        <w:rPr>
          <w:rFonts w:ascii="宋体" w:hAnsi="宋体" w:cs="宋体"/>
          <w:color w:val="auto"/>
          <w:sz w:val="24"/>
          <w:highlight w:val="none"/>
        </w:rPr>
        <w:t xml:space="preserve">应建立、健全医疗废物管理责任制，切实履行职责，防止因医疗废物导致传染病传播和环境污染事故。</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乙方</w:t>
      </w:r>
      <w:r>
        <w:rPr>
          <w:rFonts w:ascii="宋体" w:hAnsi="宋体" w:cs="宋体"/>
          <w:color w:val="auto"/>
          <w:sz w:val="24"/>
          <w:highlight w:val="none"/>
        </w:rPr>
        <w:t xml:space="preserve">应制定与医疗废物安全处置有关的规章制度和在发生意外事故时的应急方案。</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乙方</w:t>
      </w:r>
      <w:r>
        <w:rPr>
          <w:rFonts w:ascii="宋体" w:hAnsi="宋体" w:cs="宋体"/>
          <w:color w:val="auto"/>
          <w:sz w:val="24"/>
          <w:highlight w:val="none"/>
        </w:rPr>
        <w:t xml:space="preserve">应依照《中华人民共和国固体废物污染环境防治法》的规定，执行危险废物转移联单管理制度。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乙方</w:t>
      </w:r>
      <w:r>
        <w:rPr>
          <w:rFonts w:ascii="宋体" w:hAnsi="宋体" w:cs="宋体"/>
          <w:color w:val="auto"/>
          <w:sz w:val="24"/>
          <w:highlight w:val="none"/>
        </w:rPr>
        <w:t xml:space="preserve">应对医疗废物进行登记，登记内容应当采用医废信息系统进行登记，内容包括医疗废物的来源、种类、重量或者数量、交接时间、处置方法、最终去向以及经办人签名等项目。电子信息系统登记资料及纸质版至少保存3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乙方</w:t>
      </w:r>
      <w:r>
        <w:rPr>
          <w:rFonts w:ascii="宋体" w:hAnsi="宋体" w:cs="宋体"/>
          <w:color w:val="auto"/>
          <w:sz w:val="24"/>
          <w:highlight w:val="none"/>
        </w:rPr>
        <w:t xml:space="preserve">应采取有效措施，防止医疗废物流失、泄漏、扩散。</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6.禁止任何单位和个人转让、买卖医疗废物。禁止在运送过程中丢弃、遗撒医疗废物；禁止在非贮存地点倾倒、堆放医疗废物或者将医疗废物混入其他废物和生活垃圾。</w:t>
      </w:r>
      <w:r>
        <w:rPr>
          <w:rFonts w:hint="eastAsia" w:ascii="宋体" w:hAnsi="宋体" w:cs="宋体"/>
          <w:color w:val="auto"/>
          <w:sz w:val="24"/>
          <w:highlight w:val="none"/>
        </w:rPr>
        <w:t xml:space="preserve">乙方</w:t>
      </w:r>
      <w:r>
        <w:rPr>
          <w:rFonts w:ascii="宋体" w:hAnsi="宋体" w:cs="宋体"/>
          <w:color w:val="auto"/>
          <w:sz w:val="24"/>
          <w:highlight w:val="none"/>
        </w:rPr>
        <w:t xml:space="preserve">医疗废物集中处置员应当定期取得体检合格证并进行从业培训。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乙方</w:t>
      </w:r>
      <w:r>
        <w:rPr>
          <w:rFonts w:ascii="宋体" w:hAnsi="宋体" w:cs="宋体"/>
          <w:color w:val="auto"/>
          <w:sz w:val="24"/>
          <w:highlight w:val="none"/>
        </w:rPr>
        <w:t xml:space="preserve">应至少每天到</w:t>
      </w:r>
      <w:r>
        <w:rPr>
          <w:rFonts w:hint="eastAsia" w:ascii="宋体" w:hAnsi="宋体" w:cs="宋体"/>
          <w:color w:val="auto"/>
          <w:sz w:val="24"/>
          <w:highlight w:val="none"/>
        </w:rPr>
        <w:t xml:space="preserve">甲方处</w:t>
      </w:r>
      <w:r>
        <w:rPr>
          <w:rFonts w:ascii="宋体" w:hAnsi="宋体" w:cs="宋体"/>
          <w:color w:val="auto"/>
          <w:sz w:val="24"/>
          <w:highlight w:val="none"/>
        </w:rPr>
        <w:t xml:space="preserve">收集、运送一次医疗废物，并负责医疗废物的贮存、处置。运用医废电子信息系统实时上传相关信息并留底备查。如遇特殊情况必要时随叫随到。</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乙方</w:t>
      </w:r>
      <w:r>
        <w:rPr>
          <w:rFonts w:ascii="宋体" w:hAnsi="宋体" w:cs="宋体"/>
          <w:color w:val="auto"/>
          <w:sz w:val="24"/>
          <w:highlight w:val="none"/>
        </w:rPr>
        <w:t xml:space="preserve">运送医疗废物，应遵守国家有关危险货物运输管理的规定，使用有明显医疗废物标识的专用车辆配备电子跟踪系统。医疗废物专用车辆应当达到防渗漏、防遗撒以及其他环境保护和卫生要求。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9.运送医疗废物的专用车辆使用后，应在医疗废物集中处置场所内及时进行消毒和清洁。</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10.运送医疗废物的专用车辆不得运送其他物品。若车辆半路抛锚，必须在原地等待专用车辆来交接运输。</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乙方</w:t>
      </w:r>
      <w:r>
        <w:rPr>
          <w:rFonts w:ascii="宋体" w:hAnsi="宋体" w:cs="宋体"/>
          <w:color w:val="auto"/>
          <w:sz w:val="24"/>
          <w:highlight w:val="none"/>
        </w:rPr>
        <w:t xml:space="preserve">处置医疗废物，应符合国家规定的环境保护、卫生标准、规范。</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乙方</w:t>
      </w:r>
      <w:r>
        <w:rPr>
          <w:rFonts w:ascii="宋体" w:hAnsi="宋体" w:cs="宋体"/>
          <w:color w:val="auto"/>
          <w:sz w:val="24"/>
          <w:highlight w:val="none"/>
        </w:rPr>
        <w:t xml:space="preserve">负责处理、处置</w:t>
      </w:r>
      <w:r>
        <w:rPr>
          <w:rFonts w:hint="eastAsia" w:ascii="宋体" w:hAnsi="宋体" w:cs="宋体"/>
          <w:color w:val="auto"/>
          <w:sz w:val="24"/>
          <w:highlight w:val="none"/>
        </w:rPr>
        <w:t xml:space="preserve">甲方</w:t>
      </w:r>
      <w:r>
        <w:rPr>
          <w:rFonts w:ascii="宋体" w:hAnsi="宋体" w:cs="宋体"/>
          <w:color w:val="auto"/>
          <w:sz w:val="24"/>
          <w:highlight w:val="none"/>
        </w:rPr>
        <w:t xml:space="preserve">的医疗废物，并承担该废物运输、处置过程中的法律责任和义务。</w:t>
      </w:r>
      <w:r/>
    </w:p>
    <w:p>
      <w:pPr>
        <w:ind w:firstLine="480"/>
        <w:spacing w:line="360" w:lineRule="auto"/>
        <w:rPr>
          <w:rFonts w:ascii="宋体" w:hAnsi="宋体" w:cs="宋体"/>
          <w:b/>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乙方需科学规划运输线路、优化收运排班，合理统筹调度运力，全面保障甲方医疗废物运输需求。</w:t>
      </w:r>
      <w:r/>
    </w:p>
    <w:p>
      <w:pPr>
        <w:ind w:firstLine="482"/>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八、合同款结算及支付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3.结算原则：固定综合单价，按实结算。</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4.付款方式：合同生效后每月底前结算上月费用（按实际产生量结算）。</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九、违约责任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1.合同履行期限内，非乙方原因，甲方提前解除合同，甲方应支付乙方已经完成工作量对应的服务费用，甲方应支付乙方合同发生费用总额的10％违约金。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2.合同履行期限内，非甲方原因，乙方提前解除合同，乙方应支付甲方合同已发生费用总额的10％违约金并承担甲方因此导致的所有损失。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3.因不可抗力原因，致使一方不能履行合同，不承担违约责任，但应将情况尽快通知另一方，并应尽量减少由此发生的损失。</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十、不可抗力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1.不可抗力是指不能预见、不能避免并不能克服的客观情况。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受到不可抗力影响的一方应在不可抗力事件发生后2周内（含本数），取得有关部门关于发生不可抗力事件的证明文件，并以传真等书面形式提交另一方确认。否则，无权以不可抗力为由要求减轻或免除合同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4.如果不可抗力事件的影响已达30天或双方预计不可抗力事件的影响将延续30天以上（含本数）时，任何一方有权终止本合同。由于合同终止所引起的后续问题由双方友好协商解决。</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十一、合同的解除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1.甲方和乙方协商一致，可以解除合同。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3.合同的部分和全部乙方都不得擅自转让，否则甲方有权直接解除本合同并追究乙方的违约责任。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4.出现下列情况之一甲方可以单方面解除合同：</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（1）对乙方有效投诉记录累计达3次；</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（2）在合同有效期内，乙方被行业主管部门取消经营资格的；</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（3）在合同有效期内，乙方擅自变更、转让、租借本次</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范围内的定点服务资格的；</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（4）乙方不如实反映情况，提供虚假材料的；</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（5）乙方未按承诺的价格提供服务的。</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文件约定的可解除合同的情况出现。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5.乙方在任何情况下都不得用任何不正当行为影响、干扰委托单位。一经发现可立即解除合同，同时提请有关部门追究有关当事人的责任。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6.如果乙方破产、解散、清算、停业以及其他原因无法提供服务的，甲方可在任何时间以书面形式通知取消其本次</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范围内的定点服务资格。该行为将不损害或影响甲方已经采取和将要采取的任何行动和补救措施的权力。</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十二、争议处置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1.在执行本合同中所发生的一切争议，甲乙双方应通过友好协商的办法进行解决，如协商不能解决的，有关当事方可向甲方所在地人民法院提起诉讼。</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十三、合同生效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本合同经双方盖章签字后生效，如有变动，必须经甲乙双方协商一致后，方可更改。本合同一式陆份，甲方肆份，乙方壹份，代理机构壹份。其他未尽事宜，参照相关法律，双方协商解决。</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甲方：单位名称（章）：          乙方：单位名称（章）：</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    法定代表人（或委托代理人）：</w:t>
      </w:r>
      <w:r/>
    </w:p>
    <w:p>
      <w:pPr>
        <w:ind w:firstLine="480"/>
        <w:spacing w:line="360" w:lineRule="auto"/>
        <w:rPr>
          <w:b/>
          <w:bCs/>
          <w:color w:val="auto"/>
          <w:sz w:val="28"/>
          <w:szCs w:val="28"/>
          <w:highlight w:val="none"/>
        </w:rPr>
      </w:pPr>
      <w:r>
        <w:rPr>
          <w:rFonts w:hint="eastAsia" w:ascii="宋体" w:hAnsi="宋体" w:cs="宋体"/>
          <w:color w:val="auto"/>
          <w:sz w:val="24"/>
          <w:highlight w:val="none"/>
        </w:rPr>
        <w:t xml:space="preserve">电  话：                        电  话：</w:t>
      </w:r>
      <w:r/>
    </w:p>
    <w:p>
      <w:pPr>
        <w:ind w:firstLine="4320"/>
        <w:spacing w:line="384" w:lineRule="auto"/>
        <w:rPr>
          <w:rFonts w:ascii="宋体" w:hAnsi="宋体" w:cs="宋体"/>
          <w:color w:val="auto"/>
          <w:sz w:val="24"/>
          <w:highlight w:val="none"/>
        </w:rPr>
      </w:pPr>
      <w:r>
        <w:rPr>
          <w:rFonts w:hint="eastAsia" w:ascii="宋体" w:hAnsi="宋体" w:cs="宋体"/>
          <w:color w:val="auto"/>
          <w:sz w:val="24"/>
          <w:highlight w:val="none"/>
        </w:rPr>
        <w:t xml:space="preserve">开户行：</w:t>
      </w:r>
      <w:r/>
    </w:p>
    <w:p>
      <w:pPr>
        <w:ind w:firstLine="540"/>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                                账 号：</w:t>
      </w:r>
      <w:r/>
    </w:p>
    <w:p>
      <w:pPr>
        <w:pStyle w:val="1130"/>
        <w:ind w:left="0" w:firstLine="480"/>
        <w:rPr>
          <w:color w:val="auto"/>
          <w:highlight w:val="none"/>
        </w:rPr>
      </w:pPr>
      <w:r>
        <w:rPr>
          <w:rFonts w:hint="eastAsia" w:cs="宋体"/>
          <w:color w:val="auto"/>
          <w:sz w:val="24"/>
          <w:highlight w:val="none"/>
        </w:rPr>
        <w:t xml:space="preserve">日期：  年  月   日             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40"/>
        <w:spacing w:line="384" w:lineRule="auto"/>
        <w:rPr>
          <w:rFonts w:ascii="宋体" w:hAnsi="宋体" w:cs="宋体"/>
          <w:color w:val="auto"/>
          <w:sz w:val="24"/>
          <w:highlight w:val="none"/>
        </w:rPr>
      </w:pPr>
      <w:r>
        <w:rPr>
          <w:rFonts w:hint="eastAsia" w:ascii="宋体" w:hAnsi="宋体" w:cs="宋体"/>
          <w:color w:val="auto"/>
          <w:sz w:val="24"/>
          <w:highlight w:val="none"/>
        </w:rPr>
        <w:t xml:space="preserve">备案方(盖章)：</w:t>
      </w:r>
      <w:r/>
    </w:p>
    <w:p>
      <w:pPr>
        <w:ind w:firstLine="540"/>
        <w:spacing w:line="384" w:lineRule="auto"/>
        <w:rPr>
          <w:rFonts w:ascii="宋体" w:hAnsi="宋体" w:cs="宋体"/>
          <w:color w:val="auto"/>
          <w:sz w:val="24"/>
          <w:highlight w:val="none"/>
        </w:rPr>
      </w:pPr>
      <w:r>
        <w:rPr>
          <w:rFonts w:hint="eastAsia" w:ascii="宋体" w:hAnsi="宋体" w:cs="宋体"/>
          <w:color w:val="auto"/>
          <w:sz w:val="24"/>
          <w:highlight w:val="none"/>
        </w:rPr>
        <w:t xml:space="preserve">经办人：</w:t>
      </w:r>
      <w:r/>
    </w:p>
    <w:p>
      <w:pPr>
        <w:ind w:firstLine="480"/>
        <w:jc w:val="both"/>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日期：  年  月   日</w:t>
      </w:r>
      <w:r/>
    </w:p>
    <w:p>
      <w:pPr>
        <w:jc w:val="center"/>
        <w:keepLines w:val="0"/>
        <w:keepNext w:val="0"/>
        <w:pageBreakBefore/>
        <w:spacing w:line="360" w:lineRule="auto"/>
        <w:widowControl w:val="off"/>
        <w:rPr>
          <w:rFonts w:ascii="Times New Roman" w:hAnsi="Times New Roman" w:eastAsia="宋体" w:cs="Times New Roman"/>
          <w:b/>
          <w:color w:val="auto"/>
          <w:sz w:val="36"/>
          <w:szCs w:val="36"/>
          <w:highlight w:val="none"/>
        </w:rPr>
        <w:outlineLvl w:val="0"/>
      </w:pPr>
      <w:r>
        <w:rPr>
          <w:rFonts w:ascii="Times New Roman" w:hAnsi="Times New Roman" w:eastAsia="宋体" w:cs="Times New Roman"/>
          <w:b/>
          <w:color w:val="auto"/>
          <w:sz w:val="36"/>
          <w:szCs w:val="36"/>
          <w:highlight w:val="none"/>
        </w:rPr>
        <w:t xml:space="preserve">第六章   响应文件格式</w:t>
      </w:r>
      <w:bookmarkEnd w:id="690"/>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响应无效</w:t>
      </w:r>
      <w:r>
        <w:rPr>
          <w:color w:val="auto"/>
          <w:sz w:val="24"/>
          <w:highlight w:val="none"/>
        </w:rPr>
        <w:t xml:space="preserve">。未标记“实质性格式”的文件和单一来源采购文件未提供格式的内容，可由供应商自行编写</w:t>
      </w:r>
      <w:r/>
    </w:p>
    <w:p>
      <w:pPr>
        <w:ind w:left="142"/>
        <w:spacing w:line="360" w:lineRule="auto"/>
        <w:tabs>
          <w:tab w:val="left" w:pos="900" w:leader="none"/>
          <w:tab w:val="left" w:pos="1980" w:leader="none"/>
        </w:tabs>
        <w:rPr>
          <w:rFonts w:hint="eastAsia"/>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rFonts w:hint="eastAsia"/>
          <w:color w:val="auto"/>
          <w:sz w:val="24"/>
          <w:highlight w:val="none"/>
        </w:rPr>
      </w:pPr>
      <w:r>
        <w:rPr>
          <w:color w:val="auto"/>
          <w:sz w:val="24"/>
          <w:highlight w:val="none"/>
        </w:rPr>
        <w:br w:type="page" w:clear="all"/>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jc w:val="left"/>
        <w:widowControl/>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rFonts w:hint="eastAsia"/>
          <w:b/>
          <w:color w:val="auto"/>
          <w:spacing w:val="60"/>
          <w:sz w:val="84"/>
          <w:szCs w:val="84"/>
          <w:highlight w:val="none"/>
        </w:rPr>
      </w:pPr>
      <w:r>
        <w:rPr>
          <w:rFonts w:hint="eastAsia"/>
          <w:b/>
          <w:color w:val="auto"/>
          <w:spacing w:val="60"/>
          <w:sz w:val="84"/>
          <w:szCs w:val="84"/>
          <w:highlight w:val="none"/>
        </w:rPr>
      </w:r>
      <w:r/>
    </w:p>
    <w:p>
      <w:pPr>
        <w:jc w:val="center"/>
        <w:rPr>
          <w:rFonts w:hint="eastAsia"/>
          <w:b/>
          <w:color w:val="auto"/>
          <w:spacing w:val="60"/>
          <w:sz w:val="84"/>
          <w:szCs w:val="84"/>
          <w:highlight w:val="none"/>
        </w:rPr>
      </w:pPr>
      <w:r>
        <w:rPr>
          <w:rFonts w:hint="eastAsia"/>
          <w:b/>
          <w:color w:val="auto"/>
          <w:spacing w:val="60"/>
          <w:sz w:val="84"/>
          <w:szCs w:val="84"/>
          <w:highlight w:val="none"/>
        </w:rPr>
      </w:r>
      <w:r/>
    </w:p>
    <w:p>
      <w:pPr>
        <w:jc w:val="center"/>
        <w:rPr>
          <w:rFonts w:hint="eastAsia"/>
          <w:b/>
          <w:color w:val="auto"/>
          <w:spacing w:val="60"/>
          <w:sz w:val="84"/>
          <w:szCs w:val="84"/>
          <w:highlight w:val="none"/>
        </w:rPr>
      </w:pPr>
      <w:r>
        <w:rPr>
          <w:rFonts w:hint="eastAsia"/>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1"/>
      </w:pPr>
      <w:r>
        <w:rPr>
          <w:color w:val="auto"/>
          <w:sz w:val="24"/>
          <w:szCs w:val="20"/>
          <w:highlight w:val="none"/>
        </w:rPr>
        <w:t xml:space="preserve">1</w:t>
      </w:r>
      <w:r>
        <w:rPr>
          <w:color w:val="auto"/>
          <w:sz w:val="24"/>
          <w:highlight w:val="none"/>
        </w:rPr>
        <w:t xml:space="preserve">满足《中华人民共和国政府采购法》第二十二条规定及法律法规的其他规定</w:t>
      </w:r>
      <w:r/>
    </w:p>
    <w:p>
      <w:pPr>
        <w:pStyle w:val="1073"/>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72"/>
        <w:ind w:firstLine="480"/>
        <w:spacing w:line="460" w:lineRule="exact"/>
        <w:rPr>
          <w:color w:val="auto"/>
          <w:highlight w:val="none"/>
        </w:rPr>
      </w:pPr>
      <w:r>
        <w:rPr>
          <w:color w:val="auto"/>
          <w:highlight w:val="none"/>
        </w:rPr>
      </w:r>
      <w:r/>
    </w:p>
    <w:p>
      <w:pPr>
        <w:pStyle w:val="1072"/>
        <w:ind w:firstLine="480"/>
        <w:spacing w:line="460" w:lineRule="exact"/>
        <w:rPr>
          <w:color w:val="auto"/>
          <w:highlight w:val="none"/>
        </w:rPr>
      </w:pPr>
      <w:r>
        <w:rPr>
          <w:rFonts w:hint="eastAsia"/>
          <w:color w:val="auto"/>
          <w:highlight w:val="none"/>
        </w:rPr>
        <w:t xml:space="preserve">致：</w:t>
      </w:r>
      <w:r>
        <w:rPr>
          <w:color w:val="auto"/>
          <w:highlight w:val="none"/>
        </w:rPr>
        <w:t xml:space="preserve"> </w:t>
      </w:r>
      <w:r>
        <w:rPr>
          <w:rFonts w:hint="eastAsia" w:hAnsi="宋体"/>
          <w:bCs/>
          <w:color w:val="auto"/>
          <w:highlight w:val="none"/>
        </w:rPr>
        <w:t xml:space="preserve">常州中采招投标有限公司</w:t>
      </w:r>
      <w:r/>
    </w:p>
    <w:p>
      <w:pPr>
        <w:pStyle w:val="1072"/>
        <w:ind w:firstLine="960"/>
        <w:spacing w:line="460" w:lineRule="exact"/>
        <w:rPr>
          <w:color w:val="auto"/>
          <w:highlight w:val="none"/>
          <w:u w:val="single"/>
        </w:rPr>
      </w:pPr>
      <w:r>
        <w:rPr>
          <w:rFonts w:hint="eastAsia"/>
          <w:color w:val="auto"/>
          <w:highlight w:val="none"/>
          <w:u w:val="single"/>
        </w:rPr>
        <w:t xml:space="preserve">（采购人名称）</w:t>
      </w:r>
      <w:r/>
    </w:p>
    <w:p>
      <w:pPr>
        <w:pStyle w:val="1072"/>
        <w:ind w:firstLine="480"/>
        <w:spacing w:line="460" w:lineRule="exact"/>
        <w:rPr>
          <w:color w:val="auto"/>
          <w:highlight w:val="none"/>
        </w:rPr>
      </w:pPr>
      <w:r>
        <w:rPr>
          <w:color w:val="auto"/>
          <w:highlight w:val="none"/>
        </w:rPr>
      </w:r>
      <w:r/>
    </w:p>
    <w:p>
      <w:pPr>
        <w:pStyle w:val="1072"/>
        <w:ind w:firstLine="480"/>
        <w:spacing w:line="460" w:lineRule="exact"/>
        <w:rPr>
          <w:color w:val="auto"/>
          <w:highlight w:val="none"/>
        </w:rPr>
      </w:pPr>
      <w:r>
        <w:rPr>
          <w:rFonts w:hint="eastAsia"/>
          <w:color w:val="auto"/>
          <w:highlight w:val="none"/>
        </w:rPr>
        <w:t xml:space="preserve">按照《中华人民共和国政府采购法》第二十二条和采购文件的规定，我单位郑重声明如下：</w:t>
      </w:r>
      <w:r/>
    </w:p>
    <w:p>
      <w:pPr>
        <w:pStyle w:val="1072"/>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72"/>
        <w:ind w:firstLine="480"/>
        <w:spacing w:line="460" w:lineRule="exact"/>
        <w:rPr>
          <w:color w:val="auto"/>
          <w:highlight w:val="none"/>
        </w:rPr>
      </w:pPr>
      <w:r>
        <w:rPr>
          <w:rFonts w:hint="eastAsia"/>
          <w:color w:val="auto"/>
          <w:highlight w:val="none"/>
        </w:rPr>
        <w:t xml:space="preserve">二、我单位具有良好的商业信誉（指供应商经营状况良好，无本资格声明第十条情形）和健全的财务会计制度。</w:t>
      </w:r>
      <w:r/>
    </w:p>
    <w:p>
      <w:pPr>
        <w:pStyle w:val="1072"/>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072"/>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72"/>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72"/>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72"/>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2"/>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072"/>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072"/>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72"/>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72"/>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72"/>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72"/>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072"/>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72"/>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72"/>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72"/>
        <w:ind w:firstLine="480"/>
        <w:spacing w:line="460" w:lineRule="exact"/>
        <w:rPr>
          <w:color w:val="auto"/>
          <w:highlight w:val="none"/>
        </w:rPr>
      </w:pPr>
      <w:r>
        <w:rPr>
          <w:color w:val="auto"/>
          <w:highlight w:val="none"/>
        </w:rPr>
      </w:r>
      <w:r/>
    </w:p>
    <w:p>
      <w:pPr>
        <w:pStyle w:val="1072"/>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72"/>
        <w:ind w:firstLine="480"/>
        <w:spacing w:line="460" w:lineRule="exact"/>
        <w:rPr>
          <w:color w:val="auto"/>
          <w:highlight w:val="none"/>
        </w:rPr>
      </w:pPr>
      <w:r>
        <w:rPr>
          <w:color w:val="auto"/>
          <w:highlight w:val="none"/>
        </w:rPr>
      </w:r>
      <w:r/>
    </w:p>
    <w:p>
      <w:pPr>
        <w:pStyle w:val="1072"/>
        <w:ind w:firstLine="480"/>
        <w:spacing w:line="460" w:lineRule="exact"/>
        <w:rPr>
          <w:color w:val="auto"/>
          <w:highlight w:val="none"/>
        </w:rPr>
      </w:pPr>
      <w:r>
        <w:rPr>
          <w:color w:val="auto"/>
          <w:highlight w:val="none"/>
        </w:rPr>
      </w:r>
      <w:r/>
    </w:p>
    <w:p>
      <w:pPr>
        <w:pStyle w:val="1072"/>
        <w:ind w:firstLine="480"/>
        <w:jc w:val="right"/>
        <w:spacing w:line="460" w:lineRule="exact"/>
        <w:rPr>
          <w:color w:val="auto"/>
          <w:highlight w:val="none"/>
        </w:rPr>
      </w:pPr>
      <w:r>
        <w:rPr>
          <w:rFonts w:hint="eastAsia"/>
          <w:color w:val="auto"/>
          <w:highlight w:val="none"/>
        </w:rPr>
        <w:t xml:space="preserve">供应商：（加盖公章）</w:t>
      </w:r>
      <w:r/>
    </w:p>
    <w:p>
      <w:pPr>
        <w:pStyle w:val="1072"/>
        <w:ind w:firstLine="480"/>
        <w:jc w:val="right"/>
        <w:spacing w:line="460" w:lineRule="exact"/>
        <w:rPr>
          <w:color w:val="auto"/>
          <w:highlight w:val="none"/>
        </w:rPr>
      </w:pPr>
      <w:r>
        <w:rPr>
          <w:rFonts w:hint="eastAsia"/>
          <w:color w:val="auto"/>
          <w:highlight w:val="none"/>
        </w:rPr>
        <w:t xml:space="preserve">法定代表人（或单位负责人）签字或盖章：</w:t>
      </w:r>
      <w:r/>
    </w:p>
    <w:p>
      <w:pPr>
        <w:pStyle w:val="1072"/>
        <w:jc w:val="right"/>
        <w:spacing w:line="460" w:lineRule="exact"/>
        <w:rPr>
          <w:rFonts w:hint="eastAsia"/>
          <w:color w:val="auto"/>
          <w:highlight w:val="none"/>
        </w:rPr>
      </w:pPr>
      <w:r>
        <w:rPr>
          <w:rFonts w:hint="eastAsia"/>
          <w:color w:val="auto"/>
          <w:highlight w:val="none"/>
        </w:rPr>
        <w:t xml:space="preserve">日期：    年    月    日</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pStyle w:val="1073"/>
        <w:rPr>
          <w:rFonts w:hint="eastAsia" w:ascii="Times New Roman"/>
          <w:b w:val="0"/>
          <w:color w:val="auto"/>
          <w:highlight w:val="none"/>
          <w:u w:val="none"/>
        </w:rPr>
      </w:pPr>
      <w:r>
        <w:rPr>
          <w:rFonts w:hint="eastAsia" w:ascii="Times New Roman"/>
          <w:b w:val="0"/>
          <w:color w:val="auto"/>
          <w:highlight w:val="none"/>
          <w:u w:val="none"/>
        </w:rPr>
        <w:t xml:space="preserve">1-2企业营业执照或事业单位法人证书或自然人身份证明文件</w:t>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keepLines w:val="0"/>
        <w:keepNext w:val="0"/>
        <w:pageBreakBefore/>
        <w:spacing w:line="360" w:lineRule="auto"/>
        <w:widowControl w:val="off"/>
        <w:rPr>
          <w:rFonts w:hint="eastAsia"/>
          <w:color w:val="auto"/>
          <w:sz w:val="24"/>
          <w:szCs w:val="20"/>
          <w:highlight w:val="none"/>
        </w:rPr>
        <w:outlineLvl w:val="1"/>
      </w:pPr>
      <w:r>
        <w:rPr>
          <w:color w:val="auto"/>
          <w:sz w:val="24"/>
          <w:szCs w:val="20"/>
          <w:highlight w:val="none"/>
        </w:rPr>
        <w:t xml:space="preserve">2 落实政府采购政策需满足的资格要求：本项目不涉及</w:t>
      </w:r>
      <w:r/>
    </w:p>
    <w:p>
      <w:pPr>
        <w:spacing w:line="360" w:lineRule="auto"/>
        <w:rPr>
          <w:rFonts w:hint="eastAsia"/>
          <w:color w:val="auto"/>
          <w:sz w:val="24"/>
          <w:szCs w:val="20"/>
          <w:highlight w:val="none"/>
        </w:rPr>
        <w:outlineLvl w:val="2"/>
      </w:pPr>
      <w:r/>
      <w:bookmarkStart w:id="691" w:name="_Hlt520274121"/>
      <w:r/>
      <w:bookmarkEnd w:id="691"/>
      <w:r/>
      <w:bookmarkStart w:id="692" w:name="_Hlt520355504"/>
      <w:r/>
      <w:bookmarkEnd w:id="692"/>
      <w:r/>
      <w:bookmarkStart w:id="693" w:name="_Hlt520343000"/>
      <w:r/>
      <w:bookmarkEnd w:id="693"/>
      <w:r/>
      <w:bookmarkStart w:id="694" w:name="_Hlt520271212"/>
      <w:r/>
      <w:bookmarkEnd w:id="694"/>
      <w:r/>
      <w:bookmarkStart w:id="695" w:name="_Hlt520274407"/>
      <w:r/>
      <w:bookmarkEnd w:id="695"/>
      <w:r/>
      <w:bookmarkStart w:id="696" w:name="_Hlt520274065"/>
      <w:r/>
      <w:bookmarkEnd w:id="696"/>
      <w:r/>
      <w:bookmarkStart w:id="697" w:name="_Hlt520343392"/>
      <w:r/>
      <w:bookmarkEnd w:id="697"/>
      <w:r/>
      <w:bookmarkStart w:id="698" w:name="_Hlt520350918"/>
      <w:r/>
      <w:bookmarkEnd w:id="698"/>
      <w:r/>
      <w:bookmarkStart w:id="699" w:name="_Hlt520273711"/>
      <w:r/>
      <w:bookmarkEnd w:id="699"/>
      <w:r/>
      <w:bookmarkStart w:id="700" w:name="_Hlt520274393"/>
      <w:r/>
      <w:bookmarkEnd w:id="700"/>
      <w:r/>
      <w:bookmarkStart w:id="701" w:name="_Toc142311058"/>
      <w:r/>
      <w:bookmarkStart w:id="702" w:name="_Toc150774761"/>
      <w:r/>
      <w:bookmarkStart w:id="703" w:name="_Toc226965829"/>
      <w:r/>
      <w:bookmarkStart w:id="704" w:name="_Toc520356217"/>
      <w:r/>
      <w:bookmarkStart w:id="705" w:name="_Toc127151556"/>
      <w:r/>
      <w:bookmarkStart w:id="706" w:name="_Toc226337252"/>
      <w:r/>
      <w:bookmarkStart w:id="707" w:name="_Toc226965746"/>
      <w:r/>
      <w:bookmarkStart w:id="708" w:name="_Toc195842921"/>
      <w:r/>
      <w:bookmarkStart w:id="709" w:name="_Toc150480794"/>
      <w:r/>
      <w:bookmarkStart w:id="710" w:name="_Toc226309800"/>
      <w:r>
        <w:rPr>
          <w:rFonts w:hint="eastAsia"/>
          <w:color w:val="auto"/>
          <w:sz w:val="24"/>
          <w:szCs w:val="20"/>
          <w:highlight w:val="none"/>
        </w:rPr>
        <w:t xml:space="preserve">2-1</w:t>
      </w:r>
      <w:r>
        <w:rPr>
          <w:color w:val="auto"/>
          <w:sz w:val="24"/>
          <w:szCs w:val="20"/>
          <w:highlight w:val="none"/>
        </w:rPr>
        <w:t xml:space="preserve">本项目不专门面向中小企业。</w:t>
      </w:r>
      <w:r/>
    </w:p>
    <w:p>
      <w:pPr>
        <w:spacing w:line="360" w:lineRule="auto"/>
        <w:rPr>
          <w:color w:val="auto"/>
          <w:sz w:val="24"/>
          <w:szCs w:val="20"/>
          <w:highlight w:val="none"/>
        </w:rPr>
        <w:outlineLvl w:val="2"/>
      </w:pPr>
      <w:r>
        <w:rPr>
          <w:color w:val="auto"/>
          <w:sz w:val="24"/>
          <w:szCs w:val="20"/>
          <w:highlight w:val="none"/>
        </w:rPr>
        <w:t xml:space="preserve">2-</w:t>
      </w:r>
      <w:r>
        <w:rPr>
          <w:rFonts w:hint="eastAsia"/>
          <w:color w:val="auto"/>
          <w:sz w:val="24"/>
          <w:szCs w:val="20"/>
          <w:highlight w:val="none"/>
        </w:rPr>
        <w:t xml:space="preserve">2</w:t>
      </w:r>
      <w:r>
        <w:rPr>
          <w:color w:val="auto"/>
          <w:sz w:val="24"/>
          <w:szCs w:val="20"/>
          <w:highlight w:val="none"/>
        </w:rPr>
        <w:t xml:space="preserve"> </w:t>
      </w:r>
      <w:r>
        <w:rPr>
          <w:color w:val="auto"/>
          <w:sz w:val="24"/>
          <w:highlight w:val="none"/>
        </w:rPr>
        <w:t xml:space="preserve">其它落实政府采购政策的资格要求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jc w:val="left"/>
        <w:widowControl/>
        <w:rPr>
          <w:color w:val="auto"/>
          <w:sz w:val="24"/>
          <w:highlight w:val="none"/>
        </w:rPr>
      </w:pPr>
      <w:r>
        <w:rPr>
          <w:color w:val="auto"/>
          <w:sz w:val="24"/>
          <w:highlight w:val="none"/>
        </w:rPr>
      </w:r>
      <w:r/>
    </w:p>
    <w:p>
      <w:pPr>
        <w:spacing w:line="360" w:lineRule="auto"/>
        <w:rPr>
          <w:color w:val="auto"/>
          <w:sz w:val="24"/>
          <w:szCs w:val="20"/>
          <w:highlight w:val="none"/>
        </w:rPr>
        <w:outlineLvl w:val="1"/>
      </w:pPr>
      <w:r>
        <w:rPr>
          <w:color w:val="auto"/>
          <w:sz w:val="24"/>
          <w:szCs w:val="20"/>
          <w:highlight w:val="none"/>
        </w:rPr>
      </w:r>
      <w:r/>
    </w:p>
    <w:p>
      <w:pPr>
        <w:keepLines w:val="0"/>
        <w:keepNext w:val="0"/>
        <w:pageBreakBefore/>
        <w:spacing w:line="360" w:lineRule="auto"/>
        <w:widowControl w:val="off"/>
        <w:rPr>
          <w:color w:val="auto"/>
          <w:sz w:val="24"/>
          <w:szCs w:val="20"/>
          <w:highlight w:val="none"/>
        </w:rPr>
        <w:outlineLvl w:val="1"/>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rFonts w:hint="eastAsia"/>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w:t>
      </w:r>
      <w:r>
        <w:rPr>
          <w:rFonts w:hint="eastAsia"/>
          <w:color w:val="auto"/>
          <w:sz w:val="24"/>
          <w:szCs w:val="20"/>
          <w:highlight w:val="none"/>
          <w:lang w:val="en-US" w:eastAsia="zh-CN"/>
        </w:rPr>
        <w:t xml:space="preserve">响应</w:t>
      </w:r>
      <w:r>
        <w:rPr>
          <w:rFonts w:hint="eastAsia"/>
          <w:color w:val="auto"/>
          <w:sz w:val="24"/>
          <w:szCs w:val="20"/>
          <w:highlight w:val="none"/>
        </w:rPr>
        <w:t xml:space="preserve">。</w:t>
      </w:r>
      <w:r/>
    </w:p>
    <w:p>
      <w:pPr>
        <w:spacing w:line="360" w:lineRule="auto"/>
        <w:rPr>
          <w:rFonts w:hint="eastAsia"/>
          <w:color w:val="auto"/>
          <w:sz w:val="24"/>
          <w:szCs w:val="20"/>
          <w:highlight w:val="none"/>
        </w:rPr>
        <w:outlineLvl w:val="2"/>
      </w:pPr>
      <w:r>
        <w:rPr>
          <w:color w:val="auto"/>
          <w:sz w:val="24"/>
          <w:szCs w:val="20"/>
          <w:highlight w:val="none"/>
        </w:rPr>
        <w:t xml:space="preserve">3-2其他特定资格要求</w:t>
      </w:r>
      <w:r>
        <w:rPr>
          <w:rFonts w:hint="eastAsia"/>
          <w:color w:val="auto"/>
          <w:sz w:val="24"/>
          <w:szCs w:val="20"/>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具备生态环境部门核发的有效《危险废物经营许可证》（经营范围包含：处置医疗废物HW01,841-001-01,841-002-01）；</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自行运输医疗废物的，须具备有效的《道路危险货物运输许可证》（包含医疗废物、危险废物）；如委托第三方运输，须提供与运输方的有效合同或委托证明及运输方有效的《道路危险货物运输许可证》（包含医疗废物、危险废物）。</w:t>
      </w:r>
      <w:r/>
    </w:p>
    <w:p>
      <w:pPr>
        <w:ind w:firstLine="240"/>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szCs w:val="20"/>
          <w:highlight w:val="none"/>
        </w:rPr>
        <w:outlineLvl w:val="1"/>
      </w:pPr>
      <w:r>
        <w:rPr>
          <w:color w:val="auto"/>
          <w:sz w:val="24"/>
          <w:highlight w:val="none"/>
        </w:rPr>
        <w:br w:type="page" w:clear="all"/>
      </w:r>
      <w:r>
        <w:rPr>
          <w:rFonts w:hint="eastAsia"/>
          <w:color w:val="auto"/>
          <w:sz w:val="24"/>
          <w:highlight w:val="none"/>
        </w:rPr>
        <w:t xml:space="preserve">4</w:t>
      </w:r>
      <w:r>
        <w:rPr>
          <w:color w:val="auto"/>
          <w:sz w:val="24"/>
          <w:highlight w:val="none"/>
        </w:rPr>
        <w:t xml:space="preserve"> 单一来源响应</w:t>
      </w:r>
      <w:bookmarkEnd w:id="701"/>
      <w:r/>
      <w:bookmarkEnd w:id="702"/>
      <w:r/>
      <w:bookmarkEnd w:id="703"/>
      <w:r/>
      <w:bookmarkEnd w:id="704"/>
      <w:r/>
      <w:bookmarkEnd w:id="705"/>
      <w:r/>
      <w:bookmarkEnd w:id="706"/>
      <w:r/>
      <w:bookmarkEnd w:id="707"/>
      <w:r/>
      <w:bookmarkEnd w:id="708"/>
      <w:r/>
      <w:bookmarkEnd w:id="709"/>
      <w:r/>
      <w:bookmarkEnd w:id="710"/>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b/>
          <w:color w:val="auto"/>
          <w:sz w:val="36"/>
          <w:szCs w:val="36"/>
          <w:highlight w:val="none"/>
        </w:rPr>
        <w:t xml:space="preserve">单一来源响应</w:t>
      </w:r>
      <w:r>
        <w:rPr>
          <w:rFonts w:hint="eastAsia"/>
          <w:b/>
          <w:color w:val="auto"/>
          <w:sz w:val="36"/>
          <w:szCs w:val="36"/>
          <w:highlight w:val="none"/>
        </w:rPr>
        <w:t xml:space="preserve">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80"/>
        <w:jc w:val="left"/>
        <w:spacing w:line="420" w:lineRule="exact"/>
        <w:rPr>
          <w:rFonts w:ascii="宋体" w:hAnsi="宋体"/>
          <w:color w:val="auto"/>
          <w:sz w:val="24"/>
          <w:szCs w:val="21"/>
          <w:highlight w:val="none"/>
        </w:rPr>
      </w:pPr>
      <w:r/>
      <w:bookmarkStart w:id="711" w:name="OLE_LINK89"/>
      <w:r/>
      <w:bookmarkStart w:id="712" w:name="OLE_LINK90"/>
      <w:r>
        <w:rPr>
          <w:rFonts w:hint="eastAsia" w:ascii="宋体" w:hAnsi="宋体"/>
          <w:color w:val="auto"/>
          <w:sz w:val="24"/>
          <w:szCs w:val="21"/>
          <w:highlight w:val="none"/>
        </w:rPr>
        <w:t xml:space="preserve">根据贵方的JSZC-</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号采购文件，正式授权下述签字人______(姓名)代表我方______________（供应商的名称），全权处理本次项目单一来源采购的有关事宜。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1.按采购文件规定的各项要求，向买方提供所需货物、服务（包含与货物相关的服务及与服务相关的货物）。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2.我们已详细审核全部采购文件及其有效补充文件，我们知道必须放弃提出含糊不清或误解问题的权利。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3.我们同意从规定的单一来源谈判时间起遵循本响应文件，并在规定的单一来源谈判有效期期满之前均具有约束力。</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4.同意向贵方提供贵方可能另外要求的与单一来源采购有关的任何证据或资料，并保证我方已提供和将要提供的文件是真实的、准确的。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5.一旦我方成交,我方将根据采购文件的规定，严格履行合同的责任和义务,并保证在采购文件规定的时间完成项目，交付买方验收、使用。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6.我方与本次单一来源采购有关的正式通讯地址为：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spacing w:line="360" w:lineRule="auto"/>
        <w:tabs>
          <w:tab w:val="left" w:pos="5580" w:leader="none"/>
        </w:tabs>
        <w:rPr>
          <w:color w:val="auto"/>
          <w:sz w:val="24"/>
          <w:szCs w:val="20"/>
          <w:highlight w:val="none"/>
          <w:u w:val="single"/>
        </w:rPr>
      </w:pPr>
      <w:r>
        <w:rPr>
          <w:rFonts w:hint="eastAsia" w:ascii="宋体" w:hAnsi="宋体"/>
          <w:color w:val="auto"/>
          <w:sz w:val="24"/>
          <w:szCs w:val="21"/>
          <w:highlight w:val="none"/>
        </w:rPr>
        <w:t xml:space="preserve">日           期：________年____月____日</w:t>
      </w:r>
      <w:bookmarkEnd w:id="711"/>
      <w:r/>
      <w:bookmarkEnd w:id="712"/>
      <w:r>
        <w:rPr>
          <w:color w:val="auto"/>
          <w:sz w:val="24"/>
          <w:szCs w:val="20"/>
          <w:highlight w:val="none"/>
        </w:rPr>
        <w:t xml:space="preserve">  </w:t>
      </w:r>
      <w:r/>
    </w:p>
    <w:p>
      <w:pPr>
        <w:spacing w:line="360" w:lineRule="auto"/>
        <w:rPr>
          <w:color w:val="auto"/>
          <w:sz w:val="24"/>
          <w:highlight w:val="none"/>
        </w:rPr>
        <w:outlineLvl w:val="1"/>
      </w:pPr>
      <w:r/>
      <w:bookmarkStart w:id="713" w:name="_Hlt520355938"/>
      <w:r/>
      <w:bookmarkEnd w:id="713"/>
      <w:r/>
      <w:bookmarkStart w:id="714" w:name="_Hlt520356243"/>
      <w:r/>
      <w:bookmarkEnd w:id="714"/>
      <w:r/>
      <w:bookmarkStart w:id="715" w:name="_Toc265228395"/>
      <w:r/>
      <w:bookmarkStart w:id="716" w:name="_Toc305158899"/>
      <w:r/>
      <w:bookmarkStart w:id="717" w:name="_Ref467988705"/>
      <w:r/>
      <w:bookmarkStart w:id="718" w:name="_Toc480942350"/>
      <w:r/>
      <w:bookmarkStart w:id="719" w:name="_Toc150774762"/>
      <w:r/>
      <w:bookmarkStart w:id="720" w:name="_Toc226309801"/>
      <w:r/>
      <w:bookmarkStart w:id="721" w:name="_Toc127151557"/>
      <w:r/>
      <w:bookmarkStart w:id="722" w:name="_Toc305158825"/>
      <w:r/>
      <w:bookmarkStart w:id="723" w:name="_Toc226965747"/>
      <w:r/>
      <w:bookmarkStart w:id="724" w:name="_Toc195842922"/>
      <w:r/>
      <w:bookmarkStart w:id="725" w:name="_Toc150480795"/>
      <w:r/>
      <w:bookmarkStart w:id="726" w:name="_Toc520356218"/>
      <w:r/>
      <w:bookmarkStart w:id="727" w:name="_Toc264969247"/>
      <w:r/>
      <w:bookmarkStart w:id="728" w:name="_Toc142311059"/>
      <w:r/>
      <w:bookmarkStart w:id="729" w:name="_Toc226965830"/>
      <w:r/>
      <w:bookmarkStart w:id="730" w:name="_Toc226337253"/>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ascii="宋体" w:hAnsi="宋体"/>
          <w:color w:val="auto"/>
          <w:sz w:val="24"/>
          <w:highlight w:val="none"/>
        </w:rPr>
        <w:t xml:space="preserve">法定代表人资格证明书</w:t>
      </w:r>
      <w:r>
        <w:rPr>
          <w:rFonts w:hint="eastAsia"/>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法定代表人资格证明书</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单位名称:</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地址:</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系（供应商名称）的法定代表人</w:t>
      </w:r>
      <w:r>
        <w:rPr>
          <w:rFonts w:hint="eastAsia" w:cs="宋体"/>
          <w:color w:val="auto"/>
          <w:spacing w:val="-3"/>
          <w:szCs w:val="21"/>
          <w:highlight w:val="none"/>
        </w:rPr>
        <w:t xml:space="preserve">（</w:t>
      </w:r>
      <w:r>
        <w:rPr>
          <w:rFonts w:hint="eastAsia" w:cs="宋体"/>
          <w:color w:val="auto"/>
          <w:szCs w:val="21"/>
          <w:highlight w:val="none"/>
        </w:rPr>
        <w:t xml:space="preserve">单位负责人</w:t>
      </w:r>
      <w:r>
        <w:rPr>
          <w:rFonts w:hint="eastAsia" w:cs="宋体"/>
          <w:color w:val="auto"/>
          <w:spacing w:val="-3"/>
          <w:szCs w:val="21"/>
          <w:highlight w:val="none"/>
        </w:rPr>
        <w:t xml:space="preserve">）</w:t>
      </w:r>
      <w:r>
        <w:rPr>
          <w:rFonts w:hint="eastAsia" w:ascii="宋体" w:hAnsi="宋体"/>
          <w:bCs/>
          <w:color w:val="auto"/>
          <w:sz w:val="24"/>
          <w:highlight w:val="none"/>
        </w:rPr>
        <w:t xml:space="preserve">。为参与（项目名称）的政府采购活动，</w:t>
      </w:r>
      <w:r>
        <w:rPr>
          <w:rFonts w:ascii="宋体" w:hAnsi="宋体"/>
          <w:bCs/>
          <w:color w:val="auto"/>
          <w:sz w:val="24"/>
          <w:highlight w:val="none"/>
        </w:rPr>
        <w:t xml:space="preserve">签署、澄清确认、递交、撤回、修改</w:t>
      </w:r>
      <w:r>
        <w:rPr>
          <w:rFonts w:hint="eastAsia" w:ascii="宋体" w:hAnsi="宋体"/>
          <w:bCs/>
          <w:color w:val="auto"/>
          <w:sz w:val="24"/>
          <w:highlight w:val="none"/>
        </w:rPr>
        <w:t xml:space="preserve">上述项目的响应文件、进行合同谈判、签署合同和处理与之有关的一切事务。</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特此证明。</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附：法定代表人（单位负责人）有效期内的身</w:t>
      </w:r>
      <w:r>
        <w:rPr>
          <w:rFonts w:hint="eastAsia" w:ascii="宋体" w:hAnsi="宋体"/>
          <w:bCs/>
          <w:color w:val="auto"/>
          <w:sz w:val="24"/>
          <w:highlight w:val="none"/>
        </w:rPr>
        <w:t xml:space="preserve">份</w:t>
      </w:r>
      <w:r>
        <w:rPr>
          <w:rFonts w:ascii="宋体" w:hAnsi="宋体"/>
          <w:bCs/>
          <w:color w:val="auto"/>
          <w:sz w:val="24"/>
          <w:highlight w:val="none"/>
        </w:rPr>
        <w:t xml:space="preserve">证正反</w:t>
      </w:r>
      <w:r>
        <w:rPr>
          <w:rFonts w:hint="eastAsia" w:ascii="宋体" w:hAnsi="宋体"/>
          <w:bCs/>
          <w:color w:val="auto"/>
          <w:sz w:val="24"/>
          <w:highlight w:val="none"/>
        </w:rPr>
        <w:t xml:space="preserve">面复印</w:t>
      </w:r>
      <w:r>
        <w:rPr>
          <w:rFonts w:ascii="宋体" w:hAnsi="宋体"/>
          <w:bCs/>
          <w:color w:val="auto"/>
          <w:sz w:val="24"/>
          <w:highlight w:val="none"/>
        </w:rPr>
        <w:t xml:space="preserve">件</w:t>
      </w:r>
      <w:r>
        <w:rPr>
          <w:rFonts w:hint="eastAsia" w:ascii="宋体" w:hAnsi="宋体"/>
          <w:bCs/>
          <w:color w:val="auto"/>
          <w:sz w:val="24"/>
          <w:highlight w:val="none"/>
        </w:rPr>
        <w:t xml:space="preserve">。</w:t>
      </w:r>
      <w:r/>
    </w:p>
    <w:tbl>
      <w:tblPr>
        <w:tblStyle w:val="9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tc>
        <w:tc>
          <w:tcPr>
            <w:tcW w:w="4536" w:type="dxa"/>
            <w:vAlign w:val="top"/>
            <w:textDirection w:val="lrTb"/>
            <w:noWrap w:val="false"/>
          </w:tcPr>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tc>
      </w:tr>
    </w:tbl>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供应商：（加盖公章）</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rPr>
          <w:rFonts w:hint="eastAsia" w:cs="宋体"/>
          <w:color w:val="auto"/>
          <w:spacing w:val="-3"/>
          <w:szCs w:val="21"/>
          <w:highlight w:val="none"/>
        </w:rPr>
        <w:t xml:space="preserve">（</w:t>
      </w:r>
      <w:r>
        <w:rPr>
          <w:rFonts w:hint="eastAsia" w:cs="宋体"/>
          <w:color w:val="auto"/>
          <w:szCs w:val="21"/>
          <w:highlight w:val="none"/>
        </w:rPr>
        <w:t xml:space="preserve">单位负责人</w:t>
      </w:r>
      <w:r>
        <w:rPr>
          <w:rFonts w:hint="eastAsia" w:cs="宋体"/>
          <w:color w:val="auto"/>
          <w:spacing w:val="-3"/>
          <w:szCs w:val="21"/>
          <w:highlight w:val="none"/>
        </w:rPr>
        <w:t xml:space="preserve">）</w:t>
      </w:r>
      <w:r>
        <w:rPr>
          <w:rFonts w:ascii="宋体" w:hAnsi="宋体"/>
          <w:bCs/>
          <w:color w:val="auto"/>
          <w:sz w:val="24"/>
          <w:highlight w:val="none"/>
        </w:rPr>
        <w:t xml:space="preserve">签字</w:t>
      </w:r>
      <w:r>
        <w:rPr>
          <w:rFonts w:hint="eastAsia" w:ascii="宋体" w:hAnsi="宋体"/>
          <w:bCs/>
          <w:color w:val="auto"/>
          <w:sz w:val="24"/>
          <w:highlight w:val="none"/>
        </w:rPr>
        <w:t xml:space="preserve">或盖章：</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说明</w:t>
      </w:r>
      <w:r>
        <w:rPr>
          <w:rFonts w:ascii="宋体" w:hAnsi="宋体"/>
          <w:bCs/>
          <w:color w:val="auto"/>
          <w:sz w:val="24"/>
          <w:highlight w:val="none"/>
        </w:rPr>
        <w:t xml:space="preserve">：</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sz w:val="24"/>
          <w:highlight w:val="none"/>
        </w:rPr>
        <w:t xml:space="preserve">1.若供应商为事业单位或其他组织或分支机构（仅当</w:t>
      </w:r>
      <w:r>
        <w:rPr>
          <w:rFonts w:hint="eastAsia" w:ascii="宋体" w:hAnsi="宋体"/>
          <w:bCs/>
          <w:color w:val="auto"/>
          <w:sz w:val="24"/>
          <w:highlight w:val="none"/>
        </w:rPr>
        <w:t xml:space="preserve">采购文件</w:t>
      </w:r>
      <w:r>
        <w:rPr>
          <w:rFonts w:ascii="宋体" w:hAnsi="宋体"/>
          <w:bCs/>
          <w:color w:val="auto"/>
          <w:sz w:val="24"/>
          <w:highlight w:val="none"/>
        </w:rPr>
        <w:t xml:space="preserve">注明允许分支机构</w:t>
      </w:r>
      <w:r>
        <w:rPr>
          <w:rFonts w:hint="eastAsia" w:ascii="宋体" w:hAnsi="宋体"/>
          <w:bCs/>
          <w:color w:val="auto"/>
          <w:sz w:val="24"/>
          <w:highlight w:val="none"/>
        </w:rPr>
        <w:t xml:space="preserve">响应</w:t>
      </w:r>
      <w:r>
        <w:rPr>
          <w:rFonts w:ascii="宋体" w:hAnsi="宋体"/>
          <w:bCs/>
          <w:color w:val="auto"/>
          <w:sz w:val="24"/>
          <w:highlight w:val="none"/>
        </w:rPr>
        <w:t xml:space="preserve">的），则法定代表人（单位负责人）</w:t>
      </w:r>
      <w:r>
        <w:rPr>
          <w:rFonts w:hint="eastAsia" w:ascii="宋体" w:hAnsi="宋体"/>
          <w:bCs/>
          <w:color w:val="auto"/>
          <w:sz w:val="24"/>
          <w:highlight w:val="none"/>
        </w:rPr>
        <w:t xml:space="preserve">处</w:t>
      </w:r>
      <w:r>
        <w:rPr>
          <w:rFonts w:ascii="宋体" w:hAnsi="宋体"/>
          <w:bCs/>
          <w:color w:val="auto"/>
          <w:sz w:val="24"/>
          <w:highlight w:val="none"/>
        </w:rPr>
        <w:t xml:space="preserve">的签署人可为单位负责人</w:t>
      </w:r>
      <w:r>
        <w:rPr>
          <w:rFonts w:hint="eastAsia" w:ascii="宋体" w:hAnsi="宋体"/>
          <w:bCs/>
          <w:color w:val="auto"/>
          <w:sz w:val="24"/>
          <w:highlight w:val="none"/>
        </w:rPr>
        <w:t xml:space="preserve">。2</w:t>
      </w:r>
      <w:r>
        <w:rPr>
          <w:rFonts w:ascii="宋体" w:hAnsi="宋体"/>
          <w:bCs/>
          <w:color w:val="auto"/>
          <w:sz w:val="24"/>
          <w:highlight w:val="none"/>
        </w:rPr>
        <w:t xml:space="preserve">.</w:t>
      </w:r>
      <w:r>
        <w:rPr>
          <w:rFonts w:hint="eastAsia" w:ascii="宋体" w:hAnsi="宋体"/>
          <w:bCs/>
          <w:color w:val="auto"/>
          <w:sz w:val="24"/>
          <w:highlight w:val="none"/>
        </w:rPr>
        <w:t xml:space="preserve">供应商为自然人的情形，可不提供本</w:t>
      </w:r>
      <w:r>
        <w:rPr>
          <w:rFonts w:ascii="宋体" w:hAnsi="宋体"/>
          <w:bCs/>
          <w:color w:val="auto"/>
          <w:sz w:val="24"/>
          <w:highlight w:val="none"/>
        </w:rPr>
        <w:t xml:space="preserve">《</w:t>
      </w:r>
      <w:r>
        <w:rPr>
          <w:rFonts w:hint="eastAsia" w:ascii="宋体" w:hAnsi="宋体"/>
          <w:bCs/>
          <w:color w:val="auto"/>
          <w:sz w:val="24"/>
          <w:highlight w:val="none"/>
        </w:rPr>
        <w:t xml:space="preserve">法定代表人资格证明书</w:t>
      </w:r>
      <w:r>
        <w:rPr>
          <w:rFonts w:ascii="宋体" w:hAnsi="宋体"/>
          <w:bCs/>
          <w:color w:val="auto"/>
          <w:sz w:val="24"/>
          <w:highlight w:val="none"/>
        </w:rPr>
        <w:t xml:space="preserve">》</w:t>
      </w:r>
      <w:r>
        <w:rPr>
          <w:rFonts w:hint="eastAsia" w:ascii="宋体" w:hAnsi="宋体"/>
          <w:bCs/>
          <w:color w:val="auto"/>
          <w:sz w:val="24"/>
          <w:highlight w:val="none"/>
        </w:rPr>
        <w:t xml:space="preserve">。</w:t>
      </w:r>
      <w:r/>
    </w:p>
    <w:p>
      <w:pPr>
        <w:spacing w:line="360" w:lineRule="auto"/>
        <w:rPr>
          <w:rFonts w:hint="eastAsia"/>
          <w:color w:val="auto"/>
          <w:sz w:val="24"/>
          <w:highlight w:val="none"/>
        </w:rPr>
        <w:outlineLvl w:val="1"/>
      </w:pPr>
      <w:r>
        <w:rPr>
          <w:rFonts w:hint="eastAsia"/>
          <w:color w:val="auto"/>
          <w:sz w:val="24"/>
          <w:highlight w:val="none"/>
        </w:rPr>
        <w:t xml:space="preserve">6 政府采购供应商信用承诺书</w:t>
      </w:r>
      <w:r>
        <w:rPr>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spacing w:line="336" w:lineRule="auto"/>
        <w:rPr>
          <w:color w:val="auto"/>
          <w:highlight w:val="none"/>
        </w:rPr>
      </w:pPr>
      <w:r>
        <w:rPr>
          <w:color w:val="auto"/>
          <w:highlight w:val="none"/>
        </w:rPr>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w:t>
      </w:r>
      <w:r/>
    </w:p>
    <w:p>
      <w:pPr>
        <w:pStyle w:val="1071"/>
        <w:jc w:val="left"/>
        <w:rPr>
          <w:rFonts w:hint="eastAsia" w:ascii="Times New Roman"/>
          <w:b w:val="0"/>
          <w:color w:val="auto"/>
          <w:highlight w:val="none"/>
        </w:rPr>
      </w:pPr>
      <w:r>
        <w:rPr>
          <w:color w:val="auto"/>
          <w:highlight w:val="none"/>
        </w:rPr>
        <w:br w:type="page" w:clear="all"/>
      </w:r>
      <w:r>
        <w:rPr>
          <w:rFonts w:hint="eastAsia" w:ascii="Times New Roman" w:hAnsi="Times New Roman" w:eastAsia="宋体"/>
          <w:b w:val="0"/>
          <w:color w:val="auto"/>
          <w:sz w:val="24"/>
          <w:highlight w:val="none"/>
        </w:rPr>
        <w:t xml:space="preserve">7 中小企业声明函（非实质性响应条款）</w:t>
      </w:r>
      <w:r/>
    </w:p>
    <w:p>
      <w:pPr>
        <w:spacing w:line="360" w:lineRule="auto"/>
        <w:tabs>
          <w:tab w:val="left" w:pos="5580" w:leader="none"/>
        </w:tabs>
        <w:rPr>
          <w:rFonts w:hint="eastAsia"/>
          <w:b/>
          <w:color w:val="auto"/>
          <w:sz w:val="24"/>
          <w:highlight w:val="none"/>
        </w:rPr>
      </w:pPr>
      <w:r>
        <w:rPr>
          <w:rFonts w:hint="eastAsia"/>
          <w:b/>
          <w:color w:val="auto"/>
          <w:sz w:val="24"/>
          <w:highlight w:val="none"/>
        </w:rPr>
        <w:t xml:space="preserve">本项目不专门面向中小企业</w:t>
      </w:r>
      <w:r/>
    </w:p>
    <w:p>
      <w:pPr>
        <w:spacing w:line="360" w:lineRule="auto"/>
        <w:tabs>
          <w:tab w:val="left" w:pos="5580" w:leader="none"/>
        </w:tabs>
        <w:rPr>
          <w:rFonts w:hint="eastAsia"/>
          <w:color w:val="auto"/>
          <w:sz w:val="24"/>
          <w:highlight w:val="none"/>
        </w:rPr>
      </w:pPr>
      <w:r>
        <w:rPr>
          <w:rFonts w:hint="eastAsia"/>
          <w:color w:val="auto"/>
          <w:sz w:val="24"/>
          <w:highlight w:val="none"/>
        </w:rPr>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w:t>
      </w:r>
      <w:bookmarkStart w:id="731" w:name="OLE_LINK25"/>
      <w:r/>
      <w:bookmarkStart w:id="732" w:name="OLE_LINK26"/>
      <w:r>
        <w:rPr>
          <w:rFonts w:hint="eastAsia"/>
          <w:color w:val="auto"/>
          <w:sz w:val="24"/>
          <w:highlight w:val="none"/>
          <w:lang w:eastAsia="zh-CN"/>
        </w:rPr>
        <w:t xml:space="preserve">供应商</w:t>
      </w:r>
      <w:r>
        <w:rPr>
          <w:rFonts w:hint="eastAsia"/>
          <w:color w:val="auto"/>
          <w:sz w:val="24"/>
          <w:highlight w:val="none"/>
        </w:rPr>
        <w:t xml:space="preserve">（供应商）</w:t>
      </w:r>
      <w:bookmarkEnd w:id="731"/>
      <w:r/>
      <w:bookmarkEnd w:id="732"/>
      <w:r>
        <w:rPr>
          <w:rFonts w:hint="eastAsia"/>
          <w:color w:val="auto"/>
          <w:sz w:val="24"/>
          <w:highlight w:val="none"/>
        </w:rPr>
        <w:t xml:space="preserve">如是属于本项目所属行业的中型、小型、微型企业，残疾人福利性单位、监狱企业的情形的可提供此格式文件，未提供的将不享受有关政策。《中小企业声明函》由参加政府采购活动的</w:t>
      </w:r>
      <w:r>
        <w:rPr>
          <w:rFonts w:hint="eastAsia"/>
          <w:color w:val="auto"/>
          <w:sz w:val="24"/>
          <w:highlight w:val="none"/>
          <w:lang w:eastAsia="zh-CN"/>
        </w:rPr>
        <w:t xml:space="preserve">供应商</w:t>
      </w:r>
      <w:r>
        <w:rPr>
          <w:rFonts w:hint="eastAsia"/>
          <w:color w:val="auto"/>
          <w:sz w:val="24"/>
          <w:highlight w:val="none"/>
        </w:rPr>
        <w:t xml:space="preserve">（供应商）出具。联合体投标的，《中小企业声明函》由牵头人出具。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color w:val="auto"/>
          <w:sz w:val="24"/>
          <w:highlight w:val="none"/>
        </w:rPr>
      </w:pPr>
      <w:r>
        <w:rPr>
          <w:rFonts w:hint="eastAsia"/>
          <w:color w:val="auto"/>
          <w:sz w:val="24"/>
          <w:highlight w:val="none"/>
        </w:rPr>
        <w:t xml:space="preserve">3）对于多标的的采购项目，</w:t>
      </w:r>
      <w:r>
        <w:rPr>
          <w:rFonts w:hint="eastAsia"/>
          <w:color w:val="auto"/>
          <w:sz w:val="24"/>
          <w:highlight w:val="none"/>
          <w:lang w:eastAsia="zh-CN"/>
        </w:rPr>
        <w:t xml:space="preserve">供应商</w:t>
      </w:r>
      <w:r>
        <w:rPr>
          <w:rFonts w:hint="eastAsia"/>
          <w:color w:val="auto"/>
          <w:sz w:val="24"/>
          <w:highlight w:val="none"/>
        </w:rPr>
        <w:t xml:space="preserve">（供应商）应充分、准确地了解所投产品制造企业信息。对相关情况了解不清楚的，不建议填报本声明函。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eastAsia="zh-CN"/>
        </w:rPr>
        <w:t xml:space="preserve">供应商</w:t>
      </w:r>
      <w:r>
        <w:rPr>
          <w:rFonts w:hint="eastAsia"/>
          <w:color w:val="auto"/>
          <w:sz w:val="24"/>
          <w:highlight w:val="none"/>
        </w:rPr>
        <w:t xml:space="preserve">（供应商）填写所属的行业和指标数据可自动生成企业规模类型测试结果。（工信部网址：</w:t>
      </w:r>
      <w:r>
        <w:rPr>
          <w:color w:val="auto"/>
          <w:sz w:val="24"/>
          <w:highlight w:val="none"/>
        </w:rPr>
        <w:t xml:space="preserve">http://202.106.120.146/baosong/appweb/orgScale.html</w:t>
      </w:r>
      <w:r>
        <w:rPr>
          <w:rFonts w:hint="eastAsia"/>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center"/>
        <w:spacing w:line="360" w:lineRule="auto"/>
        <w:rPr>
          <w:b/>
          <w:bCs/>
          <w:color w:val="auto"/>
          <w:sz w:val="24"/>
          <w:highlight w:val="none"/>
        </w:rPr>
      </w:pPr>
      <w:r>
        <w:rPr>
          <w:b/>
          <w:bCs/>
          <w:color w:val="auto"/>
          <w:sz w:val="24"/>
          <w:highlight w:val="none"/>
        </w:rPr>
        <w:br w:type="page" w:clear="all"/>
      </w: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0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14"/>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rFonts w:hint="eastAsia"/>
                <w:color w:val="auto"/>
                <w:szCs w:val="21"/>
                <w:highlight w:val="none"/>
              </w:rPr>
              <w:t xml:space="preserve">从业人员、营业收入、资产总额填报上一年度数据，无上一年度数据的新成立企业可不填报。</w:t>
            </w:r>
            <w:r/>
          </w:p>
        </w:tc>
      </w:tr>
    </w:tbl>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spacing w:line="570" w:lineRule="exac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bCs/>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right"/>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360" w:firstLine="480"/>
        <w:jc w:val="center"/>
        <w:spacing w:line="360" w:lineRule="auto"/>
        <w:rPr>
          <w:color w:val="auto"/>
          <w:sz w:val="24"/>
          <w:highlight w:val="none"/>
        </w:rPr>
      </w:pPr>
      <w:r>
        <w:rPr>
          <w:rFonts w:hint="eastAsia"/>
          <w:color w:val="auto"/>
          <w:spacing w:val="6"/>
          <w:highlight w:val="none"/>
        </w:rPr>
        <w:t xml:space="preserve">             </w:t>
      </w:r>
      <w:r>
        <w:rPr>
          <w:color w:val="auto"/>
          <w:spacing w:val="6"/>
          <w:highlight w:val="none"/>
        </w:rPr>
        <w:t xml:space="preserve">日  期：</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r>
      <w:r/>
    </w:p>
    <w:p>
      <w:pPr>
        <w:spacing w:before="25" w:after="25" w:line="360" w:lineRule="auto"/>
        <w:rPr>
          <w:color w:val="auto"/>
          <w:sz w:val="24"/>
          <w:szCs w:val="20"/>
          <w:highlight w:val="none"/>
        </w:rPr>
        <w:outlineLvl w:val="1"/>
      </w:pPr>
      <w:r>
        <w:rPr>
          <w:color w:val="auto"/>
          <w:sz w:val="24"/>
          <w:szCs w:val="20"/>
          <w:highlight w:val="none"/>
        </w:rPr>
        <w:br w:type="page" w:clear="all"/>
      </w:r>
      <w:r>
        <w:rPr>
          <w:rFonts w:hint="eastAsia"/>
          <w:color w:val="auto"/>
          <w:sz w:val="24"/>
          <w:szCs w:val="20"/>
          <w:highlight w:val="none"/>
        </w:rPr>
        <w:t xml:space="preserve">8 </w:t>
      </w:r>
      <w:r>
        <w:rPr>
          <w:color w:val="auto"/>
          <w:sz w:val="24"/>
          <w:szCs w:val="20"/>
          <w:highlight w:val="none"/>
        </w:rPr>
        <w:t xml:space="preserve">报价一览表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
    </w:p>
    <w:p>
      <w:pPr>
        <w:jc w:val="center"/>
        <w:spacing w:line="360" w:lineRule="exact"/>
        <w:rPr>
          <w:b/>
          <w:color w:val="auto"/>
          <w:sz w:val="36"/>
          <w:szCs w:val="36"/>
          <w:highlight w:val="none"/>
        </w:rPr>
      </w:pPr>
      <w:r/>
      <w:bookmarkStart w:id="733" w:name="_Toc226337254"/>
      <w:r/>
      <w:bookmarkStart w:id="734" w:name="_Toc264969248"/>
      <w:r/>
      <w:bookmarkStart w:id="735" w:name="_Toc265228396"/>
      <w:r/>
      <w:bookmarkStart w:id="736" w:name="_Toc305158900"/>
      <w:r/>
      <w:bookmarkStart w:id="737" w:name="_Toc164608827"/>
      <w:r/>
      <w:bookmarkStart w:id="738" w:name="_Toc305158826"/>
      <w:r/>
      <w:bookmarkStart w:id="739" w:name="_Toc226965831"/>
      <w:r/>
      <w:bookmarkStart w:id="740" w:name="_Toc164608672"/>
      <w:r/>
      <w:bookmarkStart w:id="741" w:name="_Toc195842923"/>
      <w:r/>
      <w:bookmarkStart w:id="742" w:name="_Toc226965748"/>
      <w:r/>
      <w:bookmarkStart w:id="743" w:name="_Toc226309802"/>
      <w:r>
        <w:rPr>
          <w:b/>
          <w:color w:val="auto"/>
          <w:sz w:val="36"/>
          <w:szCs w:val="36"/>
          <w:highlight w:val="none"/>
        </w:rPr>
        <w:t xml:space="preserve">报价一览表</w:t>
      </w:r>
      <w:bookmarkEnd w:id="733"/>
      <w:r/>
      <w:bookmarkEnd w:id="734"/>
      <w:r/>
      <w:bookmarkEnd w:id="735"/>
      <w:r/>
      <w:bookmarkEnd w:id="736"/>
      <w:r/>
      <w:bookmarkEnd w:id="737"/>
      <w:r/>
      <w:bookmarkEnd w:id="738"/>
      <w:r/>
      <w:bookmarkEnd w:id="739"/>
      <w:r/>
      <w:bookmarkEnd w:id="740"/>
      <w:r/>
      <w:bookmarkEnd w:id="741"/>
      <w:r/>
      <w:bookmarkEnd w:id="742"/>
      <w:r/>
      <w:bookmarkEnd w:id="743"/>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投标供应商全称（加盖CA电子签章）：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7499"/>
      </w:tblGrid>
      <w:tr>
        <w:trPr>
          <w:jc w:val="center"/>
          <w:trHeight w:val="738"/>
        </w:trPr>
        <w:tc>
          <w:tcPr>
            <w:tcW w:w="811" w:type="dxa"/>
            <w:vAlign w:val="top"/>
            <w:textDirection w:val="lrTb"/>
            <w:noWrap w:val="false"/>
          </w:tcPr>
          <w:p>
            <w:pPr>
              <w:pStyle w:val="1079"/>
              <w:rPr>
                <w:color w:val="auto"/>
                <w:highlight w:val="none"/>
              </w:rPr>
            </w:pPr>
            <w:r>
              <w:rPr>
                <w:color w:val="auto"/>
                <w:highlight w:val="none"/>
              </w:rPr>
            </w:r>
            <w:r/>
          </w:p>
        </w:tc>
        <w:tc>
          <w:tcPr>
            <w:tcW w:w="7661" w:type="dxa"/>
            <w:vAlign w:val="center"/>
            <w:textDirection w:val="lrTb"/>
            <w:noWrap w:val="false"/>
          </w:tcPr>
          <w:p>
            <w:pPr>
              <w:pStyle w:val="1079"/>
              <w:rPr>
                <w:color w:val="auto"/>
                <w:highlight w:val="none"/>
              </w:rPr>
            </w:pPr>
            <w:r>
              <w:rPr>
                <w:rFonts w:hint="eastAsia"/>
                <w:color w:val="auto"/>
                <w:highlight w:val="none"/>
              </w:rPr>
              <w:t xml:space="preserve">投标</w:t>
            </w:r>
            <w:r>
              <w:rPr>
                <w:rFonts w:hint="eastAsia"/>
                <w:b/>
                <w:bCs/>
                <w:color w:val="auto"/>
                <w:highlight w:val="none"/>
              </w:rPr>
              <w:t xml:space="preserve">单价</w:t>
            </w:r>
            <w:r/>
          </w:p>
        </w:tc>
      </w:tr>
      <w:tr>
        <w:trPr>
          <w:jc w:val="center"/>
          <w:trHeight w:val="1014"/>
        </w:trPr>
        <w:tc>
          <w:tcPr>
            <w:tcW w:w="811" w:type="dxa"/>
            <w:vAlign w:val="top"/>
            <w:textDirection w:val="lrTb"/>
            <w:noWrap w:val="false"/>
          </w:tcPr>
          <w:p>
            <w:pPr>
              <w:pStyle w:val="1079"/>
              <w:rPr>
                <w:color w:val="auto"/>
                <w:highlight w:val="none"/>
              </w:rPr>
            </w:pPr>
            <w:r>
              <w:rPr>
                <w:color w:val="auto"/>
                <w:highlight w:val="none"/>
              </w:rPr>
            </w:r>
            <w:r/>
          </w:p>
        </w:tc>
        <w:tc>
          <w:tcPr>
            <w:tcW w:w="7661" w:type="dxa"/>
            <w:vAlign w:val="center"/>
            <w:textDirection w:val="lrTb"/>
            <w:noWrap w:val="false"/>
          </w:tcPr>
          <w:p>
            <w:pPr>
              <w:pStyle w:val="1079"/>
              <w:rPr>
                <w:color w:val="auto"/>
                <w:highlight w:val="non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（元 人民币）</w:t>
            </w:r>
            <w:r/>
          </w:p>
        </w:tc>
      </w:tr>
    </w:tbl>
    <w:p>
      <w:pPr>
        <w:pStyle w:val="1079"/>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spacing w:before="25" w:after="25"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before="25" w:after="25" w:line="360" w:lineRule="auto"/>
        <w:rPr>
          <w:rFonts w:ascii="宋体" w:hAnsi="宋体"/>
          <w:b/>
          <w:bCs/>
          <w:color w:val="auto"/>
          <w:sz w:val="24"/>
          <w:highlight w:val="none"/>
        </w:rPr>
      </w:pPr>
      <w:r>
        <w:rPr>
          <w:rFonts w:hint="eastAsia" w:ascii="宋体" w:hAnsi="宋体"/>
          <w:b/>
          <w:bCs/>
          <w:color w:val="auto"/>
          <w:sz w:val="24"/>
          <w:highlight w:val="none"/>
        </w:rPr>
        <w:t xml:space="preserve">注：</w:t>
      </w:r>
      <w:r>
        <w:rPr>
          <w:rFonts w:hint="eastAsia"/>
          <w:color w:val="auto"/>
          <w:sz w:val="24"/>
          <w:highlight w:val="none"/>
        </w:rPr>
        <w:t xml:space="preserve">投标单价为</w:t>
      </w:r>
      <w:r>
        <w:rPr>
          <w:rFonts w:hint="eastAsia" w:ascii="宋体" w:hAnsi="宋体" w:cs="宋体"/>
          <w:color w:val="auto"/>
          <w:sz w:val="24"/>
          <w:highlight w:val="none"/>
          <w:lang w:bidi="ar"/>
        </w:rPr>
        <w:t xml:space="preserve">医废处置（不含病理性医废）与病理性医废处置+转运费用单价之和，不得超过最高单价限价，否则视为无效</w:t>
      </w:r>
      <w:r>
        <w:rPr>
          <w:rFonts w:hint="eastAsia" w:ascii="宋体" w:hAnsi="宋体" w:cs="宋体"/>
          <w:color w:val="auto"/>
          <w:sz w:val="24"/>
          <w:highlight w:val="none"/>
          <w:lang w:val="en-US" w:eastAsia="zh-CN" w:bidi="ar"/>
        </w:rPr>
        <w:t xml:space="preserve">响应</w:t>
      </w:r>
      <w:r>
        <w:rPr>
          <w:rFonts w:hint="eastAsia" w:ascii="宋体" w:hAnsi="宋体" w:cs="宋体"/>
          <w:color w:val="auto"/>
          <w:sz w:val="24"/>
          <w:highlight w:val="none"/>
          <w:lang w:bidi="ar"/>
        </w:rPr>
        <w:t xml:space="preserve">。</w:t>
      </w:r>
      <w:r/>
    </w:p>
    <w:p>
      <w:pPr>
        <w:spacing w:before="25" w:after="25" w:line="360" w:lineRule="auto"/>
        <w:rPr>
          <w:color w:val="auto"/>
          <w:sz w:val="24"/>
          <w:highlight w:val="none"/>
          <w:lang w:val="zh-CN"/>
        </w:rPr>
      </w:pPr>
      <w:r>
        <w:rPr>
          <w:color w:val="auto"/>
          <w:sz w:val="24"/>
          <w:szCs w:val="20"/>
          <w:highlight w:val="none"/>
        </w:rPr>
        <w:t xml:space="preserve">   </w:t>
      </w:r>
      <w:r/>
    </w:p>
    <w:p>
      <w:pPr>
        <w:spacing w:before="25" w:after="25" w:line="360" w:lineRule="auto"/>
        <w:rPr>
          <w:color w:val="auto"/>
          <w:sz w:val="24"/>
          <w:szCs w:val="20"/>
          <w:highlight w:val="none"/>
        </w:rPr>
        <w:outlineLvl w:val="1"/>
      </w:pPr>
      <w:r/>
      <w:bookmarkStart w:id="744" w:name="_Toc226337255"/>
      <w:r/>
      <w:bookmarkStart w:id="745" w:name="_Toc226965832"/>
      <w:r/>
      <w:bookmarkStart w:id="746" w:name="_Toc150480796"/>
      <w:r/>
      <w:bookmarkStart w:id="747" w:name="_Toc142311060"/>
      <w:r/>
      <w:bookmarkStart w:id="748" w:name="_Toc226309803"/>
      <w:r/>
      <w:bookmarkStart w:id="749" w:name="_Toc127151558"/>
      <w:r/>
      <w:bookmarkStart w:id="750" w:name="_Toc265228397"/>
      <w:r/>
      <w:bookmarkStart w:id="751" w:name="_Toc305158901"/>
      <w:r/>
      <w:bookmarkStart w:id="752" w:name="_Toc195842924"/>
      <w:r/>
      <w:bookmarkStart w:id="753" w:name="_Toc264969249"/>
      <w:r/>
      <w:bookmarkStart w:id="754" w:name="_Toc150774763"/>
      <w:r/>
      <w:bookmarkStart w:id="755" w:name="_Toc305158827"/>
      <w:r/>
      <w:bookmarkStart w:id="756" w:name="_Toc226965749"/>
      <w:r>
        <w:rPr>
          <w:color w:val="auto"/>
          <w:sz w:val="24"/>
          <w:szCs w:val="20"/>
          <w:highlight w:val="none"/>
        </w:rPr>
        <w:br w:type="page" w:clear="all"/>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color w:val="auto"/>
          <w:sz w:val="24"/>
          <w:szCs w:val="20"/>
          <w:highlight w:val="none"/>
        </w:rPr>
        <w:t xml:space="preserve">9</w:t>
      </w:r>
      <w:r>
        <w:rPr>
          <w:color w:val="auto"/>
          <w:sz w:val="24"/>
          <w:szCs w:val="20"/>
          <w:highlight w:val="none"/>
        </w:rPr>
        <w:t xml:space="preserve"> 分项报价表</w:t>
      </w:r>
      <w:r>
        <w:rPr>
          <w:color w:val="auto"/>
          <w:sz w:val="24"/>
          <w:highlight w:val="none"/>
        </w:rPr>
        <w:t xml:space="preserve">（实质性格式）</w:t>
      </w:r>
      <w:r/>
    </w:p>
    <w:p>
      <w:pPr>
        <w:jc w:val="center"/>
        <w:spacing w:line="360" w:lineRule="exact"/>
        <w:rPr>
          <w:color w:val="auto"/>
          <w:sz w:val="36"/>
          <w:szCs w:val="36"/>
          <w:highlight w:val="none"/>
        </w:rPr>
      </w:pPr>
      <w:r>
        <w:rPr>
          <w:color w:val="auto"/>
          <w:sz w:val="36"/>
          <w:szCs w:val="36"/>
          <w:highlight w:val="none"/>
        </w:rPr>
      </w:r>
      <w:r/>
    </w:p>
    <w:p>
      <w:pPr>
        <w:jc w:val="center"/>
        <w:spacing w:line="360" w:lineRule="exact"/>
        <w:rPr>
          <w:b/>
          <w:color w:val="auto"/>
          <w:sz w:val="36"/>
          <w:szCs w:val="36"/>
          <w:highlight w:val="none"/>
        </w:rPr>
      </w:pPr>
      <w:r>
        <w:rPr>
          <w:b/>
          <w:color w:val="auto"/>
          <w:sz w:val="36"/>
          <w:szCs w:val="36"/>
          <w:highlight w:val="none"/>
        </w:rPr>
        <w:t xml:space="preserve">分项报价表</w:t>
      </w:r>
      <w:r/>
    </w:p>
    <w:p>
      <w:pPr>
        <w:jc w:val="center"/>
        <w:spacing w:line="260" w:lineRule="exact"/>
        <w:rPr>
          <w:color w:val="auto"/>
          <w:sz w:val="36"/>
          <w:szCs w:val="36"/>
          <w:highlight w:val="none"/>
        </w:rPr>
      </w:pPr>
      <w:r>
        <w:rPr>
          <w:color w:val="auto"/>
          <w:sz w:val="36"/>
          <w:szCs w:val="36"/>
          <w:highlight w:val="none"/>
        </w:rPr>
      </w:r>
      <w:r/>
    </w:p>
    <w:p>
      <w:pPr>
        <w:jc w:val="center"/>
        <w:spacing w:line="260" w:lineRule="exact"/>
        <w:rPr>
          <w:color w:val="auto"/>
          <w:sz w:val="36"/>
          <w:szCs w:val="36"/>
          <w:highlight w:val="none"/>
        </w:rPr>
      </w:pPr>
      <w:r/>
      <w:bookmarkStart w:id="757" w:name="_Toc226309806"/>
      <w:r/>
      <w:bookmarkStart w:id="758" w:name="_Toc150480798"/>
      <w:r/>
      <w:bookmarkStart w:id="759" w:name="_Toc264969252"/>
      <w:r/>
      <w:bookmarkStart w:id="760" w:name="_Toc142311062"/>
      <w:r/>
      <w:bookmarkStart w:id="761" w:name="_Toc226965752"/>
      <w:r/>
      <w:bookmarkStart w:id="762" w:name="_Toc226337258"/>
      <w:r/>
      <w:bookmarkStart w:id="763" w:name="_Toc195842927"/>
      <w:r/>
      <w:bookmarkStart w:id="764" w:name="_Toc226965835"/>
      <w:r/>
      <w:bookmarkStart w:id="765" w:name="_Toc305158830"/>
      <w:r/>
      <w:bookmarkStart w:id="766" w:name="_Toc127151562"/>
      <w:r/>
      <w:bookmarkStart w:id="767" w:name="_Toc150774765"/>
      <w:r/>
      <w:bookmarkStart w:id="768" w:name="_Toc265228400"/>
      <w:r/>
      <w:bookmarkStart w:id="769" w:name="_Toc305158904"/>
      <w:r/>
      <w:bookmarkStart w:id="770" w:name="_Toc305158903"/>
      <w:r/>
      <w:bookmarkStart w:id="771" w:name="_Toc142311061"/>
      <w:r/>
      <w:bookmarkStart w:id="772" w:name="_Toc150774764"/>
      <w:r/>
      <w:bookmarkStart w:id="773" w:name="_Toc226337257"/>
      <w:r/>
      <w:bookmarkStart w:id="774" w:name="_Toc305158829"/>
      <w:r/>
      <w:bookmarkStart w:id="775" w:name="_Toc264969251"/>
      <w:r/>
      <w:bookmarkStart w:id="776" w:name="_Toc226965751"/>
      <w:r/>
      <w:bookmarkStart w:id="777" w:name="_Toc150480797"/>
      <w:r/>
      <w:bookmarkStart w:id="778" w:name="_Toc226309805"/>
      <w:r/>
      <w:bookmarkStart w:id="779" w:name="_Toc127151561"/>
      <w:r/>
      <w:bookmarkStart w:id="780" w:name="_Toc226965834"/>
      <w:r/>
      <w:bookmarkStart w:id="781" w:name="_Toc195842926"/>
      <w:r/>
      <w:bookmarkStart w:id="782" w:name="_Toc265228399"/>
      <w:r/>
      <w:r/>
    </w:p>
    <w:p>
      <w:pPr>
        <w:tabs>
          <w:tab w:val="left" w:pos="1800" w:leader="none"/>
          <w:tab w:val="left" w:pos="5580" w:leader="none"/>
        </w:tabs>
        <w:rPr>
          <w:color w:val="auto"/>
          <w:sz w:val="24"/>
          <w:highlight w:val="none"/>
        </w:rPr>
      </w:pPr>
      <w:r>
        <w:rPr>
          <w:color w:val="auto"/>
          <w:sz w:val="24"/>
          <w:highlight w:val="none"/>
        </w:rPr>
        <w:t xml:space="preserve">项目编号/包号：___________ 项目名称：__________报价单位：人民币（元）</w:t>
      </w:r>
      <w:r/>
    </w:p>
    <w:p>
      <w:pPr>
        <w:tabs>
          <w:tab w:val="left" w:pos="1800" w:leader="none"/>
          <w:tab w:val="left" w:pos="5580" w:leader="none"/>
        </w:tabs>
        <w:rPr>
          <w:rFonts w:hint="eastAsia"/>
          <w:color w:val="auto"/>
          <w:sz w:val="24"/>
          <w:highlight w:val="none"/>
        </w:rPr>
      </w:pPr>
      <w:r>
        <w:rPr>
          <w:rFonts w:hint="eastAsia"/>
          <w:color w:val="auto"/>
          <w:sz w:val="24"/>
          <w:highlight w:val="none"/>
        </w:rPr>
      </w:r>
      <w:r/>
    </w:p>
    <w:tbl>
      <w:tblPr>
        <w:tblStyle w:val="901"/>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3619"/>
        <w:gridCol w:w="1183"/>
        <w:gridCol w:w="2304"/>
      </w:tblGrid>
      <w:tr>
        <w:trPr>
          <w:jc w:val="center"/>
          <w:trHeight w:val="467"/>
        </w:trPr>
        <w:tc>
          <w:tcPr>
            <w:tcW w:w="405"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W w:w="1395"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分项名称</w:t>
            </w:r>
            <w:r/>
          </w:p>
        </w:tc>
        <w:tc>
          <w:tcPr>
            <w:tcW w:w="44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tcW w:w="888"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单价报价</w:t>
            </w:r>
            <w:r/>
          </w:p>
        </w:tc>
      </w:tr>
      <w:tr>
        <w:trPr>
          <w:jc w:val="center"/>
          <w:trHeight w:val="294"/>
        </w:trPr>
        <w:tc>
          <w:tcPr>
            <w:tcW w:w="405" w:type="dxa"/>
            <w:vAlign w:val="center"/>
            <w:textDirection w:val="lrTb"/>
            <w:noWrap w:val="false"/>
          </w:tcPr>
          <w:p>
            <w:pPr>
              <w:jc w:val="center"/>
              <w:rPr>
                <w:rFonts w:ascii="宋体" w:hAnsi="宋体" w:cs="Arial"/>
                <w:color w:val="auto"/>
                <w:sz w:val="24"/>
                <w:highlight w:val="none"/>
              </w:rPr>
            </w:pPr>
            <w:r>
              <w:rPr>
                <w:rFonts w:hint="eastAsia" w:ascii="宋体" w:hAnsi="宋体" w:cs="宋体"/>
                <w:color w:val="auto"/>
                <w:sz w:val="24"/>
                <w:highlight w:val="none"/>
                <w:lang w:bidi="ar"/>
              </w:rPr>
              <w:t xml:space="preserve">1</w:t>
            </w:r>
            <w:r/>
          </w:p>
        </w:tc>
        <w:tc>
          <w:tcPr>
            <w:tcW w:w="1395" w:type="dxa"/>
            <w:vAlign w:val="center"/>
            <w:textDirection w:val="lrTb"/>
            <w:noWrap w:val="false"/>
          </w:tcPr>
          <w:p>
            <w:pPr>
              <w:jc w:val="center"/>
              <w:rPr>
                <w:rFonts w:ascii="宋体" w:hAnsi="宋体" w:cs="Arial"/>
                <w:color w:val="auto"/>
                <w:sz w:val="24"/>
                <w:highlight w:val="none"/>
              </w:rPr>
            </w:pPr>
            <w:r>
              <w:rPr>
                <w:rFonts w:hint="eastAsia" w:ascii="宋体" w:hAnsi="宋体" w:cs="宋体"/>
                <w:color w:val="auto"/>
                <w:sz w:val="24"/>
                <w:highlight w:val="none"/>
                <w:lang w:bidi="ar"/>
              </w:rPr>
              <w:t xml:space="preserve">医废处置（不含病理性医废）</w:t>
            </w:r>
            <w:r/>
          </w:p>
        </w:tc>
        <w:tc>
          <w:tcPr>
            <w:tcW w:w="441"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吨</w:t>
            </w:r>
            <w:r/>
          </w:p>
        </w:tc>
        <w:tc>
          <w:tcPr>
            <w:tcW w:w="888" w:type="dxa"/>
            <w:vAlign w:val="center"/>
            <w:textDirection w:val="lrTb"/>
            <w:noWrap w:val="false"/>
          </w:tcPr>
          <w:p>
            <w:pP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Pr>
        <w:tc>
          <w:tcPr>
            <w:tcW w:w="405" w:type="dxa"/>
            <w:vAlign w:val="center"/>
            <w:textDirection w:val="lrTb"/>
            <w:noWrap w:val="false"/>
          </w:tcPr>
          <w:p>
            <w:pPr>
              <w:jc w:val="center"/>
              <w:rPr>
                <w:rFonts w:ascii="宋体" w:hAnsi="宋体" w:cs="Arial"/>
                <w:color w:val="auto"/>
                <w:sz w:val="24"/>
                <w:highlight w:val="none"/>
              </w:rPr>
            </w:pPr>
            <w:r>
              <w:rPr>
                <w:rFonts w:hint="eastAsia" w:ascii="宋体" w:hAnsi="宋体" w:cs="宋体"/>
                <w:color w:val="auto"/>
                <w:sz w:val="24"/>
                <w:highlight w:val="none"/>
                <w:lang w:bidi="ar"/>
              </w:rPr>
              <w:t xml:space="preserve">2</w:t>
            </w:r>
            <w:r/>
          </w:p>
        </w:tc>
        <w:tc>
          <w:tcPr>
            <w:tcW w:w="1395" w:type="dxa"/>
            <w:vAlign w:val="center"/>
            <w:textDirection w:val="lrTb"/>
            <w:noWrap w:val="false"/>
          </w:tcPr>
          <w:p>
            <w:pPr>
              <w:jc w:val="center"/>
              <w:rPr>
                <w:rFonts w:ascii="宋体" w:hAnsi="宋体" w:cs="Arial"/>
                <w:color w:val="auto"/>
                <w:sz w:val="24"/>
                <w:highlight w:val="none"/>
              </w:rPr>
            </w:pPr>
            <w:r>
              <w:rPr>
                <w:rFonts w:hint="eastAsia" w:ascii="宋体" w:hAnsi="宋体" w:cs="宋体"/>
                <w:color w:val="auto"/>
                <w:sz w:val="24"/>
                <w:highlight w:val="none"/>
                <w:lang w:bidi="ar"/>
              </w:rPr>
              <w:t xml:space="preserve">病理性医废处置+转运费用</w:t>
            </w:r>
            <w:r/>
          </w:p>
        </w:tc>
        <w:tc>
          <w:tcPr>
            <w:tcW w:w="441"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公斤</w:t>
            </w:r>
            <w:r/>
          </w:p>
        </w:tc>
        <w:tc>
          <w:tcPr>
            <w:tcW w:w="88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tbl>
      <w:tblPr>
        <w:tblStyle w:val="901"/>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ind w:firstLine="72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720"/>
              <w:jc w:val="left"/>
              <w:widowControl/>
              <w:rPr>
                <w:rFonts w:ascii="宋体" w:hAnsi="宋体" w:cs="宋体"/>
                <w:color w:val="auto"/>
                <w:sz w:val="24"/>
                <w:highlight w:val="none"/>
              </w:rPr>
            </w:pPr>
            <w:r>
              <w:rPr>
                <w:color w:val="auto"/>
                <w:sz w:val="24"/>
                <w:highlight w:val="none"/>
              </w:rPr>
              <w:t xml:space="preserve">供应商</w:t>
            </w:r>
            <w:r>
              <w:rPr>
                <w:rFonts w:hint="eastAsia" w:ascii="宋体" w:hAnsi="宋体" w:cs="宋体"/>
                <w:color w:val="auto"/>
                <w:sz w:val="24"/>
                <w:highlight w:val="none"/>
              </w:rPr>
              <w:t xml:space="preserve">名称（加盖公章）：_____________________</w:t>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ind w:firstLine="720"/>
              <w:jc w:val="left"/>
              <w:widowControl/>
              <w:rPr>
                <w:rFonts w:ascii="宋体" w:hAnsi="宋体" w:cs="宋体"/>
                <w:color w:val="auto"/>
                <w:sz w:val="24"/>
                <w:highlight w:val="none"/>
              </w:rPr>
            </w:pPr>
            <w:r>
              <w:rPr>
                <w:rFonts w:hint="eastAsia" w:ascii="宋体" w:hAnsi="宋体" w:cs="宋体"/>
                <w:color w:val="auto"/>
                <w:sz w:val="24"/>
                <w:highlight w:val="none"/>
              </w:rPr>
              <w:t xml:space="preserve">日期：_____年______月______日 </w:t>
            </w:r>
            <w:r/>
          </w:p>
        </w:tc>
      </w:tr>
    </w:tbl>
    <w:p>
      <w:pPr>
        <w:pStyle w:val="1079"/>
        <w:spacing w:line="276" w:lineRule="auto"/>
        <w:rPr>
          <w:rFonts w:hint="eastAsia"/>
          <w:color w:val="auto"/>
          <w:highlight w:val="none"/>
        </w:rPr>
      </w:pPr>
      <w:r>
        <w:rPr>
          <w:rFonts w:hint="eastAsia"/>
          <w:color w:val="auto"/>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t xml:space="preserve">注：</w:t>
      </w:r>
      <w:r/>
    </w:p>
    <w:p>
      <w:pPr>
        <w:ind w:firstLine="480"/>
        <w:jc w:val="left"/>
        <w:tabs>
          <w:tab w:val="left" w:pos="1800" w:leader="none"/>
          <w:tab w:val="left" w:pos="5580" w:leader="none"/>
        </w:tabs>
        <w:rPr>
          <w:color w:val="auto"/>
          <w:sz w:val="24"/>
          <w:highlight w:val="none"/>
        </w:rPr>
      </w:pPr>
      <w:r>
        <w:rPr>
          <w:color w:val="auto"/>
          <w:sz w:val="24"/>
          <w:highlight w:val="none"/>
        </w:rPr>
        <w:t xml:space="preserve">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w:t>
      </w:r>
      <w:r>
        <w:rPr>
          <w:rFonts w:hint="eastAsia"/>
          <w:color w:val="auto"/>
          <w:sz w:val="24"/>
          <w:highlight w:val="none"/>
          <w:lang w:val="en-US" w:eastAsia="zh-CN"/>
        </w:rPr>
        <w:t xml:space="preserve">采购</w:t>
      </w:r>
      <w:r>
        <w:rPr>
          <w:color w:val="auto"/>
          <w:sz w:val="24"/>
          <w:highlight w:val="none"/>
        </w:rPr>
        <w:t xml:space="preserve">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ind w:firstLine="480"/>
        <w:spacing w:before="25" w:after="25" w:line="360" w:lineRule="auto"/>
        <w:rPr>
          <w:color w:val="auto"/>
          <w:sz w:val="24"/>
          <w:highlight w:val="none"/>
          <w:lang w:val="zh-CN"/>
        </w:rPr>
      </w:pPr>
      <w:r>
        <w:rPr>
          <w:color w:val="auto"/>
          <w:sz w:val="24"/>
          <w:highlight w:val="none"/>
        </w:rPr>
        <w:t xml:space="preserve">5.报价按预估数量报价，最终按实结算。</w:t>
      </w:r>
      <w:r>
        <w:rPr>
          <w:color w:val="auto"/>
          <w:sz w:val="24"/>
          <w:szCs w:val="20"/>
          <w:highlight w:val="none"/>
        </w:rPr>
        <w:t xml:space="preserve">   </w:t>
      </w:r>
      <w:r/>
    </w:p>
    <w:p>
      <w:pPr>
        <w:spacing w:before="25" w:after="25" w:line="360" w:lineRule="auto"/>
        <w:rPr>
          <w:color w:val="auto"/>
          <w:sz w:val="24"/>
          <w:szCs w:val="20"/>
          <w:highlight w:val="none"/>
        </w:rPr>
        <w:outlineLvl w:val="1"/>
      </w:pPr>
      <w:r>
        <w:rPr>
          <w:color w:val="auto"/>
          <w:sz w:val="24"/>
          <w:szCs w:val="20"/>
          <w:highlight w:val="none"/>
        </w:rPr>
        <w:br w:type="page" w:clear="all"/>
      </w:r>
      <w:r>
        <w:rPr>
          <w:rFonts w:hint="eastAsia"/>
          <w:color w:val="auto"/>
          <w:sz w:val="24"/>
          <w:szCs w:val="20"/>
          <w:highlight w:val="none"/>
        </w:rPr>
        <w:t xml:space="preserve">10</w:t>
      </w:r>
      <w:r>
        <w:rPr>
          <w:color w:val="auto"/>
          <w:sz w:val="24"/>
          <w:szCs w:val="20"/>
          <w:highlight w:val="none"/>
        </w:rPr>
        <w:t xml:space="preserve"> </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Pr>
          <w:rFonts w:hint="eastAsia"/>
          <w:color w:val="auto"/>
          <w:sz w:val="24"/>
          <w:szCs w:val="20"/>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193"/>
        <w:gridCol w:w="1731"/>
        <w:gridCol w:w="1732"/>
        <w:gridCol w:w="2102"/>
        <w:gridCol w:w="729"/>
      </w:tblGrid>
      <w:tr>
        <w:trPr>
          <w:jc w:val="center"/>
          <w:trHeight w:val="930"/>
        </w:trPr>
        <w:tc>
          <w:tcPr>
            <w:gridSpan w:val="6"/>
            <w:tcW w:w="8522"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highlight w:val="none"/>
        </w:rPr>
        <w:t xml:space="preserve">日期：_____年______月______日   </w:t>
      </w:r>
      <w:r/>
    </w:p>
    <w:p>
      <w:pPr>
        <w:spacing w:before="25" w:after="25" w:line="360" w:lineRule="auto"/>
        <w:rPr>
          <w:color w:val="auto"/>
          <w:sz w:val="24"/>
          <w:szCs w:val="20"/>
          <w:highlight w:val="none"/>
        </w:rPr>
        <w:outlineLvl w:val="1"/>
      </w:pPr>
      <w:r>
        <w:rPr>
          <w:color w:val="auto"/>
          <w:sz w:val="24"/>
          <w:szCs w:val="20"/>
          <w:highlight w:val="none"/>
        </w:rPr>
        <w:br w:type="page" w:clear="all"/>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hint="eastAsia"/>
          <w:color w:val="auto"/>
          <w:sz w:val="24"/>
          <w:szCs w:val="20"/>
          <w:highlight w:val="none"/>
        </w:rPr>
        <w:t xml:space="preserve">11</w:t>
      </w:r>
      <w:r>
        <w:rPr>
          <w:color w:val="auto"/>
          <w:sz w:val="24"/>
          <w:szCs w:val="20"/>
          <w:highlight w:val="none"/>
        </w:rPr>
        <w:t xml:space="preserve"> </w:t>
      </w:r>
      <w:r>
        <w:rPr>
          <w:rFonts w:hint="eastAsia"/>
          <w:color w:val="auto"/>
          <w:sz w:val="24"/>
          <w:szCs w:val="20"/>
          <w:highlight w:val="none"/>
        </w:rPr>
        <w:t xml:space="preserve">商务要求响应及偏离表</w:t>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rFonts w:hint="eastAsia"/>
          <w:color w:val="auto"/>
          <w:sz w:val="24"/>
          <w:highlight w:val="none"/>
        </w:rPr>
      </w:pPr>
      <w:r>
        <w:rPr>
          <w:color w:val="auto"/>
          <w:sz w:val="24"/>
          <w:highlight w:val="none"/>
        </w:rPr>
        <w:t xml:space="preserve">项目编号/包号：_____________________     项目名称：____________</w:t>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193"/>
        <w:gridCol w:w="1731"/>
        <w:gridCol w:w="1732"/>
        <w:gridCol w:w="2102"/>
        <w:gridCol w:w="729"/>
      </w:tblGrid>
      <w:tr>
        <w:trPr>
          <w:jc w:val="center"/>
          <w:trHeight w:val="930"/>
        </w:trPr>
        <w:tc>
          <w:tcPr>
            <w:gridSpan w:val="6"/>
            <w:tcW w:w="8522"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bookmarkStart w:id="783" w:name="OLE_LINK99"/>
      <w:r/>
      <w:bookmarkStart w:id="784" w:name="OLE_LINK100"/>
      <w:r>
        <w:rPr>
          <w:color w:val="auto"/>
          <w:sz w:val="24"/>
          <w:highlight w:val="none"/>
        </w:rPr>
        <w:t xml:space="preserve">日期：_____年______月______日   </w:t>
      </w:r>
      <w:bookmarkEnd w:id="783"/>
      <w:bookmarkEnd w:id="784"/>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spacing w:line="360" w:lineRule="auto"/>
        <w:rPr>
          <w:b/>
          <w:color w:val="auto"/>
          <w:sz w:val="24"/>
          <w:highlight w:val="none"/>
        </w:rPr>
        <w:outlineLvl w:val="1"/>
      </w:pPr>
      <w:r>
        <w:rPr>
          <w:b/>
          <w:color w:val="auto"/>
          <w:sz w:val="24"/>
          <w:highlight w:val="none"/>
        </w:rPr>
      </w:r>
      <w:r/>
    </w:p>
    <w:p>
      <w:pPr>
        <w:rPr>
          <w:color w:val="auto"/>
          <w:highlight w:val="none"/>
        </w:rPr>
      </w:pPr>
      <w:r>
        <w:rPr>
          <w:color w:val="auto"/>
          <w:highlight w:val="none"/>
        </w:rPr>
      </w:r>
      <w:r/>
    </w:p>
    <w:p>
      <w:pPr>
        <w:ind w:left="228" w:hanging="228"/>
        <w:spacing w:line="360" w:lineRule="auto"/>
        <w:rPr>
          <w:rFonts w:hint="eastAsia" w:ascii="宋体" w:hAnsi="宋体"/>
          <w:color w:val="auto"/>
          <w:sz w:val="24"/>
          <w:highlight w:val="none"/>
        </w:rPr>
        <w:outlineLvl w:val="2"/>
      </w:pPr>
      <w:r/>
      <w:bookmarkStart w:id="785" w:name="_Toc87538864"/>
      <w:r>
        <w:rPr>
          <w:color w:val="auto"/>
          <w:sz w:val="24"/>
          <w:szCs w:val="20"/>
          <w:highlight w:val="none"/>
        </w:rPr>
        <w:br w:type="page" w:clear="all"/>
      </w:r>
      <w:r>
        <w:rPr>
          <w:rFonts w:hint="eastAsia"/>
          <w:color w:val="auto"/>
          <w:sz w:val="24"/>
          <w:szCs w:val="20"/>
          <w:highlight w:val="none"/>
        </w:rPr>
        <w:t xml:space="preserve">12 </w:t>
      </w:r>
      <w:r>
        <w:rPr>
          <w:rFonts w:hint="eastAsia" w:ascii="宋体" w:hAnsi="宋体"/>
          <w:color w:val="auto"/>
          <w:sz w:val="24"/>
          <w:highlight w:val="none"/>
        </w:rPr>
        <w:t xml:space="preserve">参加本项目人员一览表</w:t>
      </w:r>
      <w:r/>
    </w:p>
    <w:p>
      <w:pPr>
        <w:ind w:left="267" w:hanging="267"/>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参加本项目人员一览表</w:t>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项目编号： </w:t>
      </w:r>
      <w:r/>
    </w:p>
    <w:tbl>
      <w:tblPr>
        <w:tblStyle w:val="901"/>
        <w:tblW w:w="926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性别</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年龄</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毕业学校和学历</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专业</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职称</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专业培训及证书</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责任</w:t>
            </w:r>
            <w:r/>
          </w:p>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或分工</w:t>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项目经历或主要工作</w:t>
            </w:r>
            <w:r/>
          </w:p>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业绩</w:t>
            </w:r>
            <w:r/>
          </w:p>
        </w:tc>
      </w:tr>
      <w:tr>
        <w:trPr>
          <w:jc w:val="center"/>
        </w:trPr>
        <w:tc>
          <w:tcPr>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注：参加本项目人员须是</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正式职工。</w:t>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供应商名称（加盖公章）：    ____________</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sz w:val="24"/>
          <w:highlight w:val="none"/>
        </w:rPr>
        <w:t xml:space="preserve">日期：_____年______月______日</w:t>
      </w:r>
      <w:r/>
    </w:p>
    <w:p>
      <w:pPr>
        <w:spacing w:line="360" w:lineRule="auto"/>
        <w:rPr>
          <w:rFonts w:hint="eastAsia" w:ascii="宋体" w:hAnsi="宋体"/>
          <w:color w:val="auto"/>
          <w:sz w:val="24"/>
          <w:highlight w:val="none"/>
        </w:rPr>
        <w:outlineLvl w:val="2"/>
      </w:pPr>
      <w:r>
        <w:rPr>
          <w:rFonts w:hint="eastAsia"/>
          <w:color w:val="auto"/>
          <w:sz w:val="24"/>
          <w:szCs w:val="20"/>
          <w:highlight w:val="none"/>
        </w:rPr>
        <w:t xml:space="preserve">13</w:t>
      </w:r>
      <w:r>
        <w:rPr>
          <w:color w:val="auto"/>
          <w:sz w:val="24"/>
          <w:szCs w:val="20"/>
          <w:highlight w:val="none"/>
        </w:rPr>
        <w:t xml:space="preserve"> </w:t>
      </w:r>
      <w:r>
        <w:rPr>
          <w:rFonts w:hint="eastAsia" w:ascii="宋体" w:hAnsi="宋体"/>
          <w:color w:val="auto"/>
          <w:sz w:val="24"/>
          <w:highlight w:val="none"/>
        </w:rPr>
        <w:t xml:space="preserve">相关业绩案例一览表</w:t>
      </w:r>
      <w:r/>
    </w:p>
    <w:p>
      <w:pPr>
        <w:ind w:left="267" w:hanging="267"/>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相关业绩案例一览表</w:t>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项目编号：                   </w:t>
      </w:r>
      <w:r/>
    </w:p>
    <w:tbl>
      <w:tblPr>
        <w:tblStyle w:val="90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供应商名称（加盖公章）：    ____________</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sz w:val="24"/>
          <w:highlight w:val="none"/>
        </w:rPr>
        <w:t xml:space="preserve">日期：_____年______月_____</w:t>
      </w:r>
      <w:bookmarkEnd w:id="785"/>
      <w:r/>
    </w:p>
    <w:p>
      <w:pPr>
        <w:spacing w:line="360" w:lineRule="auto"/>
        <w:rPr>
          <w:color w:val="auto"/>
          <w:sz w:val="24"/>
          <w:szCs w:val="20"/>
          <w:highlight w:val="none"/>
        </w:rPr>
        <w:outlineLvl w:val="1"/>
      </w:pPr>
      <w:r>
        <w:rPr>
          <w:rFonts w:hint="eastAsia"/>
          <w:color w:val="auto"/>
          <w:sz w:val="24"/>
          <w:szCs w:val="20"/>
          <w:highlight w:val="none"/>
        </w:rPr>
        <w:t xml:space="preserve">14</w:t>
      </w:r>
      <w:r>
        <w:rPr>
          <w:color w:val="auto"/>
          <w:sz w:val="24"/>
          <w:szCs w:val="20"/>
          <w:highlight w:val="none"/>
        </w:rPr>
        <w:t xml:space="preserve"> 单一来源采购文件要求提供或供应商认为应附的其他材料</w:t>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r/>
    </w:p>
    <w:p>
      <w:pPr>
        <w:spacing w:line="360" w:lineRule="auto"/>
        <w:rPr>
          <w:color w:val="auto"/>
          <w:sz w:val="24"/>
          <w:szCs w:val="20"/>
          <w:highlight w:val="none"/>
        </w:rPr>
        <w:outlineLvl w:val="1"/>
      </w:pPr>
      <w:r>
        <w:rPr>
          <w:color w:val="auto"/>
          <w:sz w:val="24"/>
          <w:szCs w:val="20"/>
          <w:highlight w:val="none"/>
        </w:rPr>
      </w:r>
      <w:bookmarkEnd w:id="786"/>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MS Gothic">
    <w:panose1 w:val="020B0609070205080204"/>
  </w:font>
  <w:font w:name="CESI黑体-GB2312">
    <w:panose1 w:val="020B0503020202020204"/>
  </w:font>
  <w:font w:name="Symbol">
    <w:panose1 w:val="05050102010706020507"/>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仿宋_GB2312">
    <w:panose1 w:val="02010609060101010101"/>
  </w:font>
  <w:font w:name="Century Gothic">
    <w:panose1 w:val="020B050202020202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02"/>
      </w:rPr>
      <w:framePr w:wrap="around" w:vAnchor="text" w:hAnchor="margin" w:xAlign="right" w:y="1"/>
    </w:pPr>
    <w:r>
      <w:fldChar w:fldCharType="begin"/>
    </w:r>
    <w:r>
      <w:rPr>
        <w:rStyle w:val="1102"/>
      </w:rPr>
      <w:instrText xml:space="preserve">PAGE  </w:instrText>
    </w:r>
    <w:r>
      <w:fldChar w:fldCharType="end"/>
    </w:r>
    <w:r/>
  </w:p>
  <w:p>
    <w:pPr>
      <w:pStyle w:val="108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02"/>
      </w:rPr>
      <w:framePr w:wrap="around" w:vAnchor="text" w:hAnchor="margin" w:xAlign="right" w:y="1"/>
    </w:pPr>
    <w:r>
      <w:fldChar w:fldCharType="begin"/>
    </w:r>
    <w:r>
      <w:rPr>
        <w:rStyle w:val="1102"/>
      </w:rPr>
      <w:instrText xml:space="preserve">PAGE  </w:instrText>
    </w:r>
    <w:r>
      <w:fldChar w:fldCharType="end"/>
    </w:r>
    <w:r/>
  </w:p>
  <w:p>
    <w:pPr>
      <w:pStyle w:val="1088"/>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left" w:pos="3081"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1604010</wp:posOffset>
              </wp:positionH>
              <wp:positionV relativeFrom="paragraph">
                <wp:posOffset>-89535</wp:posOffset>
              </wp:positionV>
              <wp:extent cx="2016760" cy="204470"/>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6.3pt;mso-position-horizontal:absolute;mso-position-vertical-relative:text;margin-top:-7.0pt;mso-position-vertical:absolute;width:158.8pt;height:16.1pt;mso-wrap-distance-left:9.0pt;mso-wrap-distance-top:0.0pt;mso-wrap-distance-right:9.0pt;mso-wrap-distance-bottom:0.0pt;" stroked="f">
              <v:path textboxrect="0,0,0,0"/>
              <w10:wrap type="topAndBottom"/>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1756410</wp:posOffset>
              </wp:positionH>
              <wp:positionV relativeFrom="paragraph">
                <wp:posOffset>-109220</wp:posOffset>
              </wp:positionV>
              <wp:extent cx="2016760" cy="204470"/>
              <wp:effectExtent l="0" t="0" r="0" b="0"/>
              <wp:wrapTopAndBottom/>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8.3pt;mso-position-horizontal:absolute;mso-position-vertical-relative:text;margin-top:-8.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1727200</wp:posOffset>
              </wp:positionH>
              <wp:positionV relativeFrom="paragraph">
                <wp:posOffset>-73660</wp:posOffset>
              </wp:positionV>
              <wp:extent cx="2016760" cy="20447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6.0pt;mso-position-horizontal:absolute;mso-position-vertical-relative:text;margin-top:-5.8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1.%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1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6"/>
      <w:isLgl w:val="false"/>
      <w:suff w:val="nothing"/>
      <w:lvlText w:val="%1.%2.%3.%4.%5.%6　"/>
      <w:lvlJc w:val="left"/>
      <w:pPr>
        <w:ind w:left="-25" w:firstLine="0"/>
      </w:pPr>
      <w:rPr>
        <w:rFonts w:ascii="Times New Roman" w:hAnsi="Times New Roman" w:eastAsia="宋体"/>
        <w:b/>
        <w:i w:val="0"/>
        <w:sz w:val="28"/>
      </w:rPr>
    </w:lvl>
    <w:lvl w:ilvl="6">
      <w:start w:val="1"/>
      <w:numFmt w:val="lowerLetter"/>
      <w:pStyle w:val="111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2"/>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5012" w:hanging="900"/>
        <w:tabs>
          <w:tab w:val="left" w:pos="5133" w:leader="none"/>
        </w:tabs>
      </w:pPr>
      <w:rPr>
        <w:rFonts w:ascii="Times New Roman" w:hAnsi="Times New Roman" w:cs="Times New Roman"/>
        <w:b w:val="0"/>
        <w:bCs/>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japaneseCounting"/>
      <w:isLgl w:val="false"/>
      <w:suff w:val="tab"/>
      <w:lvlText w:val="第%1章"/>
      <w:lvlJc w:val="left"/>
      <w:pPr>
        <w:ind w:left="5225" w:hanging="1140"/>
        <w:tabs>
          <w:tab w:val="left" w:pos="5225" w:leader="none"/>
        </w:tabs>
      </w:pPr>
      <w:rPr>
        <w:rFonts w:hint="eastAsia"/>
      </w:rPr>
    </w:lvl>
    <w:lvl w:ilvl="1">
      <w:start w:val="1"/>
      <w:numFmt w:val="lowerLetter"/>
      <w:isLgl w:val="false"/>
      <w:suff w:val="tab"/>
      <w:lvlText w:val="%2)"/>
      <w:lvlJc w:val="left"/>
      <w:pPr>
        <w:ind w:left="4925" w:hanging="420"/>
        <w:tabs>
          <w:tab w:val="left" w:pos="4925" w:leader="none"/>
        </w:tabs>
      </w:pPr>
    </w:lvl>
    <w:lvl w:ilvl="2">
      <w:start w:val="1"/>
      <w:numFmt w:val="lowerRoman"/>
      <w:isLgl w:val="false"/>
      <w:suff w:val="tab"/>
      <w:lvlText w:val="%3."/>
      <w:lvlJc w:val="right"/>
      <w:pPr>
        <w:ind w:left="5345" w:hanging="420"/>
        <w:tabs>
          <w:tab w:val="left" w:pos="5345" w:leader="none"/>
        </w:tabs>
      </w:pPr>
    </w:lvl>
    <w:lvl w:ilvl="3">
      <w:start w:val="1"/>
      <w:numFmt w:val="decimal"/>
      <w:isLgl w:val="false"/>
      <w:suff w:val="tab"/>
      <w:lvlText w:val="%4."/>
      <w:lvlJc w:val="left"/>
      <w:pPr>
        <w:ind w:left="5765" w:hanging="420"/>
        <w:tabs>
          <w:tab w:val="left" w:pos="5765" w:leader="none"/>
        </w:tabs>
      </w:pPr>
    </w:lvl>
    <w:lvl w:ilvl="4">
      <w:start w:val="1"/>
      <w:numFmt w:val="lowerLetter"/>
      <w:isLgl w:val="false"/>
      <w:suff w:val="tab"/>
      <w:lvlText w:val="%5)"/>
      <w:lvlJc w:val="left"/>
      <w:pPr>
        <w:ind w:left="6185" w:hanging="420"/>
        <w:tabs>
          <w:tab w:val="left" w:pos="6185" w:leader="none"/>
        </w:tabs>
      </w:pPr>
    </w:lvl>
    <w:lvl w:ilvl="5">
      <w:start w:val="1"/>
      <w:numFmt w:val="lowerRoman"/>
      <w:isLgl w:val="false"/>
      <w:suff w:val="tab"/>
      <w:lvlText w:val="%6."/>
      <w:lvlJc w:val="right"/>
      <w:pPr>
        <w:ind w:left="6605" w:hanging="420"/>
        <w:tabs>
          <w:tab w:val="left" w:pos="6605" w:leader="none"/>
        </w:tabs>
      </w:pPr>
    </w:lvl>
    <w:lvl w:ilvl="6">
      <w:start w:val="1"/>
      <w:numFmt w:val="decimal"/>
      <w:isLgl w:val="false"/>
      <w:suff w:val="tab"/>
      <w:lvlText w:val="%7."/>
      <w:lvlJc w:val="left"/>
      <w:pPr>
        <w:ind w:left="7025" w:hanging="420"/>
        <w:tabs>
          <w:tab w:val="left" w:pos="7025" w:leader="none"/>
        </w:tabs>
      </w:pPr>
    </w:lvl>
    <w:lvl w:ilvl="7">
      <w:start w:val="1"/>
      <w:numFmt w:val="lowerLetter"/>
      <w:isLgl w:val="false"/>
      <w:suff w:val="tab"/>
      <w:lvlText w:val="%8)"/>
      <w:lvlJc w:val="left"/>
      <w:pPr>
        <w:ind w:left="7445" w:hanging="420"/>
        <w:tabs>
          <w:tab w:val="left" w:pos="7445" w:leader="none"/>
        </w:tabs>
      </w:pPr>
    </w:lvl>
    <w:lvl w:ilvl="8">
      <w:start w:val="1"/>
      <w:numFmt w:val="lowerRoman"/>
      <w:isLgl w:val="false"/>
      <w:suff w:val="tab"/>
      <w:lvlText w:val="%9."/>
      <w:lvlJc w:val="right"/>
      <w:pPr>
        <w:ind w:left="7865" w:hanging="420"/>
        <w:tabs>
          <w:tab w:val="left" w:pos="7865" w:leader="none"/>
        </w:tabs>
      </w:pPr>
    </w:lvl>
  </w:abstractNum>
  <w:abstractNum w:abstractNumId="7">
    <w:multiLevelType w:val="hybridMultilevel"/>
    <w:lvl w:ilvl="0">
      <w:start w:val="2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hint="eastAsia"/>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default="1">
    <w:name w:val="Normal"/>
    <w:link w:val="11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name w:val="Heading 1"/>
    <w:basedOn w:val="890"/>
    <w:next w:val="890"/>
    <w:link w:val="924"/>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925"/>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926"/>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927"/>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928"/>
    <w:uiPriority w:val="9"/>
    <w:unhideWhenUsed/>
    <w:qFormat/>
    <w:pPr>
      <w:keepLines/>
      <w:keepNext/>
      <w:spacing w:before="320" w:after="200"/>
      <w:outlineLvl w:val="4"/>
    </w:pPr>
    <w:rPr>
      <w:rFonts w:ascii="Arial" w:hAnsi="Arial" w:eastAsia="Arial" w:cs="Arial"/>
      <w:b/>
      <w:bCs/>
      <w:sz w:val="24"/>
      <w:szCs w:val="24"/>
    </w:rPr>
  </w:style>
  <w:style w:type="paragraph" w:styleId="896">
    <w:name w:val="Heading 6"/>
    <w:basedOn w:val="890"/>
    <w:next w:val="890"/>
    <w:link w:val="929"/>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931"/>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932"/>
    <w:uiPriority w:val="9"/>
    <w:unhideWhenUsed/>
    <w:qFormat/>
    <w:pPr>
      <w:keepLines/>
      <w:keepNext/>
      <w:spacing w:before="320" w:after="200"/>
      <w:outlineLvl w:val="8"/>
    </w:pPr>
    <w:rPr>
      <w:rFonts w:ascii="Arial" w:hAnsi="Arial" w:eastAsia="Arial" w:cs="Arial"/>
      <w:i/>
      <w:iCs/>
      <w:sz w:val="21"/>
      <w:szCs w:val="21"/>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toc 7"/>
    <w:basedOn w:val="890"/>
    <w:next w:val="890"/>
    <w:uiPriority w:val="39"/>
    <w:unhideWhenUsed/>
    <w:qFormat/>
    <w:pPr>
      <w:ind w:left="1701" w:right="0" w:firstLine="0"/>
      <w:spacing w:after="57"/>
    </w:pPr>
  </w:style>
  <w:style w:type="paragraph" w:styleId="903">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4">
    <w:name w:val="annotation text"/>
    <w:basedOn w:val="890"/>
    <w:uiPriority w:val="99"/>
    <w:semiHidden/>
    <w:unhideWhenUsed/>
    <w:qFormat/>
    <w:pPr>
      <w:jc w:val="left"/>
    </w:pPr>
  </w:style>
  <w:style w:type="paragraph" w:styleId="905">
    <w:name w:val="toc 5"/>
    <w:basedOn w:val="890"/>
    <w:next w:val="890"/>
    <w:uiPriority w:val="39"/>
    <w:unhideWhenUsed/>
    <w:qFormat/>
    <w:pPr>
      <w:ind w:left="1134" w:right="0" w:firstLine="0"/>
      <w:spacing w:after="57"/>
    </w:pPr>
  </w:style>
  <w:style w:type="paragraph" w:styleId="906">
    <w:name w:val="toc 3"/>
    <w:basedOn w:val="890"/>
    <w:next w:val="890"/>
    <w:uiPriority w:val="39"/>
    <w:unhideWhenUsed/>
    <w:qFormat/>
    <w:pPr>
      <w:ind w:left="567" w:right="0" w:firstLine="0"/>
      <w:spacing w:after="57"/>
    </w:pPr>
  </w:style>
  <w:style w:type="paragraph" w:styleId="907">
    <w:name w:val="toc 8"/>
    <w:basedOn w:val="890"/>
    <w:next w:val="890"/>
    <w:uiPriority w:val="39"/>
    <w:unhideWhenUsed/>
    <w:qFormat/>
    <w:pPr>
      <w:ind w:left="1984" w:right="0" w:firstLine="0"/>
      <w:spacing w:after="57"/>
    </w:pPr>
  </w:style>
  <w:style w:type="paragraph" w:styleId="908">
    <w:name w:val="endnote text"/>
    <w:basedOn w:val="890"/>
    <w:link w:val="1069"/>
    <w:uiPriority w:val="99"/>
    <w:semiHidden/>
    <w:unhideWhenUsed/>
    <w:qFormat/>
    <w:pPr>
      <w:spacing w:after="0" w:line="240" w:lineRule="auto"/>
    </w:pPr>
    <w:rPr>
      <w:sz w:val="20"/>
    </w:rPr>
  </w:style>
  <w:style w:type="paragraph" w:styleId="909">
    <w:name w:val="Footer"/>
    <w:basedOn w:val="890"/>
    <w:link w:val="942"/>
    <w:uiPriority w:val="99"/>
    <w:unhideWhenUsed/>
    <w:qFormat/>
    <w:pPr>
      <w:spacing w:after="0" w:line="240" w:lineRule="auto"/>
      <w:tabs>
        <w:tab w:val="center" w:pos="7143" w:leader="none"/>
        <w:tab w:val="right" w:pos="14287" w:leader="none"/>
      </w:tabs>
    </w:pPr>
  </w:style>
  <w:style w:type="paragraph" w:styleId="910">
    <w:name w:val="Header"/>
    <w:basedOn w:val="890"/>
    <w:link w:val="941"/>
    <w:uiPriority w:val="99"/>
    <w:unhideWhenUsed/>
    <w:qFormat/>
    <w:pPr>
      <w:spacing w:after="0" w:line="240" w:lineRule="auto"/>
      <w:tabs>
        <w:tab w:val="center" w:pos="7143" w:leader="none"/>
        <w:tab w:val="right" w:pos="14287" w:leader="none"/>
      </w:tabs>
    </w:pPr>
  </w:style>
  <w:style w:type="paragraph" w:styleId="911">
    <w:name w:val="toc 1"/>
    <w:basedOn w:val="890"/>
    <w:next w:val="890"/>
    <w:uiPriority w:val="39"/>
    <w:unhideWhenUsed/>
    <w:qFormat/>
    <w:pPr>
      <w:ind w:left="0" w:right="0" w:firstLine="0"/>
      <w:spacing w:after="57"/>
    </w:pPr>
  </w:style>
  <w:style w:type="paragraph" w:styleId="912">
    <w:name w:val="toc 4"/>
    <w:basedOn w:val="890"/>
    <w:next w:val="890"/>
    <w:uiPriority w:val="39"/>
    <w:unhideWhenUsed/>
    <w:qFormat/>
    <w:pPr>
      <w:ind w:left="850" w:right="0" w:firstLine="0"/>
      <w:spacing w:after="57"/>
    </w:pPr>
  </w:style>
  <w:style w:type="paragraph" w:styleId="913">
    <w:name w:val="Subtitle"/>
    <w:basedOn w:val="890"/>
    <w:next w:val="890"/>
    <w:link w:val="936"/>
    <w:uiPriority w:val="11"/>
    <w:qFormat/>
    <w:pPr>
      <w:spacing w:before="200" w:after="200"/>
    </w:pPr>
    <w:rPr>
      <w:sz w:val="24"/>
      <w:szCs w:val="24"/>
    </w:rPr>
  </w:style>
  <w:style w:type="paragraph" w:styleId="914">
    <w:name w:val="footnote text"/>
    <w:basedOn w:val="890"/>
    <w:link w:val="1068"/>
    <w:uiPriority w:val="99"/>
    <w:semiHidden/>
    <w:unhideWhenUsed/>
    <w:qFormat/>
    <w:pPr>
      <w:spacing w:after="40" w:line="240" w:lineRule="auto"/>
    </w:pPr>
    <w:rPr>
      <w:sz w:val="18"/>
    </w:rPr>
  </w:style>
  <w:style w:type="paragraph" w:styleId="915">
    <w:name w:val="toc 6"/>
    <w:basedOn w:val="890"/>
    <w:next w:val="890"/>
    <w:uiPriority w:val="39"/>
    <w:unhideWhenUsed/>
    <w:qFormat/>
    <w:pPr>
      <w:ind w:left="1417" w:right="0" w:firstLine="0"/>
      <w:spacing w:after="57"/>
    </w:pPr>
  </w:style>
  <w:style w:type="paragraph" w:styleId="916">
    <w:name w:val="table of figures"/>
    <w:basedOn w:val="890"/>
    <w:next w:val="890"/>
    <w:uiPriority w:val="99"/>
    <w:unhideWhenUsed/>
    <w:qFormat/>
    <w:pPr>
      <w:spacing w:after="0" w:afterAutospacing="0"/>
    </w:pPr>
  </w:style>
  <w:style w:type="paragraph" w:styleId="917">
    <w:name w:val="toc 2"/>
    <w:basedOn w:val="890"/>
    <w:next w:val="890"/>
    <w:uiPriority w:val="39"/>
    <w:unhideWhenUsed/>
    <w:qFormat/>
    <w:pPr>
      <w:ind w:left="283" w:right="0" w:firstLine="0"/>
      <w:spacing w:after="57"/>
    </w:pPr>
  </w:style>
  <w:style w:type="paragraph" w:styleId="918">
    <w:name w:val="toc 9"/>
    <w:basedOn w:val="890"/>
    <w:next w:val="890"/>
    <w:uiPriority w:val="39"/>
    <w:unhideWhenUsed/>
    <w:qFormat/>
    <w:pPr>
      <w:ind w:left="2268" w:right="0" w:firstLine="0"/>
      <w:spacing w:after="57"/>
    </w:pPr>
  </w:style>
  <w:style w:type="paragraph" w:styleId="919">
    <w:name w:val="Title"/>
    <w:basedOn w:val="890"/>
    <w:next w:val="890"/>
    <w:link w:val="935"/>
    <w:uiPriority w:val="10"/>
    <w:qFormat/>
    <w:pPr>
      <w:contextualSpacing/>
      <w:spacing w:before="300" w:after="200"/>
    </w:pPr>
    <w:rPr>
      <w:sz w:val="48"/>
      <w:szCs w:val="48"/>
    </w:rPr>
  </w:style>
  <w:style w:type="table" w:styleId="9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endnote reference"/>
    <w:uiPriority w:val="99"/>
    <w:semiHidden/>
    <w:unhideWhenUsed/>
    <w:qFormat/>
    <w:rPr>
      <w:vertAlign w:val="superscript"/>
    </w:rPr>
  </w:style>
  <w:style w:type="character" w:styleId="922">
    <w:name w:val="Hyperlink"/>
    <w:uiPriority w:val="99"/>
    <w:unhideWhenUsed/>
    <w:qFormat/>
    <w:rPr>
      <w:color w:val="0000ff" w:themeColor="hyperlink"/>
      <w:u w:val="single"/>
      <w14:textFill>
        <w14:solidFill>
          <w14:schemeClr w14:val="hlink"/>
        </w14:solidFill>
      </w14:textFill>
    </w:rPr>
  </w:style>
  <w:style w:type="character" w:styleId="923">
    <w:name w:val="footnote reference"/>
    <w:uiPriority w:val="99"/>
    <w:unhideWhenUsed/>
    <w:qFormat/>
    <w:rPr>
      <w:vertAlign w:val="superscript"/>
    </w:rPr>
  </w:style>
  <w:style w:type="character" w:styleId="924" w:customStyle="1">
    <w:name w:val="Heading 1 Char"/>
    <w:link w:val="891"/>
    <w:uiPriority w:val="9"/>
    <w:qFormat/>
    <w:rPr>
      <w:rFonts w:ascii="Arial" w:hAnsi="Arial" w:eastAsia="Arial" w:cs="Arial"/>
      <w:sz w:val="40"/>
      <w:szCs w:val="40"/>
    </w:rPr>
  </w:style>
  <w:style w:type="character" w:styleId="925" w:customStyle="1">
    <w:name w:val="Heading 2 Char"/>
    <w:link w:val="892"/>
    <w:uiPriority w:val="9"/>
    <w:qFormat/>
    <w:rPr>
      <w:rFonts w:ascii="Arial" w:hAnsi="Arial" w:eastAsia="Arial" w:cs="Arial"/>
      <w:sz w:val="34"/>
    </w:rPr>
  </w:style>
  <w:style w:type="character" w:styleId="926" w:customStyle="1">
    <w:name w:val="Heading 3 Char"/>
    <w:link w:val="893"/>
    <w:uiPriority w:val="9"/>
    <w:qFormat/>
    <w:rPr>
      <w:rFonts w:ascii="Arial" w:hAnsi="Arial" w:eastAsia="Arial" w:cs="Arial"/>
      <w:sz w:val="30"/>
      <w:szCs w:val="30"/>
    </w:rPr>
  </w:style>
  <w:style w:type="character" w:styleId="927" w:customStyle="1">
    <w:name w:val="Heading 4 Char"/>
    <w:link w:val="894"/>
    <w:uiPriority w:val="9"/>
    <w:qFormat/>
    <w:rPr>
      <w:rFonts w:ascii="Arial" w:hAnsi="Arial" w:eastAsia="Arial" w:cs="Arial"/>
      <w:b/>
      <w:bCs/>
      <w:sz w:val="26"/>
      <w:szCs w:val="26"/>
    </w:rPr>
  </w:style>
  <w:style w:type="character" w:styleId="928" w:customStyle="1">
    <w:name w:val="Heading 5 Char"/>
    <w:link w:val="895"/>
    <w:uiPriority w:val="9"/>
    <w:qFormat/>
    <w:rPr>
      <w:rFonts w:ascii="Arial" w:hAnsi="Arial" w:eastAsia="Arial" w:cs="Arial"/>
      <w:b/>
      <w:bCs/>
      <w:sz w:val="24"/>
      <w:szCs w:val="24"/>
    </w:rPr>
  </w:style>
  <w:style w:type="character" w:styleId="929" w:customStyle="1">
    <w:name w:val="Heading 6 Char"/>
    <w:link w:val="896"/>
    <w:uiPriority w:val="9"/>
    <w:qFormat/>
    <w:rPr>
      <w:rFonts w:ascii="Arial" w:hAnsi="Arial" w:eastAsia="Arial" w:cs="Arial"/>
      <w:b/>
      <w:bCs/>
      <w:sz w:val="22"/>
      <w:szCs w:val="22"/>
    </w:rPr>
  </w:style>
  <w:style w:type="character" w:styleId="930" w:customStyle="1">
    <w:name w:val="Heading 7 Char"/>
    <w:link w:val="897"/>
    <w:uiPriority w:val="9"/>
    <w:qFormat/>
    <w:rPr>
      <w:rFonts w:ascii="Arial" w:hAnsi="Arial" w:eastAsia="Arial" w:cs="Arial"/>
      <w:b/>
      <w:bCs/>
      <w:i/>
      <w:iCs/>
      <w:sz w:val="22"/>
      <w:szCs w:val="22"/>
    </w:rPr>
  </w:style>
  <w:style w:type="character" w:styleId="931" w:customStyle="1">
    <w:name w:val="Heading 8 Char"/>
    <w:link w:val="898"/>
    <w:uiPriority w:val="9"/>
    <w:qFormat/>
    <w:rPr>
      <w:rFonts w:ascii="Arial" w:hAnsi="Arial" w:eastAsia="Arial" w:cs="Arial"/>
      <w:i/>
      <w:iCs/>
      <w:sz w:val="22"/>
      <w:szCs w:val="22"/>
    </w:rPr>
  </w:style>
  <w:style w:type="character" w:styleId="932" w:customStyle="1">
    <w:name w:val="Heading 9 Char"/>
    <w:link w:val="899"/>
    <w:uiPriority w:val="9"/>
    <w:qFormat/>
    <w:rPr>
      <w:rFonts w:ascii="Arial" w:hAnsi="Arial" w:eastAsia="Arial" w:cs="Arial"/>
      <w:i/>
      <w:iCs/>
      <w:sz w:val="21"/>
      <w:szCs w:val="21"/>
    </w:rPr>
  </w:style>
  <w:style w:type="paragraph" w:styleId="933">
    <w:name w:val="List Paragraph"/>
    <w:basedOn w:val="890"/>
    <w:uiPriority w:val="34"/>
    <w:qFormat/>
    <w:pPr>
      <w:contextualSpacing/>
      <w:ind w:left="720"/>
    </w:pPr>
  </w:style>
  <w:style w:type="paragraph" w:styleId="934">
    <w:name w:val="No Spacing"/>
    <w:uiPriority w:val="1"/>
    <w:qFormat/>
    <w:pPr>
      <w:spacing w:before="0" w:after="0" w:line="240" w:lineRule="auto"/>
    </w:pPr>
    <w:rPr>
      <w:rFonts w:hint="default" w:ascii="Times New Roman" w:hAnsi="Times New Roman" w:eastAsia="宋体" w:cs="Times New Roman"/>
    </w:rPr>
  </w:style>
  <w:style w:type="character" w:styleId="935" w:customStyle="1">
    <w:name w:val="Title Char"/>
    <w:link w:val="919"/>
    <w:uiPriority w:val="10"/>
    <w:qFormat/>
    <w:rPr>
      <w:sz w:val="48"/>
      <w:szCs w:val="48"/>
    </w:rPr>
  </w:style>
  <w:style w:type="character" w:styleId="936" w:customStyle="1">
    <w:name w:val="Subtitle Char"/>
    <w:link w:val="913"/>
    <w:uiPriority w:val="11"/>
    <w:qFormat/>
    <w:rPr>
      <w:sz w:val="24"/>
      <w:szCs w:val="24"/>
    </w:rPr>
  </w:style>
  <w:style w:type="paragraph" w:styleId="937">
    <w:name w:val="Quote"/>
    <w:basedOn w:val="890"/>
    <w:next w:val="890"/>
    <w:link w:val="938"/>
    <w:uiPriority w:val="29"/>
    <w:qFormat/>
    <w:pPr>
      <w:ind w:left="720" w:right="720"/>
    </w:pPr>
    <w:rPr>
      <w:i/>
    </w:rPr>
  </w:style>
  <w:style w:type="character" w:styleId="938" w:customStyle="1">
    <w:name w:val="Quote Char"/>
    <w:link w:val="937"/>
    <w:uiPriority w:val="29"/>
    <w:qFormat/>
    <w:rPr>
      <w:i/>
    </w:rPr>
  </w:style>
  <w:style w:type="paragraph" w:styleId="939">
    <w:name w:val="Intense Quote"/>
    <w:basedOn w:val="890"/>
    <w:next w:val="890"/>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Intense Quote Char"/>
    <w:link w:val="939"/>
    <w:uiPriority w:val="30"/>
    <w:qFormat/>
    <w:rPr>
      <w:i/>
    </w:rPr>
  </w:style>
  <w:style w:type="character" w:styleId="941" w:customStyle="1">
    <w:name w:val="Header Char"/>
    <w:link w:val="910"/>
    <w:uiPriority w:val="99"/>
  </w:style>
  <w:style w:type="character" w:styleId="942" w:customStyle="1">
    <w:name w:val="Caption Char"/>
    <w:link w:val="909"/>
    <w:uiPriority w:val="99"/>
  </w:style>
  <w:style w:type="table" w:styleId="94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Footnote Text Char"/>
    <w:link w:val="914"/>
    <w:uiPriority w:val="99"/>
    <w:qFormat/>
    <w:rPr>
      <w:sz w:val="18"/>
    </w:rPr>
  </w:style>
  <w:style w:type="character" w:styleId="1069" w:customStyle="1">
    <w:name w:val="Endnote Text Char"/>
    <w:link w:val="908"/>
    <w:uiPriority w:val="99"/>
    <w:qFormat/>
    <w:rPr>
      <w:sz w:val="20"/>
    </w:rPr>
  </w:style>
  <w:style w:type="paragraph" w:styleId="1070" w:customStyle="1">
    <w:name w:val="TOC Heading"/>
    <w:uiPriority w:val="39"/>
    <w:unhideWhenUsed/>
    <w:qFormat/>
    <w:rPr>
      <w:rFonts w:hint="default" w:ascii="Times New Roman" w:hAnsi="Times New Roman" w:eastAsia="宋体" w:cs="Times New Roman"/>
    </w:rPr>
  </w:style>
  <w:style w:type="paragraph" w:styleId="1071" w:customStyle="1">
    <w:name w:val="标题 21"/>
    <w:basedOn w:val="890"/>
    <w:next w:val="1072"/>
    <w:link w:val="1076"/>
    <w:uiPriority w:val="0"/>
    <w:qFormat/>
    <w:pPr>
      <w:jc w:val="center"/>
      <w:keepLines/>
      <w:keepNext/>
      <w:spacing w:before="120" w:line="300" w:lineRule="auto"/>
      <w:outlineLvl w:val="1"/>
    </w:pPr>
    <w:rPr>
      <w:rFonts w:ascii="Arial" w:hAnsi="Arial" w:eastAsia="黑体"/>
      <w:b/>
      <w:sz w:val="30"/>
      <w:szCs w:val="20"/>
    </w:rPr>
  </w:style>
  <w:style w:type="paragraph" w:styleId="1072" w:customStyle="1">
    <w:name w:val="正文缩进1"/>
    <w:basedOn w:val="890"/>
    <w:uiPriority w:val="0"/>
    <w:qFormat/>
    <w:pPr>
      <w:ind w:firstLine="420"/>
      <w:jc w:val="left"/>
    </w:pPr>
    <w:rPr>
      <w:rFonts w:ascii="宋体"/>
      <w:sz w:val="24"/>
    </w:rPr>
  </w:style>
  <w:style w:type="paragraph" w:styleId="1073" w:customStyle="1">
    <w:name w:val="标题 31"/>
    <w:basedOn w:val="890"/>
    <w:next w:val="1072"/>
    <w:uiPriority w:val="0"/>
    <w:qFormat/>
    <w:pPr>
      <w:jc w:val="left"/>
      <w:keepLines/>
      <w:keepNext/>
      <w:spacing w:before="360" w:after="120"/>
      <w:outlineLvl w:val="2"/>
    </w:pPr>
    <w:rPr>
      <w:rFonts w:ascii="宋体"/>
      <w:b/>
      <w:sz w:val="24"/>
      <w:szCs w:val="20"/>
      <w:u w:val="single"/>
    </w:rPr>
  </w:style>
  <w:style w:type="character" w:styleId="1074" w:customStyle="1">
    <w:name w:val="默认段落字体1"/>
    <w:link w:val="890"/>
    <w:uiPriority w:val="0"/>
    <w:semiHidden/>
    <w:qFormat/>
  </w:style>
  <w:style w:type="table" w:styleId="1075" w:customStyle="1">
    <w:name w:val="普通表格1"/>
    <w:uiPriority w:val="0"/>
    <w:semiHidden/>
    <w:qFormat/>
    <w:tblPr/>
  </w:style>
  <w:style w:type="character" w:styleId="1076" w:customStyle="1">
    <w:name w:val="标题 2 字符"/>
    <w:link w:val="1071"/>
    <w:uiPriority w:val="0"/>
    <w:qFormat/>
    <w:rPr>
      <w:rFonts w:ascii="Arial" w:hAnsi="Arial" w:eastAsia="黑体"/>
      <w:b/>
      <w:sz w:val="30"/>
    </w:rPr>
  </w:style>
  <w:style w:type="paragraph" w:styleId="1077" w:customStyle="1">
    <w:name w:val="批注文字1"/>
    <w:basedOn w:val="890"/>
    <w:link w:val="1078"/>
    <w:uiPriority w:val="0"/>
    <w:qFormat/>
    <w:pPr>
      <w:jc w:val="left"/>
    </w:pPr>
  </w:style>
  <w:style w:type="character" w:styleId="1078" w:customStyle="1">
    <w:name w:val="批注文字 字符"/>
    <w:link w:val="1077"/>
    <w:uiPriority w:val="0"/>
    <w:qFormat/>
    <w:rPr>
      <w:sz w:val="21"/>
      <w:szCs w:val="24"/>
    </w:rPr>
  </w:style>
  <w:style w:type="paragraph" w:styleId="1079" w:customStyle="1">
    <w:name w:val="正文文本11"/>
    <w:basedOn w:val="890"/>
    <w:next w:val="890"/>
    <w:link w:val="1080"/>
    <w:uiPriority w:val="0"/>
    <w:qFormat/>
    <w:pPr>
      <w:spacing w:before="120" w:line="22" w:lineRule="atLeast"/>
      <w:tabs>
        <w:tab w:val="left" w:pos="567" w:leader="none"/>
      </w:tabs>
    </w:pPr>
    <w:rPr>
      <w:rFonts w:ascii="宋体" w:hAnsi="宋体"/>
      <w:sz w:val="24"/>
    </w:rPr>
  </w:style>
  <w:style w:type="character" w:styleId="1080" w:customStyle="1">
    <w:name w:val="正文文本 字符"/>
    <w:link w:val="1079"/>
    <w:uiPriority w:val="0"/>
    <w:qFormat/>
    <w:rPr>
      <w:rFonts w:ascii="宋体" w:hAnsi="宋体"/>
      <w:sz w:val="24"/>
      <w:szCs w:val="24"/>
    </w:rPr>
  </w:style>
  <w:style w:type="paragraph" w:styleId="1081" w:customStyle="1">
    <w:name w:val="正文文本缩进11"/>
    <w:basedOn w:val="890"/>
    <w:next w:val="1082"/>
    <w:link w:val="1083"/>
    <w:uiPriority w:val="0"/>
    <w:qFormat/>
    <w:pPr>
      <w:ind w:firstLine="570"/>
      <w:spacing w:line="360" w:lineRule="auto"/>
    </w:pPr>
    <w:rPr>
      <w:sz w:val="24"/>
    </w:rPr>
  </w:style>
  <w:style w:type="paragraph" w:styleId="1082" w:customStyle="1">
    <w:name w:val="目录 51"/>
    <w:basedOn w:val="890"/>
    <w:next w:val="890"/>
    <w:uiPriority w:val="0"/>
    <w:qFormat/>
    <w:pPr>
      <w:ind w:left="1680"/>
    </w:pPr>
  </w:style>
  <w:style w:type="character" w:styleId="1083" w:customStyle="1">
    <w:name w:val="正文文本缩进 字符"/>
    <w:link w:val="1081"/>
    <w:uiPriority w:val="0"/>
    <w:qFormat/>
    <w:rPr>
      <w:rFonts w:ascii="Times New Roman" w:hAnsi="Times New Roman"/>
      <w:sz w:val="24"/>
      <w:szCs w:val="24"/>
    </w:rPr>
  </w:style>
  <w:style w:type="paragraph" w:styleId="1084" w:customStyle="1">
    <w:name w:val="纯文本11"/>
    <w:basedOn w:val="890"/>
    <w:link w:val="1085"/>
    <w:uiPriority w:val="0"/>
    <w:qFormat/>
    <w:rPr>
      <w:rFonts w:hint="eastAsia" w:ascii="宋体" w:hAnsi="Courier New"/>
      <w:szCs w:val="20"/>
    </w:rPr>
  </w:style>
  <w:style w:type="character" w:styleId="1085" w:customStyle="1">
    <w:name w:val="纯文本 字符"/>
    <w:link w:val="1084"/>
    <w:uiPriority w:val="0"/>
    <w:qFormat/>
    <w:rPr>
      <w:rFonts w:ascii="宋体" w:hAnsi="Courier New"/>
      <w:sz w:val="21"/>
    </w:rPr>
  </w:style>
  <w:style w:type="paragraph" w:styleId="1086" w:customStyle="1">
    <w:name w:val="批注框文本1"/>
    <w:basedOn w:val="890"/>
    <w:link w:val="1087"/>
    <w:uiPriority w:val="0"/>
    <w:qFormat/>
    <w:rPr>
      <w:sz w:val="18"/>
      <w:szCs w:val="18"/>
    </w:rPr>
  </w:style>
  <w:style w:type="character" w:styleId="1087" w:customStyle="1">
    <w:name w:val="批注框文本 字符"/>
    <w:link w:val="1086"/>
    <w:uiPriority w:val="0"/>
    <w:qFormat/>
    <w:rPr>
      <w:rFonts w:ascii="Times New Roman" w:hAnsi="Times New Roman"/>
      <w:sz w:val="18"/>
      <w:szCs w:val="18"/>
    </w:rPr>
  </w:style>
  <w:style w:type="paragraph" w:styleId="1088" w:customStyle="1">
    <w:name w:val="页脚11"/>
    <w:basedOn w:val="890"/>
    <w:link w:val="1089"/>
    <w:uiPriority w:val="99"/>
    <w:qFormat/>
    <w:pPr>
      <w:jc w:val="left"/>
      <w:tabs>
        <w:tab w:val="center" w:pos="4153" w:leader="none"/>
        <w:tab w:val="right" w:pos="8306" w:leader="none"/>
      </w:tabs>
    </w:pPr>
    <w:rPr>
      <w:rFonts w:ascii="宋体"/>
      <w:sz w:val="18"/>
      <w:szCs w:val="20"/>
    </w:rPr>
  </w:style>
  <w:style w:type="character" w:styleId="1089" w:customStyle="1">
    <w:name w:val="页脚 字符"/>
    <w:link w:val="1088"/>
    <w:uiPriority w:val="99"/>
    <w:qFormat/>
    <w:rPr>
      <w:rFonts w:ascii="宋体" w:hAnsi="Times New Roman"/>
      <w:sz w:val="18"/>
    </w:rPr>
  </w:style>
  <w:style w:type="paragraph" w:styleId="1090" w:customStyle="1">
    <w:name w:val="页眉11"/>
    <w:basedOn w:val="890"/>
    <w:uiPriority w:val="0"/>
    <w:qFormat/>
    <w:pPr>
      <w:jc w:val="center"/>
      <w:tabs>
        <w:tab w:val="center" w:pos="4153" w:leader="none"/>
        <w:tab w:val="right" w:pos="8306" w:leader="none"/>
      </w:tabs>
      <w:pBdr>
        <w:bottom w:val="single" w:color="000000" w:sz="6" w:space="1"/>
      </w:pBdr>
    </w:pPr>
    <w:rPr>
      <w:sz w:val="18"/>
      <w:szCs w:val="18"/>
    </w:rPr>
  </w:style>
  <w:style w:type="paragraph" w:styleId="1091" w:customStyle="1">
    <w:name w:val="目录 11"/>
    <w:basedOn w:val="890"/>
    <w:next w:val="890"/>
    <w:uiPriority w:val="39"/>
    <w:qFormat/>
    <w:pPr>
      <w:spacing w:line="300" w:lineRule="auto"/>
      <w:tabs>
        <w:tab w:val="left" w:pos="1050" w:leader="none"/>
        <w:tab w:val="right" w:pos="8937" w:leader="dot"/>
      </w:tabs>
    </w:pPr>
    <w:rPr>
      <w:rFonts w:ascii="宋体" w:hAnsi="宋体"/>
      <w:b/>
      <w:sz w:val="24"/>
    </w:rPr>
  </w:style>
  <w:style w:type="paragraph" w:styleId="1092" w:customStyle="1">
    <w:name w:val="普通(网站)1"/>
    <w:basedOn w:val="890"/>
    <w:link w:val="1093"/>
    <w:uiPriority w:val="99"/>
    <w:unhideWhenUsed/>
    <w:qFormat/>
    <w:pPr>
      <w:jc w:val="left"/>
      <w:spacing w:before="100" w:beforeAutospacing="1" w:after="100" w:afterAutospacing="1"/>
      <w:widowControl/>
    </w:pPr>
    <w:rPr>
      <w:rFonts w:ascii="宋体" w:hAnsi="宋体" w:cs="宋体"/>
      <w:sz w:val="24"/>
    </w:rPr>
  </w:style>
  <w:style w:type="character" w:styleId="1093" w:customStyle="1">
    <w:name w:val="普通(网站) 字符"/>
    <w:link w:val="1092"/>
    <w:uiPriority w:val="99"/>
    <w:qFormat/>
    <w:rPr>
      <w:rFonts w:ascii="宋体" w:hAnsi="宋体" w:cs="宋体"/>
      <w:sz w:val="24"/>
      <w:szCs w:val="24"/>
    </w:rPr>
  </w:style>
  <w:style w:type="paragraph" w:styleId="1094" w:customStyle="1">
    <w:name w:val="批注主题1"/>
    <w:basedOn w:val="1077"/>
    <w:next w:val="1077"/>
    <w:link w:val="1095"/>
    <w:uiPriority w:val="0"/>
    <w:qFormat/>
    <w:rPr>
      <w:b/>
      <w:bCs/>
    </w:rPr>
  </w:style>
  <w:style w:type="character" w:styleId="1095" w:customStyle="1">
    <w:name w:val="批注主题 字符"/>
    <w:link w:val="1094"/>
    <w:uiPriority w:val="0"/>
    <w:qFormat/>
    <w:rPr>
      <w:b/>
      <w:bCs/>
      <w:sz w:val="21"/>
      <w:szCs w:val="24"/>
    </w:rPr>
  </w:style>
  <w:style w:type="paragraph" w:styleId="1096" w:customStyle="1">
    <w:name w:val="正文首行缩进1"/>
    <w:basedOn w:val="1079"/>
    <w:link w:val="1097"/>
    <w:uiPriority w:val="0"/>
    <w:pPr>
      <w:ind w:firstLine="420"/>
      <w:spacing w:before="0" w:after="120" w:line="240" w:lineRule="auto"/>
      <w:tabs>
        <w:tab w:val="clear" w:pos="567" w:leader="none"/>
      </w:tabs>
    </w:pPr>
    <w:rPr>
      <w:rFonts w:ascii="Times New Roman" w:hAnsi="Times New Roman"/>
      <w:sz w:val="21"/>
    </w:rPr>
  </w:style>
  <w:style w:type="character" w:styleId="1097" w:customStyle="1">
    <w:name w:val="正文文本首行缩进 字符"/>
    <w:link w:val="1096"/>
    <w:uiPriority w:val="0"/>
    <w:qFormat/>
    <w:rPr>
      <w:rFonts w:ascii="Times New Roman" w:hAnsi="Times New Roman"/>
      <w:sz w:val="21"/>
      <w:szCs w:val="24"/>
    </w:rPr>
  </w:style>
  <w:style w:type="paragraph" w:styleId="1098" w:customStyle="1">
    <w:name w:val="正文首行缩进 211"/>
    <w:basedOn w:val="1099"/>
    <w:next w:val="890"/>
    <w:uiPriority w:val="99"/>
    <w:unhideWhenUsed/>
    <w:qFormat/>
    <w:pPr>
      <w:ind w:firstLine="420"/>
    </w:pPr>
  </w:style>
  <w:style w:type="paragraph" w:styleId="1099" w:customStyle="1">
    <w:name w:val="正文文本缩进1"/>
    <w:basedOn w:val="890"/>
    <w:next w:val="890"/>
    <w:uiPriority w:val="99"/>
    <w:unhideWhenUsed/>
    <w:qFormat/>
    <w:pPr>
      <w:ind w:left="420"/>
      <w:spacing w:after="120"/>
    </w:pPr>
  </w:style>
  <w:style w:type="table" w:styleId="1100" w:customStyle="1">
    <w:name w:val="网格型1"/>
    <w:basedOn w:val="1075"/>
    <w:uiPriority w:val="59"/>
    <w:qFormat/>
    <w:tblPr/>
  </w:style>
  <w:style w:type="character" w:styleId="1101" w:customStyle="1">
    <w:name w:val="要点1"/>
    <w:link w:val="890"/>
    <w:uiPriority w:val="22"/>
    <w:qFormat/>
    <w:rPr>
      <w:b/>
      <w:bCs/>
    </w:rPr>
  </w:style>
  <w:style w:type="character" w:styleId="1102" w:customStyle="1">
    <w:name w:val="页码11"/>
    <w:link w:val="890"/>
    <w:uiPriority w:val="0"/>
    <w:qFormat/>
  </w:style>
  <w:style w:type="character" w:styleId="1103" w:customStyle="1">
    <w:name w:val="超链接1"/>
    <w:link w:val="890"/>
    <w:uiPriority w:val="99"/>
    <w:unhideWhenUsed/>
    <w:qFormat/>
    <w:rPr>
      <w:color w:val="0000ff"/>
      <w:u w:val="single"/>
    </w:rPr>
  </w:style>
  <w:style w:type="character" w:styleId="1104" w:customStyle="1">
    <w:name w:val="批注引用1"/>
    <w:link w:val="890"/>
    <w:uiPriority w:val="0"/>
    <w:qFormat/>
    <w:rPr>
      <w:sz w:val="21"/>
      <w:szCs w:val="21"/>
    </w:rPr>
  </w:style>
  <w:style w:type="character" w:styleId="1105" w:customStyle="1">
    <w:name w:val="页码1"/>
    <w:link w:val="890"/>
    <w:uiPriority w:val="0"/>
    <w:qFormat/>
    <w:rPr>
      <w:rFonts w:ascii="Times New Roman" w:hAnsi="Times New Roman"/>
      <w:sz w:val="21"/>
      <w:szCs w:val="24"/>
      <w:lang w:val="en-US" w:eastAsia="zh-CN" w:bidi="ar-SA"/>
    </w:rPr>
  </w:style>
  <w:style w:type="paragraph" w:styleId="1106" w:customStyle="1">
    <w:name w:val="表格文字"/>
    <w:basedOn w:val="1081"/>
    <w:uiPriority w:val="0"/>
    <w:qFormat/>
    <w:pPr>
      <w:ind w:firstLine="0"/>
      <w:spacing w:before="20" w:after="20" w:line="240" w:lineRule="auto"/>
    </w:pPr>
    <w:rPr>
      <w:rFonts w:ascii="Century Gothic" w:hAnsi="Century Gothic"/>
      <w:sz w:val="20"/>
      <w:szCs w:val="20"/>
    </w:rPr>
  </w:style>
  <w:style w:type="paragraph" w:styleId="1107" w:customStyle="1">
    <w:name w:val="列表段落"/>
    <w:basedOn w:val="890"/>
    <w:link w:val="1108"/>
    <w:uiPriority w:val="34"/>
    <w:qFormat/>
    <w:pPr>
      <w:ind w:firstLine="420"/>
    </w:pPr>
    <w:rPr>
      <w:rFonts w:ascii="Calibri" w:hAnsi="Calibri"/>
      <w:szCs w:val="22"/>
    </w:rPr>
  </w:style>
  <w:style w:type="character" w:styleId="1108" w:customStyle="1">
    <w:name w:val="列表段落 字符"/>
    <w:link w:val="1107"/>
    <w:uiPriority w:val="34"/>
    <w:qFormat/>
    <w:rPr>
      <w:sz w:val="21"/>
      <w:szCs w:val="22"/>
    </w:rPr>
  </w:style>
  <w:style w:type="paragraph" w:styleId="1109" w:customStyle="1">
    <w:name w:val="列出段落1"/>
    <w:basedOn w:val="890"/>
    <w:uiPriority w:val="0"/>
    <w:qFormat/>
    <w:pPr>
      <w:ind w:firstLine="420"/>
    </w:pPr>
    <w:rPr>
      <w:rFonts w:ascii="Calibri" w:hAnsi="Calibri"/>
      <w:szCs w:val="22"/>
    </w:rPr>
  </w:style>
  <w:style w:type="paragraph" w:styleId="1110" w:customStyle="1">
    <w:name w:val="成文日期"/>
    <w:basedOn w:val="890"/>
    <w:uiPriority w:val="0"/>
    <w:qFormat/>
    <w:pPr>
      <w:ind w:right="400" w:firstLine="200"/>
      <w:jc w:val="right"/>
      <w:spacing w:line="570" w:lineRule="exact"/>
    </w:pPr>
    <w:rPr>
      <w:rFonts w:ascii="仿宋_GB2312" w:eastAsia="仿宋_GB2312"/>
      <w:sz w:val="32"/>
      <w:szCs w:val="20"/>
    </w:rPr>
  </w:style>
  <w:style w:type="paragraph" w:styleId="1111" w:customStyle="1">
    <w:name w:val="一级条标题"/>
    <w:basedOn w:val="1112"/>
    <w:next w:val="890"/>
    <w:uiPriority w:val="0"/>
    <w:qFormat/>
    <w:pPr>
      <w:numPr>
        <w:ilvl w:val="1"/>
        <w:numId w:val="1"/>
      </w:numPr>
      <w:ind w:left="0" w:hanging="840"/>
      <w:tabs>
        <w:tab w:val="left" w:pos="360" w:leader="none"/>
        <w:tab w:val="left" w:pos="840" w:leader="none"/>
      </w:tabs>
      <w:outlineLvl w:val="1"/>
    </w:pPr>
  </w:style>
  <w:style w:type="paragraph" w:styleId="1112" w:customStyle="1">
    <w:name w:val="章标题"/>
    <w:next w:val="89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13" w:customStyle="1">
    <w:name w:val="正文列项_数字"/>
    <w:basedOn w:val="89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4" w:customStyle="1">
    <w:name w:val="四级条标题"/>
    <w:basedOn w:val="1115"/>
    <w:next w:val="890"/>
    <w:uiPriority w:val="0"/>
    <w:qFormat/>
    <w:pPr>
      <w:numPr>
        <w:ilvl w:val="4"/>
        <w:numId w:val="1"/>
      </w:numPr>
      <w:ind w:left="0" w:hanging="840"/>
      <w:tabs>
        <w:tab w:val="left" w:pos="360" w:leader="none"/>
        <w:tab w:val="left" w:pos="840" w:leader="none"/>
      </w:tabs>
      <w:outlineLvl w:val="4"/>
    </w:pPr>
  </w:style>
  <w:style w:type="paragraph" w:styleId="1115" w:customStyle="1">
    <w:name w:val="三级条标题"/>
    <w:basedOn w:val="890"/>
    <w:next w:val="890"/>
    <w:uiPriority w:val="0"/>
    <w:qFormat/>
    <w:pPr>
      <w:numPr>
        <w:ilvl w:val="3"/>
        <w:numId w:val="1"/>
      </w:numPr>
      <w:ind w:left="0" w:hanging="840"/>
      <w:spacing w:before="156" w:after="156" w:line="460" w:lineRule="exact"/>
      <w:widowControl/>
      <w:tabs>
        <w:tab w:val="left" w:pos="360" w:leader="none"/>
        <w:tab w:val="left" w:pos="840" w:leader="none"/>
      </w:tabs>
      <w:outlineLvl w:val="3"/>
    </w:pPr>
    <w:rPr>
      <w:rFonts w:ascii="宋体"/>
      <w:sz w:val="28"/>
      <w:szCs w:val="20"/>
    </w:rPr>
  </w:style>
  <w:style w:type="paragraph" w:styleId="1116" w:customStyle="1">
    <w:name w:val="五级条标题"/>
    <w:basedOn w:val="1114"/>
    <w:next w:val="890"/>
    <w:uiPriority w:val="0"/>
    <w:qFormat/>
    <w:pPr>
      <w:numPr>
        <w:ilvl w:val="5"/>
        <w:numId w:val="1"/>
      </w:numPr>
      <w:ind w:left="0" w:hanging="840"/>
      <w:outlineLvl w:val="5"/>
    </w:pPr>
  </w:style>
  <w:style w:type="paragraph" w:styleId="1117" w:customStyle="1">
    <w:name w:val="正文列项_字母"/>
    <w:basedOn w:val="890"/>
    <w:uiPriority w:val="0"/>
    <w:qFormat/>
    <w:pPr>
      <w:numPr>
        <w:ilvl w:val="6"/>
        <w:numId w:val="1"/>
      </w:numPr>
      <w:ind w:left="480" w:hanging="180"/>
      <w:spacing w:line="460" w:lineRule="exact"/>
      <w:tabs>
        <w:tab w:val="clear" w:pos="635" w:leader="none"/>
      </w:tabs>
      <w:outlineLvl w:val="6"/>
    </w:pPr>
    <w:rPr>
      <w:rFonts w:ascii="宋体"/>
      <w:sz w:val="28"/>
      <w:szCs w:val="20"/>
    </w:rPr>
  </w:style>
  <w:style w:type="character" w:styleId="1118" w:customStyle="1">
    <w:name w:val="font11"/>
    <w:link w:val="890"/>
    <w:uiPriority w:val="0"/>
    <w:qFormat/>
    <w:rPr>
      <w:rFonts w:hint="eastAsia" w:ascii="宋体" w:hAnsi="宋体" w:eastAsia="宋体" w:cs="宋体"/>
      <w:color w:val="000000"/>
      <w:sz w:val="22"/>
      <w:szCs w:val="22"/>
      <w:u w:val="none"/>
    </w:rPr>
  </w:style>
  <w:style w:type="character" w:styleId="1119" w:customStyle="1">
    <w:name w:val="页脚 Char1"/>
    <w:link w:val="890"/>
    <w:uiPriority w:val="99"/>
    <w:qFormat/>
    <w:rPr>
      <w:rFonts w:ascii="宋体" w:eastAsia="宋体"/>
      <w:sz w:val="18"/>
      <w:lang w:val="en-US" w:eastAsia="zh-CN" w:bidi="ar-SA"/>
    </w:rPr>
  </w:style>
  <w:style w:type="paragraph" w:styleId="112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21" w:customStyle="1">
    <w:name w:val="null3"/>
    <w:uiPriority w:val="0"/>
    <w:qFormat/>
    <w:rPr>
      <w:rFonts w:hint="default" w:ascii="Times New Roman" w:hAnsi="Times New Roman" w:eastAsia="宋体" w:cs="Times New Roman"/>
      <w:lang w:val="en-US" w:eastAsia="zh-CN" w:bidi="ar-SA"/>
    </w:rPr>
  </w:style>
  <w:style w:type="paragraph" w:styleId="1122" w:customStyle="1">
    <w:name w:val="Char"/>
    <w:basedOn w:val="890"/>
    <w:uiPriority w:val="0"/>
    <w:qFormat/>
    <w:pPr>
      <w:tabs>
        <w:tab w:val="left" w:pos="360" w:leader="none"/>
      </w:tabs>
    </w:pPr>
    <w:rPr>
      <w:sz w:val="24"/>
    </w:rPr>
  </w:style>
  <w:style w:type="paragraph" w:styleId="1123" w:customStyle="1">
    <w:name w:val="纯文本1"/>
    <w:basedOn w:val="890"/>
    <w:uiPriority w:val="99"/>
    <w:qFormat/>
    <w:rPr>
      <w:rFonts w:hint="eastAsia" w:ascii="宋体" w:hAnsi="Courier New"/>
      <w:szCs w:val="20"/>
    </w:rPr>
  </w:style>
  <w:style w:type="paragraph" w:styleId="1124" w:customStyle="1">
    <w:name w:val="正文缩进11"/>
    <w:basedOn w:val="890"/>
    <w:uiPriority w:val="99"/>
    <w:qFormat/>
    <w:pPr>
      <w:ind w:firstLine="420"/>
      <w:jc w:val="left"/>
    </w:pPr>
    <w:rPr>
      <w:rFonts w:ascii="宋体"/>
      <w:sz w:val="24"/>
    </w:rPr>
  </w:style>
  <w:style w:type="paragraph" w:styleId="1125" w:customStyle="1">
    <w:name w:val="页眉1"/>
    <w:basedOn w:val="890"/>
    <w:uiPriority w:val="0"/>
    <w:qFormat/>
    <w:pPr>
      <w:jc w:val="center"/>
      <w:tabs>
        <w:tab w:val="center" w:pos="4153" w:leader="none"/>
        <w:tab w:val="right" w:pos="8306" w:leader="none"/>
      </w:tabs>
      <w:pBdr>
        <w:bottom w:val="single" w:color="000000" w:sz="6" w:space="1"/>
      </w:pBdr>
    </w:pPr>
    <w:rPr>
      <w:sz w:val="18"/>
      <w:szCs w:val="18"/>
    </w:rPr>
  </w:style>
  <w:style w:type="paragraph" w:styleId="1126" w:customStyle="1">
    <w:name w:val="页脚1"/>
    <w:basedOn w:val="890"/>
    <w:uiPriority w:val="99"/>
    <w:qFormat/>
    <w:pPr>
      <w:jc w:val="left"/>
      <w:tabs>
        <w:tab w:val="center" w:pos="4153" w:leader="none"/>
        <w:tab w:val="right" w:pos="8306" w:leader="none"/>
      </w:tabs>
    </w:pPr>
    <w:rPr>
      <w:rFonts w:ascii="宋体"/>
      <w:sz w:val="18"/>
      <w:szCs w:val="20"/>
    </w:rPr>
  </w:style>
  <w:style w:type="paragraph" w:styleId="1127" w:customStyle="1">
    <w:name w:val="正文文本1"/>
    <w:basedOn w:val="890"/>
    <w:next w:val="890"/>
    <w:link w:val="1128"/>
    <w:uiPriority w:val="0"/>
    <w:qFormat/>
    <w:pPr>
      <w:spacing w:before="120" w:line="22" w:lineRule="atLeast"/>
      <w:tabs>
        <w:tab w:val="left" w:pos="567" w:leader="none"/>
      </w:tabs>
    </w:pPr>
    <w:rPr>
      <w:rFonts w:ascii="宋体" w:hAnsi="宋体"/>
      <w:sz w:val="24"/>
    </w:rPr>
  </w:style>
  <w:style w:type="character" w:styleId="1128" w:customStyle="1">
    <w:name w:val="正文文本 Char"/>
    <w:link w:val="1127"/>
    <w:uiPriority w:val="0"/>
    <w:qFormat/>
    <w:rPr>
      <w:rFonts w:ascii="宋体" w:hAnsi="宋体"/>
      <w:sz w:val="24"/>
      <w:szCs w:val="24"/>
    </w:rPr>
  </w:style>
  <w:style w:type="character" w:styleId="1129" w:customStyle="1">
    <w:name w:val="Footer Char"/>
    <w:link w:val="890"/>
    <w:uiPriority w:val="99"/>
    <w:qFormat/>
  </w:style>
  <w:style w:type="paragraph" w:styleId="1130" w:customStyle="1">
    <w:name w:val="正文首行缩进 21"/>
    <w:basedOn w:val="1099"/>
    <w:next w:val="890"/>
    <w:uiPriority w:val="99"/>
    <w:qFormat/>
    <w:pPr>
      <w:ind w:firstLine="420"/>
      <w:spacing w:line="360" w:lineRule="auto"/>
    </w:pPr>
    <w:rPr>
      <w:rFonts w:ascii="宋体" w:hAnsi="宋体" w:eastAsia="宋体"/>
      <w:sz w:val="21"/>
      <w:szCs w:val="20"/>
    </w:rPr>
  </w:style>
  <w:style w:type="paragraph" w:styleId="1131" w:customStyle="1">
    <w:name w:val="样式"/>
    <w:uiPriority w:val="0"/>
    <w:qFormat/>
    <w:pPr>
      <w:widowControl w:val="off"/>
    </w:pPr>
    <w:rPr>
      <w:rFonts w:hint="default" w:ascii="Calibri" w:hAnsi="Calibri" w:eastAsia="宋体" w:cs="Times New Roman"/>
      <w:sz w:val="24"/>
      <w:szCs w:val="24"/>
      <w:lang w:val="en-US" w:eastAsia="zh-CN" w:bidi="ar-SA"/>
    </w:rPr>
  </w:style>
  <w:style w:type="paragraph" w:styleId="1132" w:customStyle="1">
    <w:name w:val="修订"/>
    <w:uiPriority w:val="99"/>
    <w:unhideWhenUsed/>
    <w:qFormat/>
    <w:rPr>
      <w:rFonts w:hint="default" w:ascii="Times New Roman" w:hAnsi="Times New Roman" w:eastAsia="宋体" w:cs="Times New Roman"/>
      <w:sz w:val="21"/>
      <w:szCs w:val="24"/>
      <w:lang w:val="en-US" w:eastAsia="zh-CN" w:bidi="ar-SA"/>
    </w:rPr>
  </w:style>
  <w:style w:type="numbering" w:styleId="1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戴女士</cp:lastModifiedBy>
  <cp:revision>6</cp:revision>
  <dcterms:created xsi:type="dcterms:W3CDTF">2024-09-04T06:47:00Z</dcterms:created>
  <dcterms:modified xsi:type="dcterms:W3CDTF">2026-08-17T02:18:47Z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eyJoZGlkIjoiMjQ5M2U2NWY3ZmFiY2VmMmQyZDgwMDFlNzJkNWNlYmIiLCJ1c2VySWQiOiIxMjI0MTUyMzMzIn0=</vt:lpwstr>
  </property>
  <property fmtid="{D5CDD505-2E9C-101B-9397-08002B2CF9AE}" pid="3" name="KSOProductBuildVer">
    <vt:lpwstr>2052-12.1.0.28043</vt:lpwstr>
  </property>
  <property fmtid="{D5CDD505-2E9C-101B-9397-08002B2CF9AE}" pid="4" name="ICV">
    <vt:lpwstr>7B4CE7F853B04EAB96D6D8D7C5974C1A_12</vt:lpwstr>
  </property>
</Properties>
</file>