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4726F">
      <w:pPr>
        <w:spacing w:line="1160" w:lineRule="exact"/>
        <w:jc w:val="center"/>
        <w:rPr>
          <w:rFonts w:hint="eastAsia" w:ascii="华文中宋" w:hAnsi="华文中宋" w:eastAsia="华文中宋"/>
          <w:sz w:val="44"/>
          <w:szCs w:val="44"/>
        </w:rPr>
      </w:pPr>
    </w:p>
    <w:p w14:paraId="5264D8E3">
      <w:pPr>
        <w:spacing w:line="1160" w:lineRule="exact"/>
        <w:jc w:val="center"/>
        <w:rPr>
          <w:rFonts w:hint="eastAsia" w:ascii="方正公文小标宋" w:hAnsi="方正公文小标宋" w:eastAsia="方正公文小标宋" w:cs="方正公文小标宋"/>
          <w:b w:val="0"/>
          <w:bCs w:val="0"/>
          <w:sz w:val="44"/>
          <w:szCs w:val="44"/>
          <w:lang w:val="en-US" w:eastAsia="zh-CN"/>
        </w:rPr>
      </w:pPr>
      <w:r>
        <w:rPr>
          <w:rFonts w:hint="eastAsia" w:ascii="方正公文小标宋" w:hAnsi="方正公文小标宋" w:eastAsia="方正公文小标宋" w:cs="方正公文小标宋"/>
          <w:b w:val="0"/>
          <w:bCs w:val="0"/>
          <w:sz w:val="44"/>
          <w:szCs w:val="44"/>
        </w:rPr>
        <w:t>询</w:t>
      </w:r>
      <w:r>
        <w:rPr>
          <w:rFonts w:hint="eastAsia" w:ascii="方正公文小标宋" w:hAnsi="方正公文小标宋" w:eastAsia="方正公文小标宋" w:cs="方正公文小标宋"/>
          <w:b w:val="0"/>
          <w:bCs w:val="0"/>
          <w:sz w:val="44"/>
          <w:szCs w:val="44"/>
          <w:lang w:val="en-US" w:eastAsia="zh-CN"/>
        </w:rPr>
        <w:t>比</w:t>
      </w:r>
      <w:r>
        <w:rPr>
          <w:rFonts w:hint="eastAsia" w:ascii="方正公文小标宋" w:hAnsi="方正公文小标宋" w:eastAsia="方正公文小标宋" w:cs="方正公文小标宋"/>
          <w:b w:val="0"/>
          <w:bCs w:val="0"/>
          <w:sz w:val="44"/>
          <w:szCs w:val="44"/>
        </w:rPr>
        <w:t>采购通知</w:t>
      </w:r>
      <w:r>
        <w:rPr>
          <w:rFonts w:hint="eastAsia" w:ascii="方正公文小标宋" w:hAnsi="方正公文小标宋" w:eastAsia="方正公文小标宋" w:cs="方正公文小标宋"/>
          <w:b w:val="0"/>
          <w:bCs w:val="0"/>
          <w:sz w:val="44"/>
          <w:szCs w:val="44"/>
          <w:lang w:val="en-US" w:eastAsia="zh-CN"/>
        </w:rPr>
        <w:t>函</w:t>
      </w:r>
    </w:p>
    <w:p w14:paraId="7B784245">
      <w:pPr>
        <w:spacing w:line="1160" w:lineRule="exact"/>
        <w:rPr>
          <w:rFonts w:ascii="仿宋_GB2312" w:eastAsia="仿宋_GB2312"/>
          <w:sz w:val="32"/>
          <w:szCs w:val="32"/>
        </w:rPr>
      </w:pPr>
    </w:p>
    <w:p w14:paraId="28CCAA81">
      <w:pPr>
        <w:spacing w:line="240" w:lineRule="auto"/>
        <w:ind w:left="1920" w:hanging="1920" w:hangingChars="600"/>
        <w:jc w:val="both"/>
        <w:rPr>
          <w:rFonts w:hint="default" w:ascii="楷体" w:hAnsi="楷体" w:eastAsia="楷体" w:cs="楷体"/>
          <w:w w:val="100"/>
          <w:sz w:val="32"/>
          <w:szCs w:val="32"/>
          <w:u w:val="single"/>
          <w:lang w:val="en-US" w:eastAsia="zh-CN"/>
        </w:rPr>
      </w:pPr>
      <w:r>
        <w:rPr>
          <w:rFonts w:hint="eastAsia" w:ascii="楷体" w:hAnsi="楷体" w:eastAsia="楷体" w:cs="楷体"/>
          <w:sz w:val="32"/>
          <w:szCs w:val="32"/>
        </w:rPr>
        <w:t>项目名称：</w:t>
      </w:r>
      <w:r>
        <w:rPr>
          <w:rFonts w:hint="eastAsia" w:ascii="楷体" w:hAnsi="楷体" w:eastAsia="楷体" w:cs="楷体"/>
          <w:w w:val="80"/>
          <w:sz w:val="32"/>
          <w:szCs w:val="32"/>
          <w:u w:val="single"/>
          <w:lang w:val="en-US" w:eastAsia="zh-CN"/>
        </w:rPr>
        <w:t>常州市新北区罗溪镇卫生院全自动凝血分析仪采购项目</w:t>
      </w:r>
    </w:p>
    <w:p w14:paraId="5462A6FC">
      <w:pPr>
        <w:spacing w:line="1160" w:lineRule="exact"/>
        <w:rPr>
          <w:rFonts w:hint="eastAsia" w:ascii="楷体" w:hAnsi="楷体" w:eastAsia="楷体" w:cs="楷体"/>
          <w:sz w:val="32"/>
          <w:szCs w:val="32"/>
        </w:rPr>
      </w:pPr>
      <w:r>
        <w:rPr>
          <w:rFonts w:hint="eastAsia" w:ascii="楷体" w:hAnsi="楷体" w:eastAsia="楷体" w:cs="楷体"/>
          <w:sz w:val="32"/>
          <w:szCs w:val="32"/>
        </w:rPr>
        <w:t>项目类别：</w:t>
      </w:r>
      <w:r>
        <w:rPr>
          <w:rFonts w:hint="eastAsia" w:ascii="楷体" w:hAnsi="楷体" w:eastAsia="楷体" w:cs="楷体"/>
          <w:sz w:val="32"/>
          <w:szCs w:val="32"/>
        </w:rPr>
        <w:sym w:font="Wingdings 2" w:char="00A3"/>
      </w:r>
      <w:r>
        <w:rPr>
          <w:rFonts w:hint="eastAsia" w:ascii="楷体" w:hAnsi="楷体" w:eastAsia="楷体" w:cs="楷体"/>
          <w:sz w:val="32"/>
          <w:szCs w:val="32"/>
        </w:rPr>
        <w:t xml:space="preserve">服务 </w:t>
      </w:r>
      <w:r>
        <w:rPr>
          <w:rFonts w:hint="eastAsia" w:ascii="楷体" w:hAnsi="楷体" w:eastAsia="楷体" w:cs="楷体"/>
          <w:sz w:val="32"/>
          <w:szCs w:val="32"/>
        </w:rPr>
        <w:sym w:font="Wingdings 2" w:char="0052"/>
      </w:r>
      <w:r>
        <w:rPr>
          <w:rFonts w:hint="eastAsia" w:ascii="楷体" w:hAnsi="楷体" w:eastAsia="楷体" w:cs="楷体"/>
          <w:sz w:val="32"/>
          <w:szCs w:val="32"/>
        </w:rPr>
        <w:t xml:space="preserve">货物 </w:t>
      </w:r>
      <w:r>
        <w:rPr>
          <w:rFonts w:hint="eastAsia" w:ascii="楷体" w:hAnsi="楷体" w:eastAsia="楷体" w:cs="楷体"/>
          <w:sz w:val="32"/>
          <w:szCs w:val="32"/>
        </w:rPr>
        <w:sym w:font="Wingdings 2" w:char="00A3"/>
      </w:r>
      <w:r>
        <w:rPr>
          <w:rFonts w:hint="eastAsia" w:ascii="楷体" w:hAnsi="楷体" w:eastAsia="楷体" w:cs="楷体"/>
          <w:sz w:val="32"/>
          <w:szCs w:val="32"/>
        </w:rPr>
        <w:t>工程</w:t>
      </w:r>
    </w:p>
    <w:p w14:paraId="1591510E">
      <w:pPr>
        <w:spacing w:line="1160" w:lineRule="exact"/>
        <w:rPr>
          <w:rFonts w:hint="default" w:ascii="楷体" w:hAnsi="楷体" w:eastAsia="楷体" w:cs="楷体"/>
          <w:sz w:val="32"/>
          <w:szCs w:val="32"/>
          <w:lang w:val="en-US" w:eastAsia="zh-CN"/>
        </w:rPr>
      </w:pPr>
      <w:r>
        <w:rPr>
          <w:rFonts w:hint="eastAsia" w:ascii="楷体" w:hAnsi="楷体" w:eastAsia="楷体" w:cs="楷体"/>
          <w:sz w:val="32"/>
          <w:szCs w:val="32"/>
        </w:rPr>
        <w:t>项目预算：</w:t>
      </w:r>
      <w:r>
        <w:rPr>
          <w:rFonts w:hint="eastAsia" w:ascii="Times New Roman" w:hAnsi="Times New Roman" w:eastAsia="楷体" w:cs="Times New Roman"/>
          <w:sz w:val="32"/>
          <w:szCs w:val="32"/>
          <w:u w:val="single"/>
          <w:lang w:val="en-US" w:eastAsia="zh-CN"/>
        </w:rPr>
        <w:t>4.5</w:t>
      </w:r>
      <w:r>
        <w:rPr>
          <w:rFonts w:hint="eastAsia" w:ascii="楷体" w:hAnsi="楷体" w:eastAsia="楷体" w:cs="楷体"/>
          <w:sz w:val="32"/>
          <w:szCs w:val="32"/>
          <w:u w:val="single"/>
          <w:lang w:val="en-US" w:eastAsia="zh-CN"/>
        </w:rPr>
        <w:t>万元</w:t>
      </w:r>
    </w:p>
    <w:p w14:paraId="1B53E549">
      <w:pPr>
        <w:spacing w:line="1160" w:lineRule="exact"/>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采 购 人</w:t>
      </w:r>
      <w:r>
        <w:rPr>
          <w:rFonts w:hint="eastAsia" w:ascii="楷体" w:hAnsi="楷体" w:eastAsia="楷体" w:cs="楷体"/>
          <w:sz w:val="32"/>
          <w:szCs w:val="32"/>
          <w:highlight w:val="none"/>
        </w:rPr>
        <w:t>：</w:t>
      </w:r>
      <w:r>
        <w:rPr>
          <w:rFonts w:hint="eastAsia" w:ascii="楷体" w:hAnsi="楷体" w:eastAsia="楷体" w:cs="楷体"/>
          <w:sz w:val="32"/>
          <w:szCs w:val="32"/>
          <w:highlight w:val="none"/>
          <w:lang w:val="en-US" w:eastAsia="zh-CN"/>
        </w:rPr>
        <w:t>常州市新北区罗溪镇卫生院</w:t>
      </w:r>
    </w:p>
    <w:p w14:paraId="55E4CD0E">
      <w:pPr>
        <w:rPr>
          <w:rFonts w:hint="eastAsia" w:ascii="楷体" w:hAnsi="楷体" w:eastAsia="楷体" w:cs="楷体"/>
          <w:sz w:val="32"/>
          <w:szCs w:val="32"/>
        </w:rPr>
      </w:pPr>
    </w:p>
    <w:p w14:paraId="327363B5">
      <w:pPr>
        <w:rPr>
          <w:rFonts w:hint="eastAsia" w:ascii="楷体" w:hAnsi="楷体" w:eastAsia="楷体" w:cs="楷体"/>
          <w:sz w:val="32"/>
          <w:szCs w:val="32"/>
        </w:rPr>
      </w:pPr>
    </w:p>
    <w:p w14:paraId="11046689">
      <w:pPr>
        <w:spacing w:line="1160" w:lineRule="exact"/>
        <w:jc w:val="center"/>
        <w:rPr>
          <w:rFonts w:hint="eastAsia" w:ascii="楷体" w:hAnsi="楷体" w:eastAsia="楷体" w:cs="楷体"/>
          <w:sz w:val="32"/>
          <w:szCs w:val="32"/>
        </w:rPr>
      </w:pPr>
    </w:p>
    <w:p w14:paraId="7A855264">
      <w:pPr>
        <w:spacing w:line="1160" w:lineRule="exact"/>
        <w:jc w:val="center"/>
        <w:rPr>
          <w:rFonts w:hint="eastAsia" w:ascii="楷体" w:hAnsi="楷体" w:eastAsia="楷体" w:cs="楷体"/>
          <w:sz w:val="32"/>
          <w:szCs w:val="32"/>
        </w:rPr>
      </w:pPr>
      <w:r>
        <w:rPr>
          <w:rFonts w:hint="eastAsia" w:ascii="楷体" w:hAnsi="楷体" w:eastAsia="楷体" w:cs="楷体"/>
          <w:sz w:val="32"/>
          <w:szCs w:val="32"/>
          <w:lang w:val="en-US" w:eastAsia="zh-CN"/>
        </w:rPr>
        <w:t>日期</w:t>
      </w:r>
      <w:r>
        <w:rPr>
          <w:rFonts w:hint="eastAsia" w:ascii="楷体" w:hAnsi="楷体" w:eastAsia="楷体" w:cs="楷体"/>
          <w:sz w:val="32"/>
          <w:szCs w:val="32"/>
          <w:lang w:eastAsia="zh-CN"/>
        </w:rPr>
        <w:t>：</w:t>
      </w:r>
      <w:r>
        <w:rPr>
          <w:rFonts w:hint="default" w:ascii="Times New Roman" w:hAnsi="Times New Roman" w:eastAsia="楷体" w:cs="Times New Roman"/>
          <w:sz w:val="32"/>
          <w:szCs w:val="32"/>
          <w:lang w:val="en-US" w:eastAsia="zh-CN"/>
        </w:rPr>
        <w:t>202</w:t>
      </w:r>
      <w:r>
        <w:rPr>
          <w:rFonts w:hint="eastAsia" w:ascii="Times New Roman" w:hAnsi="Times New Roman" w:eastAsia="楷体" w:cs="Times New Roman"/>
          <w:sz w:val="32"/>
          <w:szCs w:val="32"/>
          <w:lang w:val="en-US" w:eastAsia="zh-CN"/>
        </w:rPr>
        <w:t>6</w:t>
      </w:r>
      <w:r>
        <w:rPr>
          <w:rFonts w:hint="eastAsia" w:ascii="楷体" w:hAnsi="楷体" w:eastAsia="楷体" w:cs="楷体"/>
          <w:sz w:val="32"/>
          <w:szCs w:val="32"/>
        </w:rPr>
        <w:t>年</w:t>
      </w:r>
      <w:r>
        <w:rPr>
          <w:rFonts w:hint="eastAsia" w:ascii="Times New Roman" w:hAnsi="Times New Roman" w:eastAsia="楷体" w:cs="Times New Roman"/>
          <w:sz w:val="32"/>
          <w:szCs w:val="32"/>
          <w:lang w:val="en-US" w:eastAsia="zh-CN"/>
        </w:rPr>
        <w:t>7</w:t>
      </w:r>
      <w:r>
        <w:rPr>
          <w:rFonts w:hint="eastAsia" w:ascii="楷体" w:hAnsi="楷体" w:eastAsia="楷体" w:cs="楷体"/>
          <w:sz w:val="32"/>
          <w:szCs w:val="32"/>
        </w:rPr>
        <w:t>月</w:t>
      </w:r>
      <w:r>
        <w:rPr>
          <w:rFonts w:hint="eastAsia" w:ascii="Times New Roman" w:hAnsi="Times New Roman" w:eastAsia="楷体" w:cs="Times New Roman"/>
          <w:sz w:val="32"/>
          <w:szCs w:val="32"/>
          <w:lang w:val="en-US" w:eastAsia="zh-CN"/>
        </w:rPr>
        <w:t>28</w:t>
      </w:r>
      <w:r>
        <w:rPr>
          <w:rFonts w:hint="eastAsia" w:ascii="楷体" w:hAnsi="楷体" w:eastAsia="楷体" w:cs="楷体"/>
          <w:sz w:val="32"/>
          <w:szCs w:val="32"/>
        </w:rPr>
        <w:t>日</w:t>
      </w:r>
    </w:p>
    <w:p w14:paraId="6FE5B43D">
      <w:pPr>
        <w:rPr>
          <w:sz w:val="32"/>
          <w:szCs w:val="32"/>
        </w:rPr>
      </w:pPr>
    </w:p>
    <w:p w14:paraId="23D884E5">
      <w:pPr>
        <w:rPr>
          <w:sz w:val="32"/>
          <w:szCs w:val="32"/>
        </w:rPr>
      </w:pPr>
    </w:p>
    <w:p w14:paraId="3F27860C">
      <w:pPr>
        <w:rPr>
          <w:rFonts w:hint="eastAsia" w:ascii="仿宋_GB2312" w:eastAsia="仿宋_GB2312"/>
          <w:sz w:val="32"/>
          <w:szCs w:val="32"/>
        </w:rPr>
        <w:sectPr>
          <w:pgSz w:w="11906" w:h="16838"/>
          <w:pgMar w:top="1440" w:right="1800" w:bottom="1440" w:left="1800" w:header="851" w:footer="992" w:gutter="0"/>
          <w:cols w:space="720" w:num="1"/>
          <w:docGrid w:type="lines" w:linePitch="312" w:charSpace="0"/>
        </w:sectPr>
      </w:pPr>
    </w:p>
    <w:p w14:paraId="72A3D24A">
      <w:pPr>
        <w:rPr>
          <w:rFonts w:ascii="仿宋_GB2312" w:eastAsia="仿宋_GB2312"/>
          <w:sz w:val="32"/>
          <w:szCs w:val="32"/>
        </w:rPr>
      </w:pPr>
      <w:r>
        <w:rPr>
          <w:rFonts w:hint="eastAsia" w:ascii="仿宋_GB2312" w:eastAsia="仿宋_GB2312"/>
          <w:sz w:val="32"/>
          <w:szCs w:val="32"/>
        </w:rPr>
        <w:t>表1</w:t>
      </w:r>
    </w:p>
    <w:p w14:paraId="7F41165F">
      <w:pPr>
        <w:jc w:val="center"/>
        <w:rPr>
          <w:rFonts w:ascii="华文中宋" w:hAnsi="华文中宋" w:eastAsia="华文中宋"/>
          <w:sz w:val="44"/>
          <w:szCs w:val="44"/>
        </w:rPr>
      </w:pPr>
      <w:r>
        <w:rPr>
          <w:rFonts w:hint="eastAsia" w:ascii="华文中宋" w:hAnsi="华文中宋" w:eastAsia="华文中宋"/>
          <w:sz w:val="44"/>
          <w:szCs w:val="44"/>
        </w:rPr>
        <w:t>项 目 概 述</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36"/>
        <w:gridCol w:w="6586"/>
      </w:tblGrid>
      <w:tr w14:paraId="56749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4" w:hRule="atLeast"/>
          <w:jc w:val="center"/>
        </w:trPr>
        <w:tc>
          <w:tcPr>
            <w:tcW w:w="1936" w:type="dxa"/>
            <w:tcBorders>
              <w:bottom w:val="single" w:color="auto" w:sz="4" w:space="0"/>
              <w:right w:val="single" w:color="auto" w:sz="4" w:space="0"/>
            </w:tcBorders>
            <w:noWrap w:val="0"/>
            <w:vAlign w:val="center"/>
          </w:tcPr>
          <w:p w14:paraId="0643E2BD">
            <w:pPr>
              <w:snapToGrid/>
              <w:spacing w:line="360" w:lineRule="auto"/>
              <w:jc w:val="center"/>
              <w:rPr>
                <w:rFonts w:hint="default" w:ascii="楷体_GB2312" w:eastAsia="楷体_GB2312"/>
                <w:kern w:val="0"/>
                <w:sz w:val="32"/>
                <w:szCs w:val="32"/>
                <w:lang w:val="en-US" w:eastAsia="zh-CN"/>
              </w:rPr>
            </w:pPr>
            <w:r>
              <w:rPr>
                <w:rFonts w:hint="eastAsia" w:ascii="楷体_GB2312" w:eastAsia="楷体_GB2312"/>
                <w:kern w:val="0"/>
                <w:sz w:val="32"/>
                <w:szCs w:val="32"/>
                <w:lang w:val="en-US" w:eastAsia="zh-CN"/>
              </w:rPr>
              <w:t>项目简介</w:t>
            </w:r>
          </w:p>
        </w:tc>
        <w:tc>
          <w:tcPr>
            <w:tcW w:w="6586" w:type="dxa"/>
            <w:tcBorders>
              <w:left w:val="single" w:color="auto" w:sz="4" w:space="0"/>
              <w:bottom w:val="single" w:color="auto" w:sz="4" w:space="0"/>
            </w:tcBorders>
            <w:noWrap w:val="0"/>
            <w:vAlign w:val="center"/>
          </w:tcPr>
          <w:p w14:paraId="3B48B283">
            <w:pPr>
              <w:pStyle w:val="8"/>
              <w:widowControl w:val="0"/>
              <w:spacing w:line="360" w:lineRule="auto"/>
              <w:ind w:left="0" w:leftChars="0" w:firstLine="0" w:firstLineChars="0"/>
              <w:rPr>
                <w:rFonts w:hint="eastAsia"/>
                <w:lang w:val="en-US" w:eastAsia="zh-CN"/>
              </w:rPr>
            </w:pPr>
            <w:r>
              <w:rPr>
                <w:rFonts w:hint="eastAsia" w:ascii="仿宋" w:hAnsi="仿宋" w:eastAsia="仿宋" w:cs="仿宋"/>
                <w:kern w:val="2"/>
                <w:sz w:val="24"/>
                <w:szCs w:val="24"/>
                <w:highlight w:val="none"/>
                <w:lang w:val="en-US" w:eastAsia="zh-CN" w:bidi="ar-SA"/>
              </w:rPr>
              <w:t>本次采购为常州市新北区罗溪镇卫生院全自动凝血分析仪设备供货及配套安装调试服务，用于满足卫生院日常临床凝血功能检测需求，项目要求中标供应商需负责设备运输、安装、调试、人员培训及质保期内的售后维护服务。</w:t>
            </w:r>
          </w:p>
        </w:tc>
      </w:tr>
      <w:tr w14:paraId="27DD9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1936" w:type="dxa"/>
            <w:tcBorders>
              <w:top w:val="single" w:color="auto" w:sz="4" w:space="0"/>
              <w:bottom w:val="single" w:color="auto" w:sz="4" w:space="0"/>
              <w:right w:val="single" w:color="auto" w:sz="4" w:space="0"/>
            </w:tcBorders>
            <w:noWrap w:val="0"/>
            <w:vAlign w:val="center"/>
          </w:tcPr>
          <w:p w14:paraId="5ED01608">
            <w:pPr>
              <w:snapToGrid/>
              <w:spacing w:line="360" w:lineRule="auto"/>
              <w:jc w:val="center"/>
              <w:rPr>
                <w:rFonts w:hint="eastAsia" w:ascii="楷体_GB2312" w:eastAsia="楷体_GB2312"/>
                <w:kern w:val="0"/>
                <w:sz w:val="32"/>
                <w:szCs w:val="32"/>
              </w:rPr>
            </w:pPr>
            <w:r>
              <w:rPr>
                <w:rFonts w:hint="eastAsia" w:ascii="楷体_GB2312" w:eastAsia="楷体_GB2312"/>
                <w:kern w:val="0"/>
                <w:sz w:val="32"/>
                <w:szCs w:val="32"/>
              </w:rPr>
              <w:t>履行期限</w:t>
            </w:r>
          </w:p>
        </w:tc>
        <w:tc>
          <w:tcPr>
            <w:tcW w:w="6586" w:type="dxa"/>
            <w:tcBorders>
              <w:top w:val="single" w:color="auto" w:sz="4" w:space="0"/>
              <w:left w:val="single" w:color="auto" w:sz="4" w:space="0"/>
              <w:bottom w:val="single" w:color="auto" w:sz="4" w:space="0"/>
            </w:tcBorders>
            <w:noWrap w:val="0"/>
            <w:vAlign w:val="center"/>
          </w:tcPr>
          <w:p w14:paraId="64CAAF08">
            <w:pPr>
              <w:snapToGrid/>
              <w:spacing w:line="360" w:lineRule="auto"/>
              <w:jc w:val="both"/>
              <w:rPr>
                <w:rFonts w:ascii="楷体_GB2312" w:eastAsia="楷体_GB2312"/>
                <w:kern w:val="0"/>
                <w:sz w:val="24"/>
                <w:szCs w:val="24"/>
              </w:rPr>
            </w:pPr>
            <w:r>
              <w:rPr>
                <w:rFonts w:hint="eastAsia" w:ascii="仿宋" w:hAnsi="仿宋" w:eastAsia="仿宋" w:cs="仿宋"/>
                <w:sz w:val="24"/>
                <w:szCs w:val="24"/>
                <w:highlight w:val="none"/>
                <w:lang w:val="en-US" w:eastAsia="zh-CN"/>
              </w:rPr>
              <w:t>在合同签订后10日</w:t>
            </w:r>
            <w:r>
              <w:rPr>
                <w:rFonts w:hint="eastAsia" w:ascii="仿宋" w:hAnsi="仿宋" w:eastAsia="仿宋" w:cs="仿宋"/>
                <w:sz w:val="24"/>
                <w:szCs w:val="24"/>
                <w:highlight w:val="none"/>
                <w:lang w:val="en-US" w:eastAsia="zh-CN"/>
              </w:rPr>
              <w:t>内完成供货、安装和调试并交付使用。</w:t>
            </w:r>
          </w:p>
        </w:tc>
      </w:tr>
      <w:tr w14:paraId="65F9A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4" w:hRule="atLeast"/>
          <w:jc w:val="center"/>
        </w:trPr>
        <w:tc>
          <w:tcPr>
            <w:tcW w:w="1936" w:type="dxa"/>
            <w:tcBorders>
              <w:top w:val="single" w:color="auto" w:sz="4" w:space="0"/>
              <w:bottom w:val="single" w:color="auto" w:sz="4" w:space="0"/>
              <w:right w:val="single" w:color="auto" w:sz="4" w:space="0"/>
            </w:tcBorders>
            <w:noWrap w:val="0"/>
            <w:vAlign w:val="center"/>
          </w:tcPr>
          <w:p w14:paraId="5342588B">
            <w:pPr>
              <w:snapToGrid/>
              <w:spacing w:line="360" w:lineRule="auto"/>
              <w:jc w:val="center"/>
              <w:rPr>
                <w:rFonts w:hint="default" w:ascii="楷体_GB2312" w:eastAsia="楷体_GB2312"/>
                <w:color w:val="auto"/>
                <w:kern w:val="0"/>
                <w:sz w:val="32"/>
                <w:szCs w:val="32"/>
                <w:lang w:val="en-US" w:eastAsia="zh-CN"/>
              </w:rPr>
            </w:pPr>
            <w:r>
              <w:rPr>
                <w:rFonts w:hint="eastAsia" w:ascii="楷体_GB2312" w:eastAsia="楷体_GB2312"/>
                <w:color w:val="auto"/>
                <w:kern w:val="0"/>
                <w:sz w:val="32"/>
                <w:szCs w:val="32"/>
                <w:lang w:val="en-US" w:eastAsia="zh-CN"/>
              </w:rPr>
              <w:t>免费质保期</w:t>
            </w:r>
          </w:p>
        </w:tc>
        <w:tc>
          <w:tcPr>
            <w:tcW w:w="6586" w:type="dxa"/>
            <w:tcBorders>
              <w:top w:val="single" w:color="auto" w:sz="4" w:space="0"/>
              <w:left w:val="single" w:color="auto" w:sz="4" w:space="0"/>
              <w:bottom w:val="single" w:color="auto" w:sz="4" w:space="0"/>
            </w:tcBorders>
            <w:noWrap w:val="0"/>
            <w:vAlign w:val="center"/>
          </w:tcPr>
          <w:p w14:paraId="7BA4EB59">
            <w:pPr>
              <w:snapToGrid/>
              <w:spacing w:line="360" w:lineRule="auto"/>
              <w:jc w:val="both"/>
              <w:rPr>
                <w:rFonts w:hint="eastAsia" w:ascii="仿宋" w:hAnsi="仿宋" w:eastAsia="仿宋" w:cs="仿宋"/>
                <w:color w:val="auto"/>
                <w:sz w:val="24"/>
                <w:szCs w:val="24"/>
                <w:lang w:val="en-US" w:eastAsia="zh-CN"/>
              </w:rPr>
            </w:pPr>
            <w:r>
              <w:rPr>
                <w:rFonts w:hint="eastAsia" w:ascii="仿宋" w:hAnsi="仿宋" w:eastAsia="仿宋" w:cs="仿宋"/>
                <w:color w:val="auto"/>
                <w:kern w:val="2"/>
                <w:sz w:val="24"/>
                <w:szCs w:val="24"/>
                <w:lang w:val="en-US" w:eastAsia="zh-CN" w:bidi="ar-SA"/>
              </w:rPr>
              <w:t>免费质保期不少于5年。自验收报告签字确认之日起，开始进入质保期。供应商对质保期内所发生的设备维护、维修、更换等一切费用负责。</w:t>
            </w:r>
          </w:p>
        </w:tc>
      </w:tr>
      <w:tr w14:paraId="4806D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6" w:hRule="atLeast"/>
          <w:jc w:val="center"/>
        </w:trPr>
        <w:tc>
          <w:tcPr>
            <w:tcW w:w="1936" w:type="dxa"/>
            <w:tcBorders>
              <w:top w:val="single" w:color="auto" w:sz="4" w:space="0"/>
              <w:bottom w:val="single" w:color="auto" w:sz="4" w:space="0"/>
              <w:right w:val="single" w:color="auto" w:sz="4" w:space="0"/>
            </w:tcBorders>
            <w:noWrap w:val="0"/>
            <w:vAlign w:val="center"/>
          </w:tcPr>
          <w:p w14:paraId="4ABB1CD0">
            <w:pPr>
              <w:snapToGrid/>
              <w:spacing w:line="360" w:lineRule="auto"/>
              <w:jc w:val="center"/>
              <w:rPr>
                <w:rFonts w:hint="default" w:ascii="楷体_GB2312" w:eastAsia="楷体_GB2312"/>
                <w:kern w:val="0"/>
                <w:sz w:val="32"/>
                <w:szCs w:val="32"/>
                <w:highlight w:val="none"/>
                <w:lang w:val="en-US" w:eastAsia="zh-CN"/>
              </w:rPr>
            </w:pPr>
            <w:bookmarkStart w:id="0" w:name="_GoBack" w:colFirst="1" w:colLast="1"/>
            <w:r>
              <w:rPr>
                <w:rFonts w:hint="eastAsia" w:ascii="楷体_GB2312" w:eastAsia="楷体_GB2312"/>
                <w:kern w:val="0"/>
                <w:sz w:val="32"/>
                <w:szCs w:val="32"/>
                <w:highlight w:val="none"/>
                <w:lang w:val="en-US" w:eastAsia="zh-CN"/>
              </w:rPr>
              <w:t>付款方式</w:t>
            </w:r>
          </w:p>
        </w:tc>
        <w:tc>
          <w:tcPr>
            <w:tcW w:w="6586" w:type="dxa"/>
            <w:tcBorders>
              <w:top w:val="single" w:color="auto" w:sz="4" w:space="0"/>
              <w:left w:val="single" w:color="auto" w:sz="4" w:space="0"/>
              <w:bottom w:val="single" w:color="auto" w:sz="4" w:space="0"/>
            </w:tcBorders>
            <w:noWrap w:val="0"/>
            <w:vAlign w:val="center"/>
          </w:tcPr>
          <w:p w14:paraId="350C3C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楷体_GB2312" w:eastAsia="楷体_GB2312"/>
                <w:kern w:val="0"/>
                <w:sz w:val="24"/>
                <w:szCs w:val="24"/>
                <w:highlight w:val="none"/>
              </w:rPr>
            </w:pPr>
            <w:r>
              <w:rPr>
                <w:rFonts w:hint="eastAsia" w:ascii="仿宋" w:hAnsi="仿宋" w:eastAsia="仿宋" w:cs="仿宋"/>
                <w:sz w:val="24"/>
                <w:szCs w:val="24"/>
                <w:highlight w:val="none"/>
                <w:lang w:val="en-US" w:eastAsia="zh-CN"/>
              </w:rPr>
              <w:t>经验收合格后付至合同价款60%，剩余40%在2026年底前结清。</w:t>
            </w:r>
          </w:p>
        </w:tc>
      </w:tr>
      <w:tr w14:paraId="152AF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8" w:hRule="atLeast"/>
          <w:jc w:val="center"/>
        </w:trPr>
        <w:tc>
          <w:tcPr>
            <w:tcW w:w="1936" w:type="dxa"/>
            <w:tcBorders>
              <w:top w:val="single" w:color="auto" w:sz="4" w:space="0"/>
              <w:bottom w:val="single" w:color="auto" w:sz="4" w:space="0"/>
              <w:right w:val="single" w:color="auto" w:sz="4" w:space="0"/>
            </w:tcBorders>
            <w:noWrap w:val="0"/>
            <w:vAlign w:val="center"/>
          </w:tcPr>
          <w:p w14:paraId="645694D1">
            <w:pPr>
              <w:snapToGrid/>
              <w:spacing w:line="360" w:lineRule="auto"/>
              <w:jc w:val="center"/>
              <w:rPr>
                <w:rFonts w:hint="default" w:ascii="楷体_GB2312" w:eastAsia="楷体_GB2312"/>
                <w:kern w:val="0"/>
                <w:sz w:val="32"/>
                <w:szCs w:val="32"/>
                <w:lang w:val="en-US" w:eastAsia="zh-CN"/>
              </w:rPr>
            </w:pPr>
            <w:r>
              <w:rPr>
                <w:rFonts w:hint="eastAsia" w:ascii="楷体_GB2312" w:eastAsia="楷体_GB2312"/>
                <w:kern w:val="0"/>
                <w:sz w:val="32"/>
                <w:szCs w:val="32"/>
                <w:lang w:val="en-US" w:eastAsia="zh-CN"/>
              </w:rPr>
              <w:t>询比要求</w:t>
            </w:r>
          </w:p>
        </w:tc>
        <w:tc>
          <w:tcPr>
            <w:tcW w:w="6586" w:type="dxa"/>
            <w:tcBorders>
              <w:top w:val="single" w:color="auto" w:sz="4" w:space="0"/>
              <w:left w:val="single" w:color="auto" w:sz="4" w:space="0"/>
              <w:bottom w:val="single" w:color="auto" w:sz="4" w:space="0"/>
            </w:tcBorders>
            <w:noWrap w:val="0"/>
            <w:vAlign w:val="center"/>
          </w:tcPr>
          <w:p w14:paraId="7628CED8">
            <w:pPr>
              <w:snapToGrid/>
              <w:spacing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响应要求：请收到询比采购通知的供应商，按照本通知中表2和表3文件制作响应文件，装订成册（1份）并密封，密封口须加盖供应商公章、法定代表人或授权委托人签字或盖章，封皮上写明采购项目名称、供应商名称。于</w:t>
            </w:r>
            <w:r>
              <w:rPr>
                <w:rFonts w:hint="eastAsia" w:ascii="仿宋" w:hAnsi="仿宋" w:eastAsia="仿宋" w:cs="仿宋"/>
                <w:sz w:val="24"/>
                <w:szCs w:val="24"/>
                <w:highlight w:val="none"/>
                <w:u w:val="single"/>
                <w:lang w:val="en-US" w:eastAsia="zh-CN"/>
              </w:rPr>
              <w:t>2026</w:t>
            </w:r>
            <w:r>
              <w:rPr>
                <w:rFonts w:hint="eastAsia" w:ascii="仿宋" w:hAnsi="仿宋" w:eastAsia="仿宋" w:cs="仿宋"/>
                <w:sz w:val="24"/>
                <w:szCs w:val="24"/>
                <w:highlight w:val="none"/>
                <w:lang w:val="en-US" w:eastAsia="zh-CN"/>
              </w:rPr>
              <w:t>年</w:t>
            </w:r>
            <w:r>
              <w:rPr>
                <w:rFonts w:hint="eastAsia" w:ascii="仿宋" w:hAnsi="仿宋" w:eastAsia="仿宋" w:cs="仿宋"/>
                <w:sz w:val="24"/>
                <w:szCs w:val="24"/>
                <w:highlight w:val="none"/>
                <w:u w:val="single"/>
                <w:lang w:val="en-US" w:eastAsia="zh-CN"/>
              </w:rPr>
              <w:t>8</w:t>
            </w:r>
            <w:r>
              <w:rPr>
                <w:rFonts w:hint="eastAsia" w:ascii="仿宋" w:hAnsi="仿宋" w:eastAsia="仿宋" w:cs="仿宋"/>
                <w:sz w:val="24"/>
                <w:szCs w:val="24"/>
                <w:highlight w:val="none"/>
                <w:lang w:val="en-US" w:eastAsia="zh-CN"/>
              </w:rPr>
              <w:t>月</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lang w:val="en-US" w:eastAsia="zh-CN"/>
              </w:rPr>
              <w:t>日12：00前，送（寄）达</w:t>
            </w:r>
            <w:r>
              <w:rPr>
                <w:rFonts w:hint="eastAsia" w:ascii="仿宋" w:hAnsi="仿宋" w:eastAsia="仿宋" w:cs="仿宋"/>
                <w:sz w:val="24"/>
                <w:szCs w:val="24"/>
                <w:highlight w:val="none"/>
                <w:u w:val="single"/>
                <w:lang w:val="en-US" w:eastAsia="zh-CN"/>
              </w:rPr>
              <w:t>钟楼区玉龙南路280号常州大数据产业园2号楼19楼常州市市场资源交易服务中心（平台）1901</w:t>
            </w:r>
            <w:r>
              <w:rPr>
                <w:rFonts w:hint="eastAsia" w:ascii="仿宋" w:hAnsi="仿宋" w:eastAsia="仿宋" w:cs="仿宋"/>
                <w:sz w:val="24"/>
                <w:szCs w:val="24"/>
                <w:highlight w:val="none"/>
                <w:lang w:val="en-US" w:eastAsia="zh-CN"/>
              </w:rPr>
              <w:t>，联系方式：</w:t>
            </w:r>
            <w:r>
              <w:rPr>
                <w:rFonts w:hint="eastAsia" w:ascii="仿宋" w:hAnsi="仿宋" w:eastAsia="仿宋" w:cs="仿宋"/>
                <w:sz w:val="24"/>
                <w:szCs w:val="24"/>
                <w:highlight w:val="none"/>
                <w:u w:val="single"/>
                <w:lang w:val="en-US" w:eastAsia="zh-CN"/>
              </w:rPr>
              <w:t>唐女士-18961201061；</w:t>
            </w:r>
          </w:p>
          <w:p w14:paraId="2161BDD5">
            <w:pPr>
              <w:snapToGrid/>
              <w:spacing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2.成交方式：根据各供应商提供的报价及证明材料等文件，在质量服务相等的情况下，报价最低的供应商为成交供应商。若报价相同的，提供增值服务多的供应商为成交供应商。</w:t>
            </w:r>
          </w:p>
        </w:tc>
      </w:tr>
      <w:bookmarkEnd w:id="0"/>
    </w:tbl>
    <w:p w14:paraId="67A90692">
      <w:pPr>
        <w:pStyle w:val="8"/>
        <w:ind w:left="0" w:leftChars="0" w:firstLine="0" w:firstLineChars="0"/>
        <w:rPr>
          <w:rFonts w:hint="eastAsia"/>
        </w:rPr>
        <w:sectPr>
          <w:footerReference r:id="rId3" w:type="default"/>
          <w:pgSz w:w="11906" w:h="16838"/>
          <w:pgMar w:top="1440" w:right="1800" w:bottom="1440" w:left="1800" w:header="851" w:footer="992" w:gutter="0"/>
          <w:pgNumType w:fmt="decimal" w:start="1"/>
          <w:cols w:space="720" w:num="1"/>
          <w:docGrid w:type="lines" w:linePitch="312" w:charSpace="0"/>
        </w:sectPr>
      </w:pPr>
    </w:p>
    <w:p w14:paraId="47202737">
      <w:pPr>
        <w:snapToGrid/>
        <w:spacing w:line="360" w:lineRule="auto"/>
        <w:jc w:val="center"/>
        <w:rPr>
          <w:rFonts w:hint="eastAsia" w:ascii="楷体_GB2312" w:eastAsia="楷体_GB2312"/>
          <w:kern w:val="0"/>
          <w:sz w:val="32"/>
          <w:szCs w:val="32"/>
          <w:lang w:val="en-US" w:eastAsia="zh-CN"/>
        </w:rPr>
      </w:pPr>
      <w:r>
        <w:rPr>
          <w:rFonts w:hint="eastAsia" w:ascii="楷体_GB2312" w:eastAsia="楷体_GB2312"/>
          <w:kern w:val="0"/>
          <w:sz w:val="32"/>
          <w:szCs w:val="32"/>
          <w:lang w:val="en-US" w:eastAsia="zh-CN"/>
        </w:rPr>
        <w:t>技术参数要求</w:t>
      </w:r>
    </w:p>
    <w:tbl>
      <w:tblPr>
        <w:tblStyle w:val="5"/>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702"/>
        <w:gridCol w:w="6525"/>
      </w:tblGrid>
      <w:tr w14:paraId="1C4E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78D33C2">
            <w:pPr>
              <w:jc w:val="center"/>
              <w:rPr>
                <w:b/>
                <w:bCs/>
                <w:szCs w:val="21"/>
              </w:rPr>
            </w:pPr>
            <w:r>
              <w:rPr>
                <w:rFonts w:hint="eastAsia"/>
                <w:b/>
                <w:bCs/>
                <w:szCs w:val="21"/>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3F077DF5">
            <w:pPr>
              <w:jc w:val="center"/>
              <w:rPr>
                <w:b/>
                <w:bCs/>
                <w:szCs w:val="21"/>
              </w:rPr>
            </w:pPr>
            <w:r>
              <w:rPr>
                <w:rFonts w:hint="eastAsia"/>
                <w:b/>
                <w:bCs/>
                <w:szCs w:val="21"/>
              </w:rPr>
              <w:t>项目</w:t>
            </w:r>
          </w:p>
        </w:tc>
        <w:tc>
          <w:tcPr>
            <w:tcW w:w="6521" w:type="dxa"/>
            <w:tcBorders>
              <w:top w:val="single" w:color="auto" w:sz="4" w:space="0"/>
              <w:left w:val="single" w:color="auto" w:sz="4" w:space="0"/>
              <w:bottom w:val="single" w:color="auto" w:sz="4" w:space="0"/>
              <w:right w:val="single" w:color="auto" w:sz="4" w:space="0"/>
            </w:tcBorders>
            <w:vAlign w:val="center"/>
          </w:tcPr>
          <w:p w14:paraId="1D77E9BC">
            <w:pPr>
              <w:jc w:val="center"/>
              <w:rPr>
                <w:b/>
                <w:bCs/>
                <w:szCs w:val="21"/>
              </w:rPr>
            </w:pPr>
            <w:r>
              <w:rPr>
                <w:rFonts w:hint="eastAsia"/>
                <w:b/>
                <w:bCs/>
                <w:szCs w:val="21"/>
              </w:rPr>
              <w:t>参数</w:t>
            </w:r>
          </w:p>
        </w:tc>
      </w:tr>
      <w:tr w14:paraId="1BD6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F8140FA">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w:t>
            </w:r>
          </w:p>
        </w:tc>
        <w:tc>
          <w:tcPr>
            <w:tcW w:w="1701" w:type="dxa"/>
            <w:tcBorders>
              <w:top w:val="single" w:color="auto" w:sz="4" w:space="0"/>
              <w:left w:val="single" w:color="auto" w:sz="4" w:space="0"/>
              <w:bottom w:val="single" w:color="auto" w:sz="4" w:space="0"/>
              <w:right w:val="single" w:color="auto" w:sz="4" w:space="0"/>
            </w:tcBorders>
            <w:vAlign w:val="center"/>
          </w:tcPr>
          <w:p w14:paraId="6CA68139">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检测原理</w:t>
            </w:r>
          </w:p>
        </w:tc>
        <w:tc>
          <w:tcPr>
            <w:tcW w:w="6521" w:type="dxa"/>
            <w:tcBorders>
              <w:top w:val="single" w:color="auto" w:sz="4" w:space="0"/>
              <w:left w:val="single" w:color="auto" w:sz="4" w:space="0"/>
              <w:bottom w:val="single" w:color="auto" w:sz="4" w:space="0"/>
              <w:right w:val="single" w:color="auto" w:sz="4" w:space="0"/>
            </w:tcBorders>
            <w:vAlign w:val="center"/>
          </w:tcPr>
          <w:p w14:paraId="4AB84FB5">
            <w:pP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可以对凝血凝固法、发色底物法、免疫比浊法项目进行检测。</w:t>
            </w:r>
          </w:p>
        </w:tc>
      </w:tr>
      <w:tr w14:paraId="66BA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6548D22">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w:t>
            </w:r>
          </w:p>
        </w:tc>
        <w:tc>
          <w:tcPr>
            <w:tcW w:w="1701" w:type="dxa"/>
            <w:tcBorders>
              <w:top w:val="single" w:color="auto" w:sz="4" w:space="0"/>
              <w:left w:val="single" w:color="auto" w:sz="4" w:space="0"/>
              <w:bottom w:val="single" w:color="auto" w:sz="4" w:space="0"/>
              <w:right w:val="single" w:color="auto" w:sz="4" w:space="0"/>
            </w:tcBorders>
            <w:vAlign w:val="center"/>
          </w:tcPr>
          <w:p w14:paraId="44B719A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测试项目</w:t>
            </w:r>
          </w:p>
        </w:tc>
        <w:tc>
          <w:tcPr>
            <w:tcW w:w="6521" w:type="dxa"/>
            <w:tcBorders>
              <w:top w:val="single" w:color="auto" w:sz="4" w:space="0"/>
              <w:left w:val="single" w:color="auto" w:sz="4" w:space="0"/>
              <w:bottom w:val="single" w:color="auto" w:sz="4" w:space="0"/>
              <w:right w:val="single" w:color="auto" w:sz="4" w:space="0"/>
            </w:tcBorders>
            <w:vAlign w:val="center"/>
          </w:tcPr>
          <w:p w14:paraId="3F6026BC">
            <w:pP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PT、APTT、FIB、TT、D-Dimer、FDP、AT Ⅲ等。</w:t>
            </w:r>
          </w:p>
        </w:tc>
      </w:tr>
      <w:tr w14:paraId="304B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9210C1D">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3</w:t>
            </w:r>
          </w:p>
        </w:tc>
        <w:tc>
          <w:tcPr>
            <w:tcW w:w="1701" w:type="dxa"/>
            <w:tcBorders>
              <w:top w:val="single" w:color="auto" w:sz="4" w:space="0"/>
              <w:left w:val="single" w:color="auto" w:sz="4" w:space="0"/>
              <w:bottom w:val="single" w:color="auto" w:sz="4" w:space="0"/>
              <w:right w:val="single" w:color="auto" w:sz="4" w:space="0"/>
            </w:tcBorders>
            <w:vAlign w:val="center"/>
          </w:tcPr>
          <w:p w14:paraId="73DA6C5B">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最大速度</w:t>
            </w:r>
          </w:p>
        </w:tc>
        <w:tc>
          <w:tcPr>
            <w:tcW w:w="6521" w:type="dxa"/>
            <w:tcBorders>
              <w:top w:val="single" w:color="auto" w:sz="4" w:space="0"/>
              <w:left w:val="single" w:color="auto" w:sz="4" w:space="0"/>
              <w:bottom w:val="single" w:color="auto" w:sz="4" w:space="0"/>
              <w:right w:val="single" w:color="auto" w:sz="4" w:space="0"/>
            </w:tcBorders>
            <w:vAlign w:val="center"/>
          </w:tcPr>
          <w:p w14:paraId="1D7BC543">
            <w:pP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检测速度PT≥400 T/h</w:t>
            </w:r>
          </w:p>
        </w:tc>
      </w:tr>
      <w:tr w14:paraId="40EC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876C76B">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4</w:t>
            </w:r>
          </w:p>
        </w:tc>
        <w:tc>
          <w:tcPr>
            <w:tcW w:w="1701" w:type="dxa"/>
            <w:tcBorders>
              <w:top w:val="single" w:color="auto" w:sz="4" w:space="0"/>
              <w:left w:val="single" w:color="auto" w:sz="4" w:space="0"/>
              <w:bottom w:val="single" w:color="auto" w:sz="4" w:space="0"/>
              <w:right w:val="single" w:color="auto" w:sz="4" w:space="0"/>
            </w:tcBorders>
            <w:vAlign w:val="center"/>
          </w:tcPr>
          <w:p w14:paraId="5FCD398C">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综合速度</w:t>
            </w:r>
          </w:p>
        </w:tc>
        <w:tc>
          <w:tcPr>
            <w:tcW w:w="6521" w:type="dxa"/>
            <w:tcBorders>
              <w:top w:val="single" w:color="auto" w:sz="4" w:space="0"/>
              <w:left w:val="single" w:color="auto" w:sz="4" w:space="0"/>
              <w:bottom w:val="single" w:color="auto" w:sz="4" w:space="0"/>
              <w:right w:val="single" w:color="auto" w:sz="4" w:space="0"/>
            </w:tcBorders>
            <w:vAlign w:val="center"/>
          </w:tcPr>
          <w:p w14:paraId="5F259C5B">
            <w:pP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四项≥175T/h，五项≥150 T/h，六项≥150 T/h</w:t>
            </w:r>
          </w:p>
        </w:tc>
      </w:tr>
      <w:tr w14:paraId="7A5C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F00D031">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5</w:t>
            </w:r>
          </w:p>
        </w:tc>
        <w:tc>
          <w:tcPr>
            <w:tcW w:w="1701" w:type="dxa"/>
            <w:tcBorders>
              <w:top w:val="single" w:color="auto" w:sz="4" w:space="0"/>
              <w:left w:val="single" w:color="auto" w:sz="4" w:space="0"/>
              <w:bottom w:val="single" w:color="auto" w:sz="4" w:space="0"/>
              <w:right w:val="single" w:color="auto" w:sz="4" w:space="0"/>
            </w:tcBorders>
            <w:vAlign w:val="center"/>
          </w:tcPr>
          <w:p w14:paraId="1D3FC69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检测通道</w:t>
            </w:r>
          </w:p>
        </w:tc>
        <w:tc>
          <w:tcPr>
            <w:tcW w:w="6521" w:type="dxa"/>
            <w:tcBorders>
              <w:top w:val="single" w:color="auto" w:sz="4" w:space="0"/>
              <w:left w:val="single" w:color="auto" w:sz="4" w:space="0"/>
              <w:bottom w:val="single" w:color="auto" w:sz="4" w:space="0"/>
              <w:right w:val="single" w:color="auto" w:sz="4" w:space="0"/>
            </w:tcBorders>
            <w:vAlign w:val="center"/>
          </w:tcPr>
          <w:p w14:paraId="32B239B7">
            <w:pPr>
              <w:pStyle w:val="9"/>
              <w:ind w:firstLine="0" w:firstLineChars="0"/>
              <w:rPr>
                <w:rFonts w:hint="default" w:ascii="Times New Roman" w:hAnsi="Times New Roman" w:eastAsia="仿宋" w:cs="Times New Roman"/>
                <w:sz w:val="21"/>
                <w:szCs w:val="21"/>
              </w:rPr>
            </w:pPr>
            <w:r>
              <w:rPr>
                <w:rFonts w:hint="default" w:ascii="Times New Roman" w:hAnsi="Times New Roman" w:eastAsia="仿宋" w:cs="Times New Roman"/>
                <w:sz w:val="21"/>
                <w:szCs w:val="21"/>
              </w:rPr>
              <w:t>8个检测通道，并且同时适用凝固法、发色底物法、免疫比浊法项目。</w:t>
            </w:r>
          </w:p>
        </w:tc>
      </w:tr>
      <w:tr w14:paraId="367C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B8CD12F">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6</w:t>
            </w:r>
          </w:p>
        </w:tc>
        <w:tc>
          <w:tcPr>
            <w:tcW w:w="1701" w:type="dxa"/>
            <w:tcBorders>
              <w:top w:val="single" w:color="auto" w:sz="4" w:space="0"/>
              <w:left w:val="single" w:color="auto" w:sz="4" w:space="0"/>
              <w:bottom w:val="single" w:color="auto" w:sz="4" w:space="0"/>
              <w:right w:val="single" w:color="auto" w:sz="4" w:space="0"/>
            </w:tcBorders>
            <w:vAlign w:val="center"/>
          </w:tcPr>
          <w:p w14:paraId="4441E81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样本位</w:t>
            </w:r>
          </w:p>
        </w:tc>
        <w:tc>
          <w:tcPr>
            <w:tcW w:w="6521" w:type="dxa"/>
            <w:tcBorders>
              <w:top w:val="single" w:color="auto" w:sz="4" w:space="0"/>
              <w:left w:val="single" w:color="auto" w:sz="4" w:space="0"/>
              <w:bottom w:val="single" w:color="auto" w:sz="4" w:space="0"/>
              <w:right w:val="single" w:color="auto" w:sz="4" w:space="0"/>
            </w:tcBorders>
            <w:vAlign w:val="center"/>
          </w:tcPr>
          <w:p w14:paraId="2F71A967">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样本位≥40个，采用自动进样器连续加载进样。</w:t>
            </w:r>
          </w:p>
        </w:tc>
      </w:tr>
      <w:tr w14:paraId="27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38FE130">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7</w:t>
            </w:r>
          </w:p>
        </w:tc>
        <w:tc>
          <w:tcPr>
            <w:tcW w:w="1701" w:type="dxa"/>
            <w:tcBorders>
              <w:top w:val="single" w:color="auto" w:sz="4" w:space="0"/>
              <w:left w:val="single" w:color="auto" w:sz="4" w:space="0"/>
              <w:bottom w:val="single" w:color="auto" w:sz="4" w:space="0"/>
              <w:right w:val="single" w:color="auto" w:sz="4" w:space="0"/>
            </w:tcBorders>
            <w:vAlign w:val="center"/>
          </w:tcPr>
          <w:p w14:paraId="21BED9F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样本扫描</w:t>
            </w:r>
          </w:p>
        </w:tc>
        <w:tc>
          <w:tcPr>
            <w:tcW w:w="6521" w:type="dxa"/>
            <w:tcBorders>
              <w:top w:val="single" w:color="auto" w:sz="4" w:space="0"/>
              <w:left w:val="single" w:color="auto" w:sz="4" w:space="0"/>
              <w:bottom w:val="single" w:color="auto" w:sz="4" w:space="0"/>
              <w:right w:val="single" w:color="auto" w:sz="4" w:space="0"/>
            </w:tcBorders>
            <w:vAlign w:val="center"/>
          </w:tcPr>
          <w:p w14:paraId="31BC7EF2">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具有内置条码扫描装置，可以实时扫描样本的条码信息；样本支持随意放入，旋转扫码。</w:t>
            </w:r>
          </w:p>
        </w:tc>
      </w:tr>
      <w:tr w14:paraId="1235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C3D8CD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8</w:t>
            </w:r>
          </w:p>
        </w:tc>
        <w:tc>
          <w:tcPr>
            <w:tcW w:w="1701" w:type="dxa"/>
            <w:tcBorders>
              <w:top w:val="single" w:color="auto" w:sz="4" w:space="0"/>
              <w:left w:val="single" w:color="auto" w:sz="4" w:space="0"/>
              <w:bottom w:val="single" w:color="auto" w:sz="4" w:space="0"/>
              <w:right w:val="single" w:color="auto" w:sz="4" w:space="0"/>
            </w:tcBorders>
            <w:vAlign w:val="center"/>
          </w:tcPr>
          <w:p w14:paraId="6050ECBE">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样本量预检</w:t>
            </w:r>
          </w:p>
        </w:tc>
        <w:tc>
          <w:tcPr>
            <w:tcW w:w="6521" w:type="dxa"/>
            <w:tcBorders>
              <w:top w:val="single" w:color="auto" w:sz="4" w:space="0"/>
              <w:left w:val="single" w:color="auto" w:sz="4" w:space="0"/>
              <w:bottom w:val="single" w:color="auto" w:sz="4" w:space="0"/>
              <w:right w:val="single" w:color="auto" w:sz="4" w:space="0"/>
            </w:tcBorders>
            <w:vAlign w:val="center"/>
          </w:tcPr>
          <w:p w14:paraId="1B9730BC">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自定义样本量范围，对样本量进行自动检查。</w:t>
            </w:r>
          </w:p>
        </w:tc>
      </w:tr>
      <w:tr w14:paraId="62E3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19E57FA">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9</w:t>
            </w:r>
          </w:p>
        </w:tc>
        <w:tc>
          <w:tcPr>
            <w:tcW w:w="1701" w:type="dxa"/>
            <w:tcBorders>
              <w:top w:val="single" w:color="auto" w:sz="4" w:space="0"/>
              <w:left w:val="single" w:color="auto" w:sz="4" w:space="0"/>
              <w:bottom w:val="single" w:color="auto" w:sz="4" w:space="0"/>
              <w:right w:val="single" w:color="auto" w:sz="4" w:space="0"/>
            </w:tcBorders>
            <w:vAlign w:val="center"/>
          </w:tcPr>
          <w:p w14:paraId="52A1C991">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样本质量核查</w:t>
            </w:r>
          </w:p>
        </w:tc>
        <w:tc>
          <w:tcPr>
            <w:tcW w:w="6521" w:type="dxa"/>
            <w:tcBorders>
              <w:top w:val="single" w:color="auto" w:sz="4" w:space="0"/>
              <w:left w:val="single" w:color="auto" w:sz="4" w:space="0"/>
              <w:bottom w:val="single" w:color="auto" w:sz="4" w:space="0"/>
              <w:right w:val="single" w:color="auto" w:sz="4" w:space="0"/>
            </w:tcBorders>
            <w:vAlign w:val="center"/>
          </w:tcPr>
          <w:p w14:paraId="23BE9EE9">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对每个样本进行HIL质量核查；不消耗反应杯和洗液。</w:t>
            </w:r>
          </w:p>
        </w:tc>
      </w:tr>
      <w:tr w14:paraId="2607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F1B51A5">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10</w:t>
            </w:r>
          </w:p>
        </w:tc>
        <w:tc>
          <w:tcPr>
            <w:tcW w:w="1701" w:type="dxa"/>
            <w:tcBorders>
              <w:top w:val="single" w:color="auto" w:sz="4" w:space="0"/>
              <w:left w:val="single" w:color="auto" w:sz="4" w:space="0"/>
              <w:bottom w:val="single" w:color="auto" w:sz="4" w:space="0"/>
              <w:right w:val="single" w:color="auto" w:sz="4" w:space="0"/>
            </w:tcBorders>
            <w:vAlign w:val="center"/>
          </w:tcPr>
          <w:p w14:paraId="1617E9C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试剂位</w:t>
            </w:r>
          </w:p>
        </w:tc>
        <w:tc>
          <w:tcPr>
            <w:tcW w:w="6521" w:type="dxa"/>
            <w:tcBorders>
              <w:top w:val="single" w:color="auto" w:sz="4" w:space="0"/>
              <w:left w:val="single" w:color="auto" w:sz="4" w:space="0"/>
              <w:bottom w:val="single" w:color="auto" w:sz="4" w:space="0"/>
              <w:right w:val="single" w:color="auto" w:sz="4" w:space="0"/>
            </w:tcBorders>
            <w:vAlign w:val="center"/>
          </w:tcPr>
          <w:p w14:paraId="2E705208">
            <w:pPr>
              <w:rPr>
                <w:rFonts w:hint="default" w:ascii="Times New Roman" w:hAnsi="Times New Roman" w:eastAsia="仿宋" w:cs="Times New Roman"/>
                <w:color w:val="000000"/>
                <w:sz w:val="21"/>
                <w:szCs w:val="21"/>
              </w:rPr>
            </w:pPr>
            <w:r>
              <w:rPr>
                <w:rFonts w:hint="default" w:ascii="Times New Roman" w:hAnsi="Times New Roman" w:eastAsia="仿宋" w:cs="Times New Roman"/>
                <w:sz w:val="21"/>
                <w:szCs w:val="21"/>
              </w:rPr>
              <w:t>15个联杯试剂位（相当于传统试剂位30个），具有旋转混匀功能</w:t>
            </w:r>
            <w:r>
              <w:rPr>
                <w:rFonts w:hint="default" w:ascii="Times New Roman" w:hAnsi="Times New Roman" w:eastAsia="仿宋" w:cs="Times New Roman"/>
                <w:color w:val="000000"/>
                <w:sz w:val="21"/>
                <w:szCs w:val="21"/>
              </w:rPr>
              <w:t>。</w:t>
            </w:r>
          </w:p>
        </w:tc>
      </w:tr>
      <w:tr w14:paraId="02D3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5955143">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11</w:t>
            </w:r>
          </w:p>
        </w:tc>
        <w:tc>
          <w:tcPr>
            <w:tcW w:w="1701" w:type="dxa"/>
            <w:tcBorders>
              <w:top w:val="single" w:color="auto" w:sz="4" w:space="0"/>
              <w:left w:val="single" w:color="auto" w:sz="4" w:space="0"/>
              <w:bottom w:val="single" w:color="auto" w:sz="4" w:space="0"/>
              <w:right w:val="single" w:color="auto" w:sz="4" w:space="0"/>
            </w:tcBorders>
            <w:vAlign w:val="center"/>
          </w:tcPr>
          <w:p w14:paraId="1C5B23B3">
            <w:pPr>
              <w:jc w:val="center"/>
              <w:rPr>
                <w:rFonts w:hint="default" w:ascii="Times New Roman" w:hAnsi="Times New Roman" w:eastAsia="仿宋" w:cs="Times New Roman"/>
                <w:sz w:val="21"/>
                <w:szCs w:val="21"/>
              </w:rPr>
            </w:pPr>
            <w:r>
              <w:rPr>
                <w:rFonts w:hint="default" w:ascii="Times New Roman" w:hAnsi="Times New Roman" w:eastAsia="仿宋" w:cs="Times New Roman"/>
                <w:color w:val="000000"/>
                <w:sz w:val="21"/>
                <w:szCs w:val="21"/>
              </w:rPr>
              <w:t>封闭试剂仓</w:t>
            </w:r>
          </w:p>
        </w:tc>
        <w:tc>
          <w:tcPr>
            <w:tcW w:w="6521" w:type="dxa"/>
            <w:tcBorders>
              <w:top w:val="single" w:color="auto" w:sz="4" w:space="0"/>
              <w:left w:val="single" w:color="auto" w:sz="4" w:space="0"/>
              <w:bottom w:val="single" w:color="auto" w:sz="4" w:space="0"/>
              <w:right w:val="single" w:color="auto" w:sz="4" w:space="0"/>
            </w:tcBorders>
            <w:vAlign w:val="center"/>
          </w:tcPr>
          <w:p w14:paraId="6F7551E2">
            <w:pPr>
              <w:jc w:val="left"/>
              <w:rPr>
                <w:rFonts w:hint="default" w:ascii="Times New Roman" w:hAnsi="Times New Roman" w:eastAsia="仿宋" w:cs="Times New Roman"/>
                <w:sz w:val="21"/>
                <w:szCs w:val="21"/>
              </w:rPr>
            </w:pPr>
            <w:r>
              <w:rPr>
                <w:rFonts w:hint="default" w:ascii="Times New Roman" w:hAnsi="Times New Roman" w:eastAsia="仿宋" w:cs="Times New Roman"/>
                <w:color w:val="000000"/>
                <w:sz w:val="21"/>
                <w:szCs w:val="21"/>
              </w:rPr>
              <w:t>试剂仓封闭设计，避免试剂使用过程中直接曝露在空气中，减少挥发。</w:t>
            </w:r>
          </w:p>
        </w:tc>
      </w:tr>
      <w:tr w14:paraId="2B73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A599691">
            <w:pPr>
              <w:jc w:val="center"/>
              <w:rPr>
                <w:rFonts w:hint="default" w:ascii="Times New Roman" w:hAnsi="Times New Roman" w:eastAsia="仿宋" w:cs="Times New Roman"/>
                <w:color w:val="FF0000"/>
                <w:sz w:val="21"/>
                <w:szCs w:val="21"/>
              </w:rPr>
            </w:pPr>
            <w:r>
              <w:rPr>
                <w:rFonts w:hint="default" w:ascii="Times New Roman" w:hAnsi="Times New Roman" w:eastAsia="仿宋" w:cs="Times New Roman"/>
                <w:sz w:val="21"/>
                <w:szCs w:val="21"/>
              </w:rPr>
              <w:t>12</w:t>
            </w:r>
          </w:p>
        </w:tc>
        <w:tc>
          <w:tcPr>
            <w:tcW w:w="1701" w:type="dxa"/>
            <w:tcBorders>
              <w:top w:val="single" w:color="auto" w:sz="4" w:space="0"/>
              <w:left w:val="single" w:color="auto" w:sz="4" w:space="0"/>
              <w:bottom w:val="single" w:color="auto" w:sz="4" w:space="0"/>
              <w:right w:val="single" w:color="auto" w:sz="4" w:space="0"/>
            </w:tcBorders>
            <w:vAlign w:val="center"/>
          </w:tcPr>
          <w:p w14:paraId="59F22E04">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试剂溯源</w:t>
            </w:r>
          </w:p>
        </w:tc>
        <w:tc>
          <w:tcPr>
            <w:tcW w:w="6521" w:type="dxa"/>
            <w:tcBorders>
              <w:top w:val="single" w:color="auto" w:sz="4" w:space="0"/>
              <w:left w:val="single" w:color="auto" w:sz="4" w:space="0"/>
              <w:bottom w:val="single" w:color="auto" w:sz="4" w:space="0"/>
              <w:right w:val="single" w:color="auto" w:sz="4" w:space="0"/>
            </w:tcBorders>
            <w:vAlign w:val="center"/>
          </w:tcPr>
          <w:p w14:paraId="3ADC2B3E">
            <w:pP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每个联杯试剂上配置RFID（射频识别），实现使用全流程的溯源管理。</w:t>
            </w:r>
          </w:p>
        </w:tc>
      </w:tr>
      <w:tr w14:paraId="7FDE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04918EC">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13</w:t>
            </w:r>
          </w:p>
        </w:tc>
        <w:tc>
          <w:tcPr>
            <w:tcW w:w="1701" w:type="dxa"/>
            <w:tcBorders>
              <w:top w:val="single" w:color="auto" w:sz="4" w:space="0"/>
              <w:left w:val="single" w:color="auto" w:sz="4" w:space="0"/>
              <w:bottom w:val="single" w:color="auto" w:sz="4" w:space="0"/>
              <w:right w:val="single" w:color="auto" w:sz="4" w:space="0"/>
            </w:tcBorders>
            <w:vAlign w:val="center"/>
          </w:tcPr>
          <w:p w14:paraId="5F4DC75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冰箱模式</w:t>
            </w:r>
          </w:p>
        </w:tc>
        <w:tc>
          <w:tcPr>
            <w:tcW w:w="6521" w:type="dxa"/>
            <w:tcBorders>
              <w:top w:val="single" w:color="auto" w:sz="4" w:space="0"/>
              <w:left w:val="single" w:color="auto" w:sz="4" w:space="0"/>
              <w:bottom w:val="single" w:color="auto" w:sz="4" w:space="0"/>
              <w:right w:val="single" w:color="auto" w:sz="4" w:space="0"/>
            </w:tcBorders>
            <w:vAlign w:val="center"/>
          </w:tcPr>
          <w:p w14:paraId="45E51186">
            <w:pPr>
              <w:jc w:val="left"/>
              <w:rPr>
                <w:rFonts w:hint="default" w:ascii="Times New Roman" w:hAnsi="Times New Roman" w:eastAsia="仿宋" w:cs="Times New Roman"/>
                <w:color w:val="000000"/>
                <w:sz w:val="21"/>
                <w:szCs w:val="21"/>
              </w:rPr>
            </w:pPr>
            <w:r>
              <w:rPr>
                <w:rFonts w:hint="default" w:ascii="Times New Roman" w:hAnsi="Times New Roman" w:eastAsia="仿宋" w:cs="Times New Roman"/>
                <w:color w:val="000000"/>
                <w:sz w:val="21"/>
                <w:szCs w:val="21"/>
              </w:rPr>
              <w:t>关机后试剂盘独立制冷，试剂在机8℃冷藏。</w:t>
            </w:r>
          </w:p>
        </w:tc>
      </w:tr>
      <w:tr w14:paraId="2835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4F28497">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14</w:t>
            </w:r>
          </w:p>
        </w:tc>
        <w:tc>
          <w:tcPr>
            <w:tcW w:w="1701" w:type="dxa"/>
            <w:tcBorders>
              <w:top w:val="single" w:color="auto" w:sz="4" w:space="0"/>
              <w:left w:val="single" w:color="auto" w:sz="4" w:space="0"/>
              <w:bottom w:val="single" w:color="auto" w:sz="4" w:space="0"/>
              <w:right w:val="single" w:color="auto" w:sz="4" w:space="0"/>
            </w:tcBorders>
            <w:vAlign w:val="center"/>
          </w:tcPr>
          <w:p w14:paraId="66D545A2">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加样针</w:t>
            </w:r>
          </w:p>
        </w:tc>
        <w:tc>
          <w:tcPr>
            <w:tcW w:w="6521" w:type="dxa"/>
            <w:tcBorders>
              <w:top w:val="single" w:color="auto" w:sz="4" w:space="0"/>
              <w:left w:val="single" w:color="auto" w:sz="4" w:space="0"/>
              <w:bottom w:val="single" w:color="auto" w:sz="4" w:space="0"/>
              <w:right w:val="single" w:color="auto" w:sz="4" w:space="0"/>
            </w:tcBorders>
            <w:vAlign w:val="center"/>
          </w:tcPr>
          <w:p w14:paraId="1EDD3B35">
            <w:pPr>
              <w:pStyle w:val="9"/>
              <w:ind w:firstLine="0" w:firstLineChars="0"/>
              <w:rPr>
                <w:rFonts w:hint="default" w:ascii="Times New Roman" w:hAnsi="Times New Roman" w:eastAsia="仿宋" w:cs="Times New Roman"/>
                <w:sz w:val="21"/>
                <w:szCs w:val="21"/>
              </w:rPr>
            </w:pPr>
            <w:r>
              <w:rPr>
                <w:rFonts w:hint="default" w:ascii="Times New Roman" w:hAnsi="Times New Roman" w:eastAsia="仿宋" w:cs="Times New Roman"/>
                <w:sz w:val="21"/>
                <w:szCs w:val="21"/>
              </w:rPr>
              <w:t>一根样本针，一根试剂针；样本针及试剂针具有立体防撞、液面感应以及温度自动补偿功能。</w:t>
            </w:r>
          </w:p>
        </w:tc>
      </w:tr>
      <w:tr w14:paraId="02AA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C2DC5F7">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15</w:t>
            </w:r>
          </w:p>
        </w:tc>
        <w:tc>
          <w:tcPr>
            <w:tcW w:w="1701" w:type="dxa"/>
            <w:tcBorders>
              <w:top w:val="single" w:color="auto" w:sz="4" w:space="0"/>
              <w:left w:val="single" w:color="auto" w:sz="4" w:space="0"/>
              <w:bottom w:val="single" w:color="auto" w:sz="4" w:space="0"/>
              <w:right w:val="single" w:color="auto" w:sz="4" w:space="0"/>
            </w:tcBorders>
            <w:vAlign w:val="center"/>
          </w:tcPr>
          <w:p w14:paraId="231045D0">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闭盖穿刺</w:t>
            </w:r>
          </w:p>
        </w:tc>
        <w:tc>
          <w:tcPr>
            <w:tcW w:w="6521" w:type="dxa"/>
            <w:tcBorders>
              <w:top w:val="single" w:color="auto" w:sz="4" w:space="0"/>
              <w:left w:val="single" w:color="auto" w:sz="4" w:space="0"/>
              <w:bottom w:val="single" w:color="auto" w:sz="4" w:space="0"/>
              <w:right w:val="single" w:color="auto" w:sz="4" w:space="0"/>
            </w:tcBorders>
            <w:vAlign w:val="center"/>
          </w:tcPr>
          <w:p w14:paraId="4252EF10">
            <w:pPr>
              <w:pStyle w:val="9"/>
              <w:ind w:firstLine="0" w:firstLineChars="0"/>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样本针具有液位感应和优化的闭盖穿刺功能；适应不同真空采血管。</w:t>
            </w:r>
          </w:p>
        </w:tc>
      </w:tr>
      <w:tr w14:paraId="3378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40D0625">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16</w:t>
            </w:r>
          </w:p>
        </w:tc>
        <w:tc>
          <w:tcPr>
            <w:tcW w:w="1701" w:type="dxa"/>
            <w:tcBorders>
              <w:top w:val="single" w:color="auto" w:sz="4" w:space="0"/>
              <w:left w:val="single" w:color="auto" w:sz="4" w:space="0"/>
              <w:bottom w:val="single" w:color="auto" w:sz="4" w:space="0"/>
              <w:right w:val="single" w:color="auto" w:sz="4" w:space="0"/>
            </w:tcBorders>
            <w:vAlign w:val="center"/>
          </w:tcPr>
          <w:p w14:paraId="12B1A92A">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急诊检测</w:t>
            </w:r>
          </w:p>
        </w:tc>
        <w:tc>
          <w:tcPr>
            <w:tcW w:w="6521" w:type="dxa"/>
            <w:tcBorders>
              <w:top w:val="single" w:color="auto" w:sz="4" w:space="0"/>
              <w:left w:val="single" w:color="auto" w:sz="4" w:space="0"/>
              <w:bottom w:val="single" w:color="auto" w:sz="4" w:space="0"/>
              <w:right w:val="single" w:color="auto" w:sz="4" w:space="0"/>
            </w:tcBorders>
            <w:vAlign w:val="center"/>
          </w:tcPr>
          <w:p w14:paraId="44B37411">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独立急诊专用进样通道，急诊响应时间≤30秒。</w:t>
            </w:r>
          </w:p>
        </w:tc>
      </w:tr>
      <w:tr w14:paraId="618A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489D3A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17</w:t>
            </w:r>
          </w:p>
        </w:tc>
        <w:tc>
          <w:tcPr>
            <w:tcW w:w="1701" w:type="dxa"/>
            <w:tcBorders>
              <w:top w:val="single" w:color="auto" w:sz="4" w:space="0"/>
              <w:left w:val="single" w:color="auto" w:sz="4" w:space="0"/>
              <w:bottom w:val="single" w:color="auto" w:sz="4" w:space="0"/>
              <w:right w:val="single" w:color="auto" w:sz="4" w:space="0"/>
            </w:tcBorders>
            <w:vAlign w:val="center"/>
          </w:tcPr>
          <w:p w14:paraId="26895A7A">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自动复检</w:t>
            </w:r>
          </w:p>
        </w:tc>
        <w:tc>
          <w:tcPr>
            <w:tcW w:w="6521" w:type="dxa"/>
            <w:tcBorders>
              <w:top w:val="single" w:color="auto" w:sz="4" w:space="0"/>
              <w:left w:val="single" w:color="auto" w:sz="4" w:space="0"/>
              <w:bottom w:val="single" w:color="auto" w:sz="4" w:space="0"/>
              <w:right w:val="single" w:color="auto" w:sz="4" w:space="0"/>
            </w:tcBorders>
            <w:vAlign w:val="center"/>
          </w:tcPr>
          <w:p w14:paraId="7E60C59F">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独立自动缓存区，支持自动复检；不额外消耗存储复检样本用反应杯。</w:t>
            </w:r>
          </w:p>
        </w:tc>
      </w:tr>
      <w:tr w14:paraId="382D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2B8274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18</w:t>
            </w:r>
          </w:p>
        </w:tc>
        <w:tc>
          <w:tcPr>
            <w:tcW w:w="1701" w:type="dxa"/>
            <w:tcBorders>
              <w:top w:val="single" w:color="auto" w:sz="4" w:space="0"/>
              <w:left w:val="single" w:color="auto" w:sz="4" w:space="0"/>
              <w:bottom w:val="single" w:color="auto" w:sz="4" w:space="0"/>
              <w:right w:val="single" w:color="auto" w:sz="4" w:space="0"/>
            </w:tcBorders>
            <w:vAlign w:val="center"/>
          </w:tcPr>
          <w:p w14:paraId="3DC7A111">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反应杯</w:t>
            </w:r>
          </w:p>
        </w:tc>
        <w:tc>
          <w:tcPr>
            <w:tcW w:w="6521" w:type="dxa"/>
            <w:tcBorders>
              <w:top w:val="single" w:color="auto" w:sz="4" w:space="0"/>
              <w:left w:val="single" w:color="auto" w:sz="4" w:space="0"/>
              <w:bottom w:val="single" w:color="auto" w:sz="4" w:space="0"/>
              <w:right w:val="single" w:color="auto" w:sz="4" w:space="0"/>
            </w:tcBorders>
            <w:vAlign w:val="center"/>
          </w:tcPr>
          <w:p w14:paraId="2E7ACD96">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500个反应杯容量，倾倒式随时加载。</w:t>
            </w:r>
          </w:p>
        </w:tc>
      </w:tr>
      <w:tr w14:paraId="1250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F3C7249">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19</w:t>
            </w:r>
          </w:p>
        </w:tc>
        <w:tc>
          <w:tcPr>
            <w:tcW w:w="1701" w:type="dxa"/>
            <w:tcBorders>
              <w:top w:val="single" w:color="auto" w:sz="4" w:space="0"/>
              <w:left w:val="single" w:color="auto" w:sz="4" w:space="0"/>
              <w:bottom w:val="single" w:color="auto" w:sz="4" w:space="0"/>
              <w:right w:val="single" w:color="auto" w:sz="4" w:space="0"/>
            </w:tcBorders>
            <w:vAlign w:val="center"/>
          </w:tcPr>
          <w:p w14:paraId="5CF930B0">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LED光源</w:t>
            </w:r>
          </w:p>
        </w:tc>
        <w:tc>
          <w:tcPr>
            <w:tcW w:w="6521" w:type="dxa"/>
            <w:tcBorders>
              <w:top w:val="single" w:color="auto" w:sz="4" w:space="0"/>
              <w:left w:val="single" w:color="auto" w:sz="4" w:space="0"/>
              <w:bottom w:val="single" w:color="auto" w:sz="4" w:space="0"/>
              <w:right w:val="single" w:color="auto" w:sz="4" w:space="0"/>
            </w:tcBorders>
            <w:vAlign w:val="center"/>
          </w:tcPr>
          <w:p w14:paraId="5ECDA56E">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LED持久光源，无需定期更换。</w:t>
            </w:r>
          </w:p>
        </w:tc>
      </w:tr>
      <w:tr w14:paraId="2F87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E2BC776">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20</w:t>
            </w:r>
          </w:p>
        </w:tc>
        <w:tc>
          <w:tcPr>
            <w:tcW w:w="1701" w:type="dxa"/>
            <w:tcBorders>
              <w:top w:val="single" w:color="auto" w:sz="4" w:space="0"/>
              <w:left w:val="single" w:color="auto" w:sz="4" w:space="0"/>
              <w:bottom w:val="single" w:color="auto" w:sz="4" w:space="0"/>
              <w:right w:val="single" w:color="auto" w:sz="4" w:space="0"/>
            </w:tcBorders>
            <w:vAlign w:val="center"/>
          </w:tcPr>
          <w:p w14:paraId="608FD8BA">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预约开关机</w:t>
            </w:r>
          </w:p>
        </w:tc>
        <w:tc>
          <w:tcPr>
            <w:tcW w:w="6521" w:type="dxa"/>
            <w:tcBorders>
              <w:top w:val="single" w:color="auto" w:sz="4" w:space="0"/>
              <w:left w:val="single" w:color="auto" w:sz="4" w:space="0"/>
              <w:bottom w:val="single" w:color="auto" w:sz="4" w:space="0"/>
              <w:right w:val="single" w:color="auto" w:sz="4" w:space="0"/>
            </w:tcBorders>
            <w:vAlign w:val="center"/>
          </w:tcPr>
          <w:p w14:paraId="097A2FC4">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 xml:space="preserve">预设时间，自动完成开机及自检，节省时间，提前进入备测状态。 </w:t>
            </w:r>
          </w:p>
        </w:tc>
      </w:tr>
      <w:tr w14:paraId="655E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D89C3B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21</w:t>
            </w:r>
          </w:p>
        </w:tc>
        <w:tc>
          <w:tcPr>
            <w:tcW w:w="1701" w:type="dxa"/>
            <w:tcBorders>
              <w:top w:val="single" w:color="auto" w:sz="4" w:space="0"/>
              <w:left w:val="single" w:color="auto" w:sz="4" w:space="0"/>
              <w:bottom w:val="single" w:color="auto" w:sz="4" w:space="0"/>
              <w:right w:val="single" w:color="auto" w:sz="4" w:space="0"/>
            </w:tcBorders>
            <w:vAlign w:val="center"/>
          </w:tcPr>
          <w:p w14:paraId="59265630">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APTT纠正试验</w:t>
            </w:r>
          </w:p>
        </w:tc>
        <w:tc>
          <w:tcPr>
            <w:tcW w:w="6521" w:type="dxa"/>
            <w:tcBorders>
              <w:top w:val="single" w:color="auto" w:sz="4" w:space="0"/>
              <w:left w:val="single" w:color="auto" w:sz="4" w:space="0"/>
              <w:bottom w:val="single" w:color="auto" w:sz="4" w:space="0"/>
              <w:right w:val="single" w:color="auto" w:sz="4" w:space="0"/>
            </w:tcBorders>
            <w:vAlign w:val="center"/>
          </w:tcPr>
          <w:p w14:paraId="2EC56274">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支持APTT纠正实验7步检测全自动化，且满足2h在机自动孵育。检测流程及结果报告完全遵循专家共识。</w:t>
            </w:r>
          </w:p>
        </w:tc>
      </w:tr>
      <w:tr w14:paraId="674A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1387BE3">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22</w:t>
            </w:r>
          </w:p>
        </w:tc>
        <w:tc>
          <w:tcPr>
            <w:tcW w:w="1701" w:type="dxa"/>
            <w:tcBorders>
              <w:top w:val="single" w:color="auto" w:sz="4" w:space="0"/>
              <w:left w:val="single" w:color="auto" w:sz="4" w:space="0"/>
              <w:bottom w:val="single" w:color="auto" w:sz="4" w:space="0"/>
              <w:right w:val="single" w:color="auto" w:sz="4" w:space="0"/>
            </w:tcBorders>
            <w:vAlign w:val="center"/>
          </w:tcPr>
          <w:p w14:paraId="6EF5661D">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声光报警</w:t>
            </w:r>
          </w:p>
        </w:tc>
        <w:tc>
          <w:tcPr>
            <w:tcW w:w="6521" w:type="dxa"/>
            <w:tcBorders>
              <w:top w:val="single" w:color="auto" w:sz="4" w:space="0"/>
              <w:left w:val="single" w:color="auto" w:sz="4" w:space="0"/>
              <w:bottom w:val="single" w:color="auto" w:sz="4" w:space="0"/>
              <w:right w:val="single" w:color="auto" w:sz="4" w:space="0"/>
            </w:tcBorders>
            <w:vAlign w:val="center"/>
          </w:tcPr>
          <w:p w14:paraId="575B5EA5">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仪器三色顶灯，可远距离提示仪器状态信息，实现无人值守。</w:t>
            </w:r>
          </w:p>
        </w:tc>
      </w:tr>
      <w:tr w14:paraId="2621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B7DA00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23</w:t>
            </w:r>
          </w:p>
        </w:tc>
        <w:tc>
          <w:tcPr>
            <w:tcW w:w="1701" w:type="dxa"/>
            <w:tcBorders>
              <w:top w:val="single" w:color="auto" w:sz="4" w:space="0"/>
              <w:left w:val="single" w:color="auto" w:sz="4" w:space="0"/>
              <w:bottom w:val="single" w:color="auto" w:sz="4" w:space="0"/>
              <w:right w:val="single" w:color="auto" w:sz="4" w:space="0"/>
            </w:tcBorders>
            <w:vAlign w:val="center"/>
          </w:tcPr>
          <w:p w14:paraId="5D712C72">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废液排放</w:t>
            </w:r>
          </w:p>
        </w:tc>
        <w:tc>
          <w:tcPr>
            <w:tcW w:w="6521" w:type="dxa"/>
            <w:tcBorders>
              <w:top w:val="single" w:color="auto" w:sz="4" w:space="0"/>
              <w:left w:val="single" w:color="auto" w:sz="4" w:space="0"/>
              <w:bottom w:val="single" w:color="auto" w:sz="4" w:space="0"/>
              <w:right w:val="single" w:color="auto" w:sz="4" w:space="0"/>
            </w:tcBorders>
            <w:vAlign w:val="center"/>
          </w:tcPr>
          <w:p w14:paraId="59C2ED93">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支持废液直排。</w:t>
            </w:r>
          </w:p>
        </w:tc>
      </w:tr>
      <w:tr w14:paraId="4723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C941285">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24</w:t>
            </w:r>
          </w:p>
        </w:tc>
        <w:tc>
          <w:tcPr>
            <w:tcW w:w="1701" w:type="dxa"/>
            <w:tcBorders>
              <w:top w:val="single" w:color="auto" w:sz="4" w:space="0"/>
              <w:left w:val="single" w:color="auto" w:sz="4" w:space="0"/>
              <w:bottom w:val="single" w:color="auto" w:sz="4" w:space="0"/>
              <w:right w:val="single" w:color="auto" w:sz="4" w:space="0"/>
            </w:tcBorders>
            <w:vAlign w:val="center"/>
          </w:tcPr>
          <w:p w14:paraId="37975228">
            <w:pPr>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t>质控体系</w:t>
            </w:r>
          </w:p>
        </w:tc>
        <w:tc>
          <w:tcPr>
            <w:tcW w:w="6521" w:type="dxa"/>
            <w:tcBorders>
              <w:top w:val="single" w:color="auto" w:sz="4" w:space="0"/>
              <w:left w:val="single" w:color="auto" w:sz="4" w:space="0"/>
              <w:bottom w:val="single" w:color="auto" w:sz="4" w:space="0"/>
              <w:right w:val="single" w:color="auto" w:sz="4" w:space="0"/>
            </w:tcBorders>
            <w:vAlign w:val="center"/>
          </w:tcPr>
          <w:p w14:paraId="43379A34">
            <w:pPr>
              <w:jc w:val="left"/>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具有L-J 及Westgard 质控功能。</w:t>
            </w:r>
          </w:p>
        </w:tc>
      </w:tr>
    </w:tbl>
    <w:p w14:paraId="3BC7A560">
      <w:pPr>
        <w:rPr>
          <w:rFonts w:hint="eastAsia"/>
        </w:rPr>
        <w:sectPr>
          <w:pgSz w:w="11906" w:h="16838"/>
          <w:pgMar w:top="1440" w:right="1800" w:bottom="1440" w:left="1800" w:header="851" w:footer="992" w:gutter="0"/>
          <w:pgNumType w:fmt="decimal"/>
          <w:cols w:space="720" w:num="1"/>
          <w:docGrid w:type="lines" w:linePitch="312" w:charSpace="0"/>
        </w:sectPr>
      </w:pPr>
    </w:p>
    <w:p w14:paraId="3812CAD3">
      <w:pPr>
        <w:rPr>
          <w:rFonts w:ascii="仿宋_GB2312" w:eastAsia="仿宋_GB2312"/>
          <w:sz w:val="32"/>
          <w:szCs w:val="32"/>
        </w:rPr>
      </w:pPr>
      <w:r>
        <w:rPr>
          <w:rFonts w:hint="eastAsia" w:ascii="仿宋_GB2312" w:eastAsia="仿宋_GB2312"/>
          <w:sz w:val="32"/>
          <w:szCs w:val="32"/>
        </w:rPr>
        <w:t>表2</w:t>
      </w:r>
    </w:p>
    <w:p w14:paraId="04332637">
      <w:pPr>
        <w:jc w:val="center"/>
        <w:rPr>
          <w:rFonts w:hint="eastAsia" w:ascii="华文中宋" w:hAnsi="华文中宋" w:eastAsia="华文中宋"/>
          <w:b/>
          <w:sz w:val="44"/>
          <w:szCs w:val="44"/>
          <w:u w:val="single"/>
        </w:rPr>
      </w:pPr>
      <w:r>
        <w:rPr>
          <w:rFonts w:hint="eastAsia" w:ascii="华文中宋" w:hAnsi="华文中宋" w:eastAsia="华文中宋"/>
          <w:sz w:val="44"/>
          <w:szCs w:val="44"/>
        </w:rPr>
        <w:t>报价一览表（回执）</w:t>
      </w:r>
    </w:p>
    <w:p w14:paraId="1A8F1E53">
      <w:pPr>
        <w:jc w:val="left"/>
        <w:rPr>
          <w:rFonts w:ascii="仿宋_GB2312" w:eastAsia="仿宋_GB2312"/>
          <w:sz w:val="30"/>
          <w:szCs w:val="30"/>
          <w:u w:val="single"/>
        </w:rPr>
      </w:pPr>
      <w:r>
        <w:rPr>
          <w:rFonts w:hint="eastAsia" w:ascii="仿宋_GB2312" w:eastAsia="仿宋_GB2312"/>
          <w:sz w:val="30"/>
          <w:szCs w:val="30"/>
        </w:rPr>
        <w:t>项目名称：</w:t>
      </w:r>
    </w:p>
    <w:p w14:paraId="2CA2E161">
      <w:pPr>
        <w:jc w:val="left"/>
        <w:rPr>
          <w:rFonts w:hint="eastAsia" w:ascii="仿宋_GB2312" w:eastAsia="仿宋_GB2312"/>
          <w:sz w:val="30"/>
          <w:szCs w:val="30"/>
        </w:rPr>
      </w:pPr>
      <w:r>
        <w:rPr>
          <w:rFonts w:hint="eastAsia" w:ascii="仿宋_GB2312" w:eastAsia="仿宋_GB2312"/>
          <w:sz w:val="30"/>
          <w:szCs w:val="30"/>
        </w:rPr>
        <w:t xml:space="preserve">报价单位：           </w:t>
      </w:r>
    </w:p>
    <w:p w14:paraId="39AB6780">
      <w:pPr>
        <w:jc w:val="left"/>
        <w:rPr>
          <w:rFonts w:hint="eastAsia" w:ascii="华文中宋" w:hAnsi="华文中宋" w:eastAsia="华文中宋"/>
          <w:b/>
          <w:sz w:val="30"/>
          <w:szCs w:val="30"/>
          <w:u w:val="single"/>
        </w:rPr>
      </w:pPr>
      <w:r>
        <w:rPr>
          <w:rFonts w:hint="eastAsia" w:ascii="仿宋_GB2312" w:eastAsia="仿宋_GB2312"/>
          <w:sz w:val="30"/>
          <w:szCs w:val="30"/>
        </w:rPr>
        <w:t>报价单位联系方式：</w:t>
      </w:r>
    </w:p>
    <w:tbl>
      <w:tblPr>
        <w:tblStyle w:val="5"/>
        <w:tblpPr w:leftFromText="180" w:rightFromText="180" w:vertAnchor="text" w:horzAnchor="margin" w:tblpXSpec="center" w:tblpY="3"/>
        <w:tblW w:w="91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3"/>
        <w:gridCol w:w="1656"/>
        <w:gridCol w:w="1615"/>
        <w:gridCol w:w="1166"/>
        <w:gridCol w:w="1495"/>
        <w:gridCol w:w="1439"/>
      </w:tblGrid>
      <w:tr w14:paraId="316B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733" w:type="dxa"/>
            <w:vMerge w:val="restart"/>
            <w:noWrap w:val="0"/>
            <w:vAlign w:val="center"/>
          </w:tcPr>
          <w:p w14:paraId="55BBEFC2">
            <w:pPr>
              <w:pStyle w:val="2"/>
              <w:ind w:left="0" w:leftChars="0" w:firstLine="0" w:firstLineChars="0"/>
              <w:jc w:val="center"/>
              <w:rPr>
                <w:rFonts w:hint="eastAsia" w:ascii="楷体_GB2312" w:hAnsi="仿宋" w:eastAsia="楷体_GB2312" w:cs="仿宋"/>
                <w:sz w:val="32"/>
                <w:szCs w:val="32"/>
              </w:rPr>
            </w:pPr>
            <w:r>
              <w:rPr>
                <w:rFonts w:hint="eastAsia" w:ascii="楷体_GB2312" w:hAnsi="仿宋" w:eastAsia="楷体_GB2312" w:cs="仿宋"/>
                <w:sz w:val="32"/>
                <w:szCs w:val="32"/>
              </w:rPr>
              <w:t>货物名称</w:t>
            </w:r>
          </w:p>
        </w:tc>
        <w:tc>
          <w:tcPr>
            <w:tcW w:w="1656" w:type="dxa"/>
            <w:vMerge w:val="restart"/>
            <w:noWrap w:val="0"/>
            <w:vAlign w:val="center"/>
          </w:tcPr>
          <w:p w14:paraId="1F446107">
            <w:pPr>
              <w:pStyle w:val="2"/>
              <w:ind w:left="0" w:leftChars="0" w:firstLine="0" w:firstLineChars="0"/>
              <w:jc w:val="center"/>
              <w:rPr>
                <w:rFonts w:hint="eastAsia" w:ascii="楷体_GB2312" w:hAnsi="仿宋" w:eastAsia="楷体_GB2312" w:cs="仿宋"/>
                <w:sz w:val="32"/>
                <w:szCs w:val="32"/>
              </w:rPr>
            </w:pPr>
            <w:r>
              <w:rPr>
                <w:rFonts w:hint="eastAsia" w:ascii="楷体_GB2312" w:eastAsia="楷体_GB2312"/>
                <w:sz w:val="32"/>
                <w:szCs w:val="32"/>
              </w:rPr>
              <w:t>品牌</w:t>
            </w:r>
          </w:p>
        </w:tc>
        <w:tc>
          <w:tcPr>
            <w:tcW w:w="1615" w:type="dxa"/>
            <w:vMerge w:val="restart"/>
            <w:noWrap w:val="0"/>
            <w:vAlign w:val="center"/>
          </w:tcPr>
          <w:p w14:paraId="48D32A72">
            <w:pPr>
              <w:pStyle w:val="2"/>
              <w:ind w:left="0" w:leftChars="0" w:firstLine="0" w:firstLineChars="0"/>
              <w:jc w:val="center"/>
              <w:rPr>
                <w:rFonts w:hint="eastAsia" w:ascii="楷体_GB2312" w:hAnsi="仿宋" w:eastAsia="楷体_GB2312" w:cs="仿宋"/>
                <w:sz w:val="32"/>
                <w:szCs w:val="32"/>
              </w:rPr>
            </w:pPr>
            <w:r>
              <w:rPr>
                <w:rFonts w:hint="eastAsia" w:ascii="楷体_GB2312" w:eastAsia="楷体_GB2312"/>
                <w:sz w:val="32"/>
                <w:szCs w:val="32"/>
              </w:rPr>
              <w:t>型号规格</w:t>
            </w:r>
          </w:p>
        </w:tc>
        <w:tc>
          <w:tcPr>
            <w:tcW w:w="1166" w:type="dxa"/>
            <w:vMerge w:val="restart"/>
            <w:noWrap w:val="0"/>
            <w:vAlign w:val="center"/>
          </w:tcPr>
          <w:p w14:paraId="5317DC06">
            <w:pPr>
              <w:pStyle w:val="2"/>
              <w:ind w:left="0" w:leftChars="0" w:firstLine="0" w:firstLineChars="0"/>
              <w:jc w:val="center"/>
              <w:rPr>
                <w:rFonts w:hint="eastAsia" w:ascii="楷体_GB2312" w:hAnsi="仿宋" w:eastAsia="楷体_GB2312" w:cs="仿宋"/>
                <w:sz w:val="32"/>
                <w:szCs w:val="32"/>
              </w:rPr>
            </w:pPr>
            <w:r>
              <w:rPr>
                <w:rFonts w:hint="eastAsia" w:ascii="楷体_GB2312" w:hAnsi="仿宋" w:eastAsia="楷体_GB2312" w:cs="仿宋"/>
                <w:sz w:val="32"/>
                <w:szCs w:val="32"/>
              </w:rPr>
              <w:t>数量</w:t>
            </w:r>
          </w:p>
        </w:tc>
        <w:tc>
          <w:tcPr>
            <w:tcW w:w="1495" w:type="dxa"/>
            <w:noWrap w:val="0"/>
            <w:vAlign w:val="center"/>
          </w:tcPr>
          <w:p w14:paraId="5A2506FC">
            <w:pPr>
              <w:pStyle w:val="2"/>
              <w:ind w:left="0" w:leftChars="0" w:firstLine="0" w:firstLineChars="0"/>
              <w:jc w:val="center"/>
              <w:rPr>
                <w:rFonts w:hint="eastAsia" w:ascii="楷体_GB2312" w:hAnsi="仿宋" w:eastAsia="楷体_GB2312" w:cs="仿宋"/>
                <w:sz w:val="32"/>
                <w:szCs w:val="32"/>
              </w:rPr>
            </w:pPr>
            <w:r>
              <w:rPr>
                <w:rFonts w:hint="eastAsia" w:ascii="楷体_GB2312" w:hAnsi="仿宋" w:eastAsia="楷体_GB2312" w:cs="仿宋"/>
                <w:sz w:val="32"/>
                <w:szCs w:val="32"/>
              </w:rPr>
              <w:t>单价</w:t>
            </w:r>
          </w:p>
        </w:tc>
        <w:tc>
          <w:tcPr>
            <w:tcW w:w="1439" w:type="dxa"/>
            <w:noWrap w:val="0"/>
            <w:vAlign w:val="center"/>
          </w:tcPr>
          <w:p w14:paraId="7932CBCF">
            <w:pPr>
              <w:pStyle w:val="2"/>
              <w:ind w:left="0" w:leftChars="0" w:firstLine="0" w:firstLineChars="0"/>
              <w:jc w:val="center"/>
              <w:rPr>
                <w:rFonts w:hint="eastAsia" w:ascii="楷体_GB2312" w:hAnsi="仿宋" w:eastAsia="楷体_GB2312" w:cs="仿宋"/>
                <w:sz w:val="32"/>
                <w:szCs w:val="32"/>
              </w:rPr>
            </w:pPr>
            <w:r>
              <w:rPr>
                <w:rFonts w:hint="eastAsia" w:ascii="楷体_GB2312" w:hAnsi="仿宋" w:eastAsia="楷体_GB2312" w:cs="仿宋"/>
                <w:sz w:val="32"/>
                <w:szCs w:val="32"/>
              </w:rPr>
              <w:t>总计</w:t>
            </w:r>
          </w:p>
        </w:tc>
      </w:tr>
      <w:tr w14:paraId="3353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733" w:type="dxa"/>
            <w:vMerge w:val="continue"/>
            <w:noWrap w:val="0"/>
            <w:vAlign w:val="center"/>
          </w:tcPr>
          <w:p w14:paraId="65F42432">
            <w:pPr>
              <w:pStyle w:val="2"/>
              <w:jc w:val="center"/>
              <w:rPr>
                <w:rFonts w:hint="eastAsia" w:ascii="楷体_GB2312" w:hAnsi="仿宋" w:eastAsia="楷体_GB2312" w:cs="仿宋"/>
                <w:sz w:val="32"/>
                <w:szCs w:val="32"/>
              </w:rPr>
            </w:pPr>
          </w:p>
        </w:tc>
        <w:tc>
          <w:tcPr>
            <w:tcW w:w="1656" w:type="dxa"/>
            <w:vMerge w:val="continue"/>
            <w:noWrap w:val="0"/>
            <w:vAlign w:val="center"/>
          </w:tcPr>
          <w:p w14:paraId="64BAFA2E">
            <w:pPr>
              <w:pStyle w:val="2"/>
              <w:jc w:val="center"/>
              <w:rPr>
                <w:rFonts w:ascii="楷体_GB2312" w:eastAsia="楷体_GB2312"/>
                <w:sz w:val="32"/>
                <w:szCs w:val="32"/>
              </w:rPr>
            </w:pPr>
          </w:p>
        </w:tc>
        <w:tc>
          <w:tcPr>
            <w:tcW w:w="1615" w:type="dxa"/>
            <w:vMerge w:val="continue"/>
            <w:noWrap w:val="0"/>
            <w:vAlign w:val="center"/>
          </w:tcPr>
          <w:p w14:paraId="1F7890BB">
            <w:pPr>
              <w:pStyle w:val="2"/>
              <w:jc w:val="center"/>
              <w:rPr>
                <w:rFonts w:ascii="楷体_GB2312" w:eastAsia="楷体_GB2312"/>
                <w:sz w:val="32"/>
                <w:szCs w:val="32"/>
              </w:rPr>
            </w:pPr>
          </w:p>
        </w:tc>
        <w:tc>
          <w:tcPr>
            <w:tcW w:w="1166" w:type="dxa"/>
            <w:vMerge w:val="continue"/>
            <w:noWrap w:val="0"/>
            <w:vAlign w:val="center"/>
          </w:tcPr>
          <w:p w14:paraId="301AF270">
            <w:pPr>
              <w:pStyle w:val="2"/>
              <w:jc w:val="center"/>
              <w:rPr>
                <w:rFonts w:hint="eastAsia" w:ascii="楷体_GB2312" w:hAnsi="仿宋" w:eastAsia="楷体_GB2312" w:cs="仿宋"/>
                <w:sz w:val="32"/>
                <w:szCs w:val="32"/>
              </w:rPr>
            </w:pPr>
          </w:p>
        </w:tc>
        <w:tc>
          <w:tcPr>
            <w:tcW w:w="2934" w:type="dxa"/>
            <w:gridSpan w:val="2"/>
            <w:noWrap w:val="0"/>
            <w:vAlign w:val="center"/>
          </w:tcPr>
          <w:p w14:paraId="6DE74184">
            <w:pPr>
              <w:pStyle w:val="2"/>
              <w:ind w:left="0" w:leftChars="0" w:firstLine="0" w:firstLineChars="0"/>
              <w:jc w:val="center"/>
              <w:rPr>
                <w:rFonts w:hint="eastAsia" w:ascii="楷体_GB2312" w:hAnsi="仿宋" w:eastAsia="楷体_GB2312" w:cs="仿宋"/>
                <w:sz w:val="32"/>
                <w:szCs w:val="32"/>
              </w:rPr>
            </w:pPr>
            <w:r>
              <w:rPr>
                <w:rFonts w:hint="eastAsia" w:ascii="楷体_GB2312" w:hAnsi="仿宋" w:eastAsia="楷体_GB2312" w:cs="仿宋"/>
                <w:sz w:val="32"/>
                <w:szCs w:val="32"/>
              </w:rPr>
              <w:t>含税（元）</w:t>
            </w:r>
          </w:p>
        </w:tc>
      </w:tr>
      <w:tr w14:paraId="500B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733" w:type="dxa"/>
            <w:noWrap w:val="0"/>
            <w:vAlign w:val="center"/>
          </w:tcPr>
          <w:p w14:paraId="3846F587">
            <w:pPr>
              <w:widowControl/>
              <w:jc w:val="center"/>
              <w:rPr>
                <w:rFonts w:cs="Arial"/>
                <w:sz w:val="28"/>
              </w:rPr>
            </w:pPr>
            <w:r>
              <w:rPr>
                <w:rFonts w:ascii="Times New Roman" w:hAnsi="Times New Roman" w:eastAsia="仿宋" w:cs="Times New Roman"/>
                <w:sz w:val="28"/>
                <w:szCs w:val="32"/>
              </w:rPr>
              <w:t>1.</w:t>
            </w:r>
            <w:r>
              <w:rPr>
                <w:rFonts w:ascii="Times New Roman" w:hAnsi="Times New Roman" w:cs="Times New Roman"/>
                <w:sz w:val="28"/>
              </w:rPr>
              <w:t xml:space="preserve"> XXXXX</w:t>
            </w:r>
          </w:p>
        </w:tc>
        <w:tc>
          <w:tcPr>
            <w:tcW w:w="1656" w:type="dxa"/>
            <w:noWrap w:val="0"/>
            <w:vAlign w:val="top"/>
          </w:tcPr>
          <w:p w14:paraId="2F57031E">
            <w:pPr>
              <w:widowControl/>
              <w:jc w:val="center"/>
              <w:rPr>
                <w:rFonts w:hint="eastAsia" w:ascii="仿宋" w:hAnsi="仿宋" w:eastAsia="仿宋"/>
                <w:sz w:val="28"/>
                <w:szCs w:val="32"/>
              </w:rPr>
            </w:pPr>
          </w:p>
        </w:tc>
        <w:tc>
          <w:tcPr>
            <w:tcW w:w="1615" w:type="dxa"/>
            <w:noWrap w:val="0"/>
            <w:vAlign w:val="center"/>
          </w:tcPr>
          <w:p w14:paraId="66B86355">
            <w:pPr>
              <w:widowControl/>
              <w:jc w:val="center"/>
              <w:textAlignment w:val="center"/>
              <w:rPr>
                <w:rFonts w:hint="eastAsia" w:ascii="仿宋" w:hAnsi="仿宋" w:eastAsia="仿宋" w:cs="仿宋"/>
                <w:sz w:val="28"/>
                <w:szCs w:val="28"/>
              </w:rPr>
            </w:pPr>
          </w:p>
        </w:tc>
        <w:tc>
          <w:tcPr>
            <w:tcW w:w="1166" w:type="dxa"/>
            <w:noWrap w:val="0"/>
            <w:vAlign w:val="center"/>
          </w:tcPr>
          <w:p w14:paraId="40C4B8E6">
            <w:pPr>
              <w:widowControl/>
              <w:jc w:val="both"/>
              <w:textAlignment w:val="center"/>
              <w:rPr>
                <w:rFonts w:hint="eastAsia" w:ascii="仿宋" w:hAnsi="仿宋" w:eastAsia="仿宋" w:cs="仿宋"/>
                <w:sz w:val="28"/>
                <w:szCs w:val="28"/>
                <w:lang w:val="en-US" w:eastAsia="zh-CN"/>
              </w:rPr>
            </w:pPr>
          </w:p>
        </w:tc>
        <w:tc>
          <w:tcPr>
            <w:tcW w:w="1495" w:type="dxa"/>
            <w:noWrap w:val="0"/>
            <w:vAlign w:val="center"/>
          </w:tcPr>
          <w:p w14:paraId="69F23D41">
            <w:pPr>
              <w:widowControl/>
              <w:jc w:val="center"/>
              <w:textAlignment w:val="center"/>
              <w:rPr>
                <w:rFonts w:hint="eastAsia" w:ascii="仿宋" w:hAnsi="仿宋" w:eastAsia="仿宋" w:cs="仿宋"/>
                <w:sz w:val="28"/>
                <w:szCs w:val="28"/>
              </w:rPr>
            </w:pPr>
          </w:p>
        </w:tc>
        <w:tc>
          <w:tcPr>
            <w:tcW w:w="1439" w:type="dxa"/>
            <w:noWrap w:val="0"/>
            <w:vAlign w:val="center"/>
          </w:tcPr>
          <w:p w14:paraId="634282BF">
            <w:pPr>
              <w:widowControl/>
              <w:jc w:val="center"/>
              <w:textAlignment w:val="center"/>
              <w:rPr>
                <w:rFonts w:hint="eastAsia" w:ascii="仿宋" w:hAnsi="仿宋" w:eastAsia="仿宋" w:cs="仿宋"/>
                <w:sz w:val="28"/>
                <w:szCs w:val="28"/>
              </w:rPr>
            </w:pPr>
          </w:p>
        </w:tc>
      </w:tr>
      <w:tr w14:paraId="41E1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33" w:type="dxa"/>
            <w:noWrap w:val="0"/>
            <w:vAlign w:val="center"/>
          </w:tcPr>
          <w:p w14:paraId="1C24E39B">
            <w:pPr>
              <w:widowControl/>
              <w:jc w:val="center"/>
              <w:rPr>
                <w:rFonts w:cs="Arial"/>
                <w:sz w:val="28"/>
              </w:rPr>
            </w:pPr>
            <w:r>
              <w:rPr>
                <w:rFonts w:hint="eastAsia" w:ascii="Times New Roman" w:hAnsi="Times New Roman" w:eastAsia="仿宋" w:cs="Times New Roman"/>
                <w:sz w:val="28"/>
                <w:szCs w:val="32"/>
                <w:lang w:val="en-US" w:eastAsia="zh-CN"/>
              </w:rPr>
              <w:t>2</w:t>
            </w:r>
            <w:r>
              <w:rPr>
                <w:rFonts w:ascii="Times New Roman" w:hAnsi="Times New Roman" w:eastAsia="仿宋" w:cs="Times New Roman"/>
                <w:sz w:val="28"/>
                <w:szCs w:val="32"/>
              </w:rPr>
              <w:t>.</w:t>
            </w:r>
          </w:p>
        </w:tc>
        <w:tc>
          <w:tcPr>
            <w:tcW w:w="1656" w:type="dxa"/>
            <w:noWrap w:val="0"/>
            <w:vAlign w:val="top"/>
          </w:tcPr>
          <w:p w14:paraId="0677EBB8">
            <w:pPr>
              <w:widowControl/>
              <w:jc w:val="center"/>
              <w:rPr>
                <w:rFonts w:hint="eastAsia" w:ascii="仿宋" w:hAnsi="仿宋" w:eastAsia="仿宋"/>
                <w:sz w:val="28"/>
                <w:szCs w:val="32"/>
              </w:rPr>
            </w:pPr>
          </w:p>
        </w:tc>
        <w:tc>
          <w:tcPr>
            <w:tcW w:w="1615" w:type="dxa"/>
            <w:noWrap w:val="0"/>
            <w:vAlign w:val="center"/>
          </w:tcPr>
          <w:p w14:paraId="46E7C0E1">
            <w:pPr>
              <w:widowControl/>
              <w:jc w:val="center"/>
              <w:textAlignment w:val="center"/>
              <w:rPr>
                <w:rFonts w:hint="eastAsia" w:ascii="仿宋" w:hAnsi="仿宋" w:eastAsia="仿宋" w:cs="仿宋"/>
                <w:sz w:val="28"/>
                <w:szCs w:val="28"/>
              </w:rPr>
            </w:pPr>
          </w:p>
        </w:tc>
        <w:tc>
          <w:tcPr>
            <w:tcW w:w="1166" w:type="dxa"/>
            <w:noWrap w:val="0"/>
            <w:vAlign w:val="center"/>
          </w:tcPr>
          <w:p w14:paraId="43AFDADD">
            <w:pPr>
              <w:widowControl/>
              <w:jc w:val="center"/>
              <w:textAlignment w:val="center"/>
              <w:rPr>
                <w:rFonts w:hint="eastAsia" w:ascii="仿宋" w:hAnsi="仿宋" w:eastAsia="仿宋" w:cs="仿宋"/>
                <w:sz w:val="28"/>
                <w:szCs w:val="28"/>
              </w:rPr>
            </w:pPr>
          </w:p>
        </w:tc>
        <w:tc>
          <w:tcPr>
            <w:tcW w:w="1495" w:type="dxa"/>
            <w:noWrap w:val="0"/>
            <w:vAlign w:val="center"/>
          </w:tcPr>
          <w:p w14:paraId="5C90E1EC">
            <w:pPr>
              <w:widowControl/>
              <w:jc w:val="center"/>
              <w:textAlignment w:val="center"/>
              <w:rPr>
                <w:rFonts w:hint="eastAsia" w:ascii="仿宋" w:hAnsi="仿宋" w:eastAsia="仿宋" w:cs="仿宋"/>
                <w:sz w:val="28"/>
                <w:szCs w:val="28"/>
              </w:rPr>
            </w:pPr>
          </w:p>
        </w:tc>
        <w:tc>
          <w:tcPr>
            <w:tcW w:w="1439" w:type="dxa"/>
            <w:noWrap w:val="0"/>
            <w:vAlign w:val="center"/>
          </w:tcPr>
          <w:p w14:paraId="75D60EB6">
            <w:pPr>
              <w:widowControl/>
              <w:jc w:val="center"/>
              <w:textAlignment w:val="center"/>
              <w:rPr>
                <w:rFonts w:hint="eastAsia" w:ascii="仿宋" w:hAnsi="仿宋" w:eastAsia="仿宋" w:cs="仿宋"/>
                <w:sz w:val="28"/>
                <w:szCs w:val="28"/>
              </w:rPr>
            </w:pPr>
          </w:p>
        </w:tc>
      </w:tr>
      <w:tr w14:paraId="5FC7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33" w:type="dxa"/>
            <w:noWrap w:val="0"/>
            <w:vAlign w:val="center"/>
          </w:tcPr>
          <w:p w14:paraId="5041B837">
            <w:pPr>
              <w:widowControl/>
              <w:jc w:val="center"/>
              <w:rPr>
                <w:rFonts w:hint="eastAsia" w:ascii="Times New Roman" w:hAnsi="Times New Roman" w:eastAsia="仿宋" w:cs="Times New Roman"/>
                <w:sz w:val="28"/>
                <w:szCs w:val="32"/>
                <w:lang w:val="en-US" w:eastAsia="zh-CN"/>
              </w:rPr>
            </w:pPr>
          </w:p>
        </w:tc>
        <w:tc>
          <w:tcPr>
            <w:tcW w:w="1656" w:type="dxa"/>
            <w:noWrap w:val="0"/>
            <w:vAlign w:val="top"/>
          </w:tcPr>
          <w:p w14:paraId="0734160B">
            <w:pPr>
              <w:widowControl/>
              <w:jc w:val="center"/>
              <w:rPr>
                <w:rFonts w:hint="eastAsia" w:ascii="仿宋" w:hAnsi="仿宋" w:eastAsia="仿宋"/>
                <w:sz w:val="28"/>
                <w:szCs w:val="32"/>
              </w:rPr>
            </w:pPr>
          </w:p>
        </w:tc>
        <w:tc>
          <w:tcPr>
            <w:tcW w:w="1615" w:type="dxa"/>
            <w:noWrap w:val="0"/>
            <w:vAlign w:val="center"/>
          </w:tcPr>
          <w:p w14:paraId="5442A062">
            <w:pPr>
              <w:widowControl/>
              <w:jc w:val="center"/>
              <w:textAlignment w:val="center"/>
              <w:rPr>
                <w:rFonts w:hint="eastAsia" w:ascii="仿宋" w:hAnsi="仿宋" w:eastAsia="仿宋" w:cs="仿宋"/>
                <w:sz w:val="28"/>
                <w:szCs w:val="28"/>
              </w:rPr>
            </w:pPr>
          </w:p>
        </w:tc>
        <w:tc>
          <w:tcPr>
            <w:tcW w:w="1166" w:type="dxa"/>
            <w:noWrap w:val="0"/>
            <w:vAlign w:val="center"/>
          </w:tcPr>
          <w:p w14:paraId="16C3E7DD">
            <w:pPr>
              <w:widowControl/>
              <w:jc w:val="center"/>
              <w:textAlignment w:val="center"/>
              <w:rPr>
                <w:rFonts w:hint="eastAsia" w:ascii="仿宋" w:hAnsi="仿宋" w:eastAsia="仿宋" w:cs="仿宋"/>
                <w:sz w:val="28"/>
                <w:szCs w:val="28"/>
              </w:rPr>
            </w:pPr>
          </w:p>
        </w:tc>
        <w:tc>
          <w:tcPr>
            <w:tcW w:w="1495" w:type="dxa"/>
            <w:noWrap w:val="0"/>
            <w:vAlign w:val="center"/>
          </w:tcPr>
          <w:p w14:paraId="21D10C64">
            <w:pPr>
              <w:widowControl/>
              <w:jc w:val="center"/>
              <w:textAlignment w:val="center"/>
              <w:rPr>
                <w:rFonts w:hint="eastAsia" w:ascii="仿宋" w:hAnsi="仿宋" w:eastAsia="仿宋" w:cs="仿宋"/>
                <w:sz w:val="28"/>
                <w:szCs w:val="28"/>
              </w:rPr>
            </w:pPr>
          </w:p>
        </w:tc>
        <w:tc>
          <w:tcPr>
            <w:tcW w:w="1439" w:type="dxa"/>
            <w:noWrap w:val="0"/>
            <w:vAlign w:val="center"/>
          </w:tcPr>
          <w:p w14:paraId="10123CFA">
            <w:pPr>
              <w:widowControl/>
              <w:jc w:val="center"/>
              <w:textAlignment w:val="center"/>
              <w:rPr>
                <w:rFonts w:hint="eastAsia" w:ascii="仿宋" w:hAnsi="仿宋" w:eastAsia="仿宋" w:cs="仿宋"/>
                <w:sz w:val="28"/>
                <w:szCs w:val="28"/>
              </w:rPr>
            </w:pPr>
          </w:p>
        </w:tc>
      </w:tr>
      <w:tr w14:paraId="207C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33" w:type="dxa"/>
            <w:noWrap w:val="0"/>
            <w:vAlign w:val="center"/>
          </w:tcPr>
          <w:p w14:paraId="14DDAACD">
            <w:pPr>
              <w:widowControl/>
              <w:jc w:val="center"/>
              <w:rPr>
                <w:rFonts w:hint="eastAsia" w:ascii="Times New Roman" w:hAnsi="Times New Roman" w:eastAsia="仿宋" w:cs="Times New Roman"/>
                <w:sz w:val="28"/>
                <w:szCs w:val="32"/>
                <w:lang w:val="en-US" w:eastAsia="zh-CN"/>
              </w:rPr>
            </w:pPr>
          </w:p>
        </w:tc>
        <w:tc>
          <w:tcPr>
            <w:tcW w:w="1656" w:type="dxa"/>
            <w:noWrap w:val="0"/>
            <w:vAlign w:val="top"/>
          </w:tcPr>
          <w:p w14:paraId="163CC0C8">
            <w:pPr>
              <w:widowControl/>
              <w:jc w:val="center"/>
              <w:rPr>
                <w:rFonts w:hint="eastAsia" w:ascii="仿宋" w:hAnsi="仿宋" w:eastAsia="仿宋"/>
                <w:sz w:val="28"/>
                <w:szCs w:val="32"/>
              </w:rPr>
            </w:pPr>
          </w:p>
        </w:tc>
        <w:tc>
          <w:tcPr>
            <w:tcW w:w="1615" w:type="dxa"/>
            <w:noWrap w:val="0"/>
            <w:vAlign w:val="center"/>
          </w:tcPr>
          <w:p w14:paraId="3EB7E247">
            <w:pPr>
              <w:widowControl/>
              <w:jc w:val="center"/>
              <w:textAlignment w:val="center"/>
              <w:rPr>
                <w:rFonts w:hint="eastAsia" w:ascii="仿宋" w:hAnsi="仿宋" w:eastAsia="仿宋" w:cs="仿宋"/>
                <w:sz w:val="28"/>
                <w:szCs w:val="28"/>
              </w:rPr>
            </w:pPr>
          </w:p>
        </w:tc>
        <w:tc>
          <w:tcPr>
            <w:tcW w:w="1166" w:type="dxa"/>
            <w:noWrap w:val="0"/>
            <w:vAlign w:val="center"/>
          </w:tcPr>
          <w:p w14:paraId="520A58A1">
            <w:pPr>
              <w:widowControl/>
              <w:jc w:val="center"/>
              <w:textAlignment w:val="center"/>
              <w:rPr>
                <w:rFonts w:hint="eastAsia" w:ascii="仿宋" w:hAnsi="仿宋" w:eastAsia="仿宋" w:cs="仿宋"/>
                <w:sz w:val="28"/>
                <w:szCs w:val="28"/>
              </w:rPr>
            </w:pPr>
          </w:p>
        </w:tc>
        <w:tc>
          <w:tcPr>
            <w:tcW w:w="1495" w:type="dxa"/>
            <w:noWrap w:val="0"/>
            <w:vAlign w:val="center"/>
          </w:tcPr>
          <w:p w14:paraId="7B01FC2E">
            <w:pPr>
              <w:widowControl/>
              <w:jc w:val="center"/>
              <w:textAlignment w:val="center"/>
              <w:rPr>
                <w:rFonts w:hint="eastAsia" w:ascii="仿宋" w:hAnsi="仿宋" w:eastAsia="仿宋" w:cs="仿宋"/>
                <w:sz w:val="28"/>
                <w:szCs w:val="28"/>
              </w:rPr>
            </w:pPr>
          </w:p>
        </w:tc>
        <w:tc>
          <w:tcPr>
            <w:tcW w:w="1439" w:type="dxa"/>
            <w:noWrap w:val="0"/>
            <w:vAlign w:val="center"/>
          </w:tcPr>
          <w:p w14:paraId="671F5B20">
            <w:pPr>
              <w:widowControl/>
              <w:jc w:val="center"/>
              <w:textAlignment w:val="center"/>
              <w:rPr>
                <w:rFonts w:hint="eastAsia" w:ascii="仿宋" w:hAnsi="仿宋" w:eastAsia="仿宋" w:cs="仿宋"/>
                <w:sz w:val="28"/>
                <w:szCs w:val="28"/>
              </w:rPr>
            </w:pPr>
          </w:p>
        </w:tc>
      </w:tr>
      <w:tr w14:paraId="43BC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733" w:type="dxa"/>
            <w:noWrap w:val="0"/>
            <w:vAlign w:val="center"/>
          </w:tcPr>
          <w:p w14:paraId="31D4E1A2">
            <w:pPr>
              <w:pStyle w:val="2"/>
              <w:ind w:left="0" w:leftChars="0" w:firstLine="0" w:firstLineChars="0"/>
              <w:jc w:val="center"/>
              <w:rPr>
                <w:rFonts w:hint="eastAsia" w:ascii="仿宋" w:hAnsi="仿宋" w:eastAsia="仿宋"/>
                <w:sz w:val="28"/>
                <w:szCs w:val="32"/>
              </w:rPr>
            </w:pPr>
            <w:r>
              <w:rPr>
                <w:rFonts w:hint="eastAsia" w:ascii="仿宋" w:hAnsi="仿宋" w:eastAsia="仿宋"/>
                <w:sz w:val="28"/>
                <w:szCs w:val="32"/>
              </w:rPr>
              <w:t>……</w:t>
            </w:r>
          </w:p>
        </w:tc>
        <w:tc>
          <w:tcPr>
            <w:tcW w:w="1656" w:type="dxa"/>
            <w:noWrap w:val="0"/>
            <w:vAlign w:val="top"/>
          </w:tcPr>
          <w:p w14:paraId="281DDA3B">
            <w:pPr>
              <w:widowControl/>
              <w:jc w:val="center"/>
              <w:rPr>
                <w:rFonts w:hint="eastAsia" w:ascii="仿宋" w:hAnsi="仿宋" w:eastAsia="仿宋"/>
                <w:sz w:val="28"/>
                <w:szCs w:val="32"/>
              </w:rPr>
            </w:pPr>
          </w:p>
        </w:tc>
        <w:tc>
          <w:tcPr>
            <w:tcW w:w="1615" w:type="dxa"/>
            <w:noWrap w:val="0"/>
            <w:vAlign w:val="center"/>
          </w:tcPr>
          <w:p w14:paraId="0EBD0A26">
            <w:pPr>
              <w:pStyle w:val="2"/>
              <w:jc w:val="center"/>
              <w:rPr>
                <w:rFonts w:hint="eastAsia" w:ascii="仿宋_GB2312" w:hAnsi="仿宋_GB2312" w:eastAsia="仿宋_GB2312" w:cs="宋体"/>
                <w:sz w:val="28"/>
                <w:szCs w:val="28"/>
              </w:rPr>
            </w:pPr>
          </w:p>
        </w:tc>
        <w:tc>
          <w:tcPr>
            <w:tcW w:w="1166" w:type="dxa"/>
            <w:noWrap w:val="0"/>
            <w:vAlign w:val="center"/>
          </w:tcPr>
          <w:p w14:paraId="65EDEA6D">
            <w:pPr>
              <w:pStyle w:val="2"/>
              <w:jc w:val="center"/>
              <w:rPr>
                <w:rFonts w:hint="eastAsia" w:ascii="仿宋_GB2312" w:hAnsi="仿宋_GB2312" w:eastAsia="仿宋_GB2312" w:cs="宋体"/>
                <w:sz w:val="28"/>
                <w:szCs w:val="28"/>
              </w:rPr>
            </w:pPr>
          </w:p>
        </w:tc>
        <w:tc>
          <w:tcPr>
            <w:tcW w:w="1495" w:type="dxa"/>
            <w:noWrap w:val="0"/>
            <w:vAlign w:val="center"/>
          </w:tcPr>
          <w:p w14:paraId="5D273B0B">
            <w:pPr>
              <w:pStyle w:val="2"/>
              <w:jc w:val="center"/>
              <w:rPr>
                <w:rFonts w:hint="eastAsia" w:ascii="仿宋_GB2312" w:hAnsi="仿宋_GB2312" w:eastAsia="仿宋_GB2312" w:cs="宋体"/>
                <w:sz w:val="28"/>
                <w:szCs w:val="28"/>
              </w:rPr>
            </w:pPr>
          </w:p>
        </w:tc>
        <w:tc>
          <w:tcPr>
            <w:tcW w:w="1439" w:type="dxa"/>
            <w:noWrap w:val="0"/>
            <w:vAlign w:val="center"/>
          </w:tcPr>
          <w:p w14:paraId="55144AD5">
            <w:pPr>
              <w:pStyle w:val="2"/>
              <w:jc w:val="center"/>
              <w:rPr>
                <w:rFonts w:hint="eastAsia" w:ascii="仿宋_GB2312" w:hAnsi="仿宋_GB2312" w:eastAsia="仿宋_GB2312" w:cs="宋体"/>
                <w:sz w:val="28"/>
                <w:szCs w:val="28"/>
              </w:rPr>
            </w:pPr>
          </w:p>
        </w:tc>
      </w:tr>
      <w:tr w14:paraId="519D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6170" w:type="dxa"/>
            <w:gridSpan w:val="4"/>
            <w:noWrap w:val="0"/>
            <w:vAlign w:val="center"/>
          </w:tcPr>
          <w:p w14:paraId="35B867FB">
            <w:pPr>
              <w:pStyle w:val="2"/>
              <w:jc w:val="center"/>
              <w:rPr>
                <w:rFonts w:hint="eastAsia" w:ascii="仿宋_GB2312" w:hAnsi="仿宋_GB2312" w:eastAsia="仿宋_GB2312" w:cs="宋体"/>
                <w:sz w:val="28"/>
                <w:szCs w:val="28"/>
              </w:rPr>
            </w:pPr>
            <w:r>
              <w:rPr>
                <w:rFonts w:hint="eastAsia" w:ascii="楷体" w:hAnsi="楷体" w:eastAsia="楷体" w:cs="楷体"/>
                <w:sz w:val="28"/>
                <w:szCs w:val="32"/>
              </w:rPr>
              <w:t>合计</w:t>
            </w:r>
          </w:p>
        </w:tc>
        <w:tc>
          <w:tcPr>
            <w:tcW w:w="2934" w:type="dxa"/>
            <w:gridSpan w:val="2"/>
            <w:noWrap w:val="0"/>
            <w:vAlign w:val="center"/>
          </w:tcPr>
          <w:p w14:paraId="2F206205">
            <w:pPr>
              <w:pStyle w:val="2"/>
              <w:jc w:val="center"/>
              <w:rPr>
                <w:rFonts w:hint="eastAsia" w:ascii="仿宋_GB2312" w:hAnsi="仿宋_GB2312" w:eastAsia="仿宋_GB2312" w:cs="宋体"/>
                <w:sz w:val="28"/>
                <w:szCs w:val="28"/>
              </w:rPr>
            </w:pPr>
          </w:p>
        </w:tc>
      </w:tr>
    </w:tbl>
    <w:p w14:paraId="524312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24"/>
          <w:szCs w:val="24"/>
        </w:rPr>
      </w:pPr>
      <w:r>
        <w:rPr>
          <w:rFonts w:hint="eastAsia" w:ascii="楷体" w:hAnsi="楷体" w:eastAsia="楷体" w:cs="楷体"/>
          <w:sz w:val="24"/>
          <w:szCs w:val="24"/>
        </w:rPr>
        <w:t>其他说明：本项目报价为固定总价报价，包括相应</w:t>
      </w:r>
      <w:r>
        <w:rPr>
          <w:rFonts w:hint="eastAsia" w:ascii="楷体" w:hAnsi="楷体" w:eastAsia="楷体" w:cs="楷体"/>
          <w:sz w:val="24"/>
          <w:szCs w:val="24"/>
          <w:lang w:val="en-US" w:eastAsia="zh-CN"/>
        </w:rPr>
        <w:t>货物及</w:t>
      </w:r>
      <w:r>
        <w:rPr>
          <w:rFonts w:hint="eastAsia" w:ascii="楷体" w:hAnsi="楷体" w:eastAsia="楷体" w:cs="楷体"/>
          <w:sz w:val="24"/>
          <w:szCs w:val="24"/>
        </w:rPr>
        <w:t>服务的提供、人员（包括工资和补贴）、办公场所及设施、保险、劳保、管理、各种税费、利润、税金、政策性文件规定及合同包含的所有风险、责任等各项应有费用，以及为完成该项目所涉及到的一切相关费用。一旦成交，采购人不再支付其他任何费用。</w:t>
      </w:r>
    </w:p>
    <w:p w14:paraId="3F0BD5D3">
      <w:pPr>
        <w:rPr>
          <w:rFonts w:hint="eastAsia" w:ascii="黑体" w:hAnsi="黑体" w:eastAsia="黑体" w:cs="黑体"/>
          <w:sz w:val="30"/>
          <w:szCs w:val="30"/>
        </w:rPr>
      </w:pPr>
    </w:p>
    <w:p w14:paraId="1CAC9861">
      <w:pPr>
        <w:rPr>
          <w:rFonts w:hint="eastAsia" w:ascii="仿宋_GB2312" w:eastAsia="仿宋_GB2312"/>
          <w:sz w:val="32"/>
          <w:szCs w:val="32"/>
        </w:rPr>
      </w:pPr>
      <w:r>
        <w:rPr>
          <w:rFonts w:hint="eastAsia" w:ascii="黑体" w:hAnsi="黑体" w:eastAsia="黑体" w:cs="黑体"/>
          <w:sz w:val="30"/>
          <w:szCs w:val="30"/>
        </w:rPr>
        <w:t>法定代表人（或授权委托人）</w:t>
      </w:r>
      <w:r>
        <w:rPr>
          <w:rFonts w:hint="eastAsia" w:ascii="黑体" w:hAnsi="黑体" w:eastAsia="黑体" w:cs="黑体"/>
          <w:sz w:val="30"/>
          <w:szCs w:val="30"/>
          <w:lang w:val="en-US" w:eastAsia="zh-CN"/>
        </w:rPr>
        <w:t>签字：</w:t>
      </w:r>
    </w:p>
    <w:p w14:paraId="350E58E6">
      <w:pPr>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日期：</w:t>
      </w:r>
    </w:p>
    <w:p w14:paraId="455128CD">
      <w:pPr>
        <w:rPr>
          <w:rFonts w:ascii="仿宋_GB2312" w:eastAsia="仿宋_GB2312"/>
          <w:sz w:val="32"/>
          <w:szCs w:val="32"/>
        </w:rPr>
      </w:pPr>
      <w:r>
        <w:rPr>
          <w:rFonts w:hint="eastAsia" w:ascii="仿宋_GB2312" w:eastAsia="仿宋_GB2312"/>
          <w:sz w:val="32"/>
          <w:szCs w:val="32"/>
        </w:rPr>
        <w:t>表3</w:t>
      </w:r>
    </w:p>
    <w:p w14:paraId="688E92CA">
      <w:pPr>
        <w:jc w:val="center"/>
        <w:rPr>
          <w:rFonts w:ascii="华文中宋" w:hAnsi="华文中宋" w:eastAsia="华文中宋"/>
          <w:sz w:val="44"/>
          <w:szCs w:val="44"/>
        </w:rPr>
      </w:pPr>
      <w:r>
        <w:rPr>
          <w:rFonts w:hint="eastAsia" w:ascii="华文中宋" w:hAnsi="华文中宋" w:eastAsia="华文中宋"/>
          <w:sz w:val="44"/>
          <w:szCs w:val="44"/>
        </w:rPr>
        <w:t>报价单位资质</w:t>
      </w:r>
      <w:r>
        <w:rPr>
          <w:rFonts w:hint="eastAsia" w:ascii="华文中宋" w:hAnsi="华文中宋" w:eastAsia="华文中宋"/>
          <w:sz w:val="44"/>
          <w:szCs w:val="44"/>
          <w:lang w:val="en-US" w:eastAsia="zh-CN"/>
        </w:rPr>
        <w:t>及</w:t>
      </w:r>
      <w:r>
        <w:rPr>
          <w:rFonts w:hint="eastAsia" w:ascii="华文中宋" w:hAnsi="华文中宋" w:eastAsia="华文中宋"/>
          <w:sz w:val="44"/>
          <w:szCs w:val="44"/>
        </w:rPr>
        <w:t>证明材料（回执）</w:t>
      </w:r>
    </w:p>
    <w:p w14:paraId="31FA17D2">
      <w:pPr>
        <w:numPr>
          <w:ilvl w:val="0"/>
          <w:numId w:val="0"/>
        </w:numPr>
        <w:jc w:val="left"/>
        <w:rPr>
          <w:rFonts w:hint="eastAsia" w:ascii="仿宋_GB2312" w:eastAsia="仿宋_GB2312"/>
          <w:sz w:val="32"/>
          <w:szCs w:val="32"/>
          <w:lang w:val="en-US" w:eastAsia="zh-CN"/>
        </w:rPr>
      </w:pPr>
    </w:p>
    <w:p w14:paraId="73F5E7DC">
      <w:pPr>
        <w:numPr>
          <w:ilvl w:val="0"/>
          <w:numId w:val="1"/>
        </w:numPr>
        <w:spacing w:line="720" w:lineRule="auto"/>
        <w:jc w:val="left"/>
        <w:rPr>
          <w:rFonts w:hint="eastAsia" w:ascii="方正仿宋_GB2312" w:hAnsi="方正仿宋_GB2312" w:eastAsia="方正仿宋_GB2312" w:cs="Times New Roman"/>
          <w:sz w:val="32"/>
          <w:szCs w:val="32"/>
          <w:lang w:val="en-US" w:eastAsia="zh-CN"/>
        </w:rPr>
      </w:pPr>
      <w:r>
        <w:rPr>
          <w:rFonts w:hint="eastAsia" w:ascii="方正仿宋_GB2312" w:hAnsi="方正仿宋_GB2312" w:eastAsia="方正仿宋_GB2312" w:cs="Times New Roman"/>
          <w:sz w:val="32"/>
          <w:szCs w:val="32"/>
        </w:rPr>
        <w:t>营业执照</w:t>
      </w:r>
      <w:r>
        <w:rPr>
          <w:rFonts w:hint="eastAsia" w:ascii="方正仿宋_GB2312" w:hAnsi="方正仿宋_GB2312" w:eastAsia="方正仿宋_GB2312" w:cs="Times New Roman"/>
          <w:sz w:val="32"/>
          <w:szCs w:val="32"/>
          <w:lang w:val="en-US" w:eastAsia="zh-CN"/>
        </w:rPr>
        <w:t>及相应资质证明材料；</w:t>
      </w:r>
    </w:p>
    <w:p w14:paraId="72A3344E">
      <w:pPr>
        <w:numPr>
          <w:ilvl w:val="0"/>
          <w:numId w:val="1"/>
        </w:numPr>
        <w:spacing w:line="720" w:lineRule="auto"/>
        <w:jc w:val="left"/>
        <w:rPr>
          <w:rFonts w:hint="eastAsia" w:ascii="方正仿宋_GB2312" w:hAnsi="方正仿宋_GB2312" w:eastAsia="方正仿宋_GB2312" w:cs="Times New Roman"/>
          <w:sz w:val="32"/>
          <w:szCs w:val="32"/>
          <w:lang w:val="en-US" w:eastAsia="zh-CN"/>
        </w:rPr>
      </w:pPr>
      <w:r>
        <w:rPr>
          <w:rFonts w:hint="eastAsia" w:ascii="方正仿宋_GB2312" w:hAnsi="方正仿宋_GB2312" w:eastAsia="方正仿宋_GB2312" w:cs="Times New Roman"/>
          <w:sz w:val="32"/>
          <w:szCs w:val="32"/>
          <w:lang w:val="en-US" w:eastAsia="zh-CN"/>
        </w:rPr>
        <w:t>法定代表人（或授权委托人）身份证正反面复印件；</w:t>
      </w:r>
    </w:p>
    <w:p w14:paraId="3F33A337">
      <w:pPr>
        <w:numPr>
          <w:ilvl w:val="0"/>
          <w:numId w:val="1"/>
        </w:numPr>
        <w:spacing w:line="720" w:lineRule="auto"/>
        <w:jc w:val="left"/>
        <w:rPr>
          <w:rFonts w:hint="eastAsia" w:ascii="方正仿宋_GB2312" w:hAnsi="方正仿宋_GB2312" w:eastAsia="方正仿宋_GB2312" w:cs="Times New Roman"/>
          <w:sz w:val="32"/>
          <w:szCs w:val="32"/>
          <w:lang w:val="en-US" w:eastAsia="zh-CN"/>
        </w:rPr>
      </w:pPr>
      <w:r>
        <w:rPr>
          <w:rFonts w:hint="eastAsia" w:ascii="方正仿宋_GB2312" w:hAnsi="方正仿宋_GB2312" w:eastAsia="方正仿宋_GB2312" w:cs="Times New Roman"/>
          <w:sz w:val="32"/>
          <w:szCs w:val="32"/>
        </w:rPr>
        <w:t>提供同类</w:t>
      </w:r>
      <w:r>
        <w:rPr>
          <w:rFonts w:hint="eastAsia" w:ascii="方正仿宋_GB2312" w:hAnsi="方正仿宋_GB2312" w:eastAsia="方正仿宋_GB2312" w:cs="Times New Roman"/>
          <w:sz w:val="32"/>
          <w:szCs w:val="32"/>
          <w:lang w:val="en-US" w:eastAsia="zh-CN"/>
        </w:rPr>
        <w:t>合同</w:t>
      </w:r>
      <w:r>
        <w:rPr>
          <w:rFonts w:hint="eastAsia" w:ascii="方正仿宋_GB2312" w:hAnsi="方正仿宋_GB2312" w:eastAsia="方正仿宋_GB2312" w:cs="Times New Roman"/>
          <w:sz w:val="32"/>
          <w:szCs w:val="32"/>
        </w:rPr>
        <w:t>业绩的证明材料</w:t>
      </w:r>
      <w:r>
        <w:rPr>
          <w:rFonts w:hint="eastAsia" w:ascii="方正仿宋_GB2312" w:hAnsi="方正仿宋_GB2312" w:eastAsia="方正仿宋_GB2312" w:cs="Times New Roman"/>
          <w:sz w:val="32"/>
          <w:szCs w:val="32"/>
          <w:lang w:eastAsia="zh-CN"/>
        </w:rPr>
        <w:t>（</w:t>
      </w:r>
      <w:r>
        <w:rPr>
          <w:rFonts w:hint="eastAsia" w:ascii="方正仿宋_GB2312" w:hAnsi="方正仿宋_GB2312" w:eastAsia="方正仿宋_GB2312" w:cs="Times New Roman"/>
          <w:sz w:val="32"/>
          <w:szCs w:val="32"/>
          <w:lang w:val="en-US" w:eastAsia="zh-CN"/>
        </w:rPr>
        <w:t>如有</w:t>
      </w:r>
      <w:r>
        <w:rPr>
          <w:rFonts w:hint="eastAsia" w:ascii="方正仿宋_GB2312" w:hAnsi="方正仿宋_GB2312" w:eastAsia="方正仿宋_GB2312" w:cs="Times New Roman"/>
          <w:sz w:val="32"/>
          <w:szCs w:val="32"/>
          <w:lang w:eastAsia="zh-CN"/>
        </w:rPr>
        <w:t>）</w:t>
      </w:r>
      <w:r>
        <w:rPr>
          <w:rFonts w:hint="eastAsia" w:ascii="方正仿宋_GB2312" w:hAnsi="方正仿宋_GB2312" w:eastAsia="方正仿宋_GB2312" w:cs="Times New Roman"/>
          <w:sz w:val="32"/>
          <w:szCs w:val="32"/>
          <w:lang w:val="en-US" w:eastAsia="zh-CN"/>
        </w:rPr>
        <w:t>；</w:t>
      </w:r>
    </w:p>
    <w:p w14:paraId="4F193AFE">
      <w:pPr>
        <w:numPr>
          <w:ilvl w:val="0"/>
          <w:numId w:val="1"/>
        </w:numPr>
        <w:spacing w:line="720" w:lineRule="auto"/>
        <w:jc w:val="left"/>
        <w:rPr>
          <w:rFonts w:hint="eastAsia" w:ascii="方正仿宋_GB2312" w:hAnsi="方正仿宋_GB2312" w:eastAsia="方正仿宋_GB2312" w:cs="Times New Roman"/>
          <w:sz w:val="32"/>
          <w:szCs w:val="32"/>
          <w:lang w:val="en-US" w:eastAsia="zh-CN"/>
        </w:rPr>
      </w:pPr>
      <w:r>
        <w:rPr>
          <w:rFonts w:hint="eastAsia" w:ascii="方正仿宋_GB2312" w:hAnsi="方正仿宋_GB2312" w:eastAsia="方正仿宋_GB2312" w:cs="Times New Roman"/>
          <w:sz w:val="32"/>
          <w:szCs w:val="32"/>
          <w:lang w:val="en-US" w:eastAsia="zh-CN"/>
        </w:rPr>
        <w:t>证明技术参数满足要求的相关材料；</w:t>
      </w:r>
    </w:p>
    <w:p w14:paraId="028FE965">
      <w:pPr>
        <w:numPr>
          <w:ilvl w:val="0"/>
          <w:numId w:val="1"/>
        </w:numPr>
        <w:spacing w:line="720" w:lineRule="auto"/>
        <w:jc w:val="left"/>
        <w:rPr>
          <w:rFonts w:hint="eastAsia" w:ascii="方正仿宋_GB2312" w:hAnsi="方正仿宋_GB2312" w:eastAsia="方正仿宋_GB2312" w:cs="Times New Roman"/>
          <w:sz w:val="32"/>
          <w:szCs w:val="32"/>
          <w:lang w:val="en-US" w:eastAsia="zh-CN"/>
        </w:rPr>
      </w:pPr>
      <w:r>
        <w:rPr>
          <w:rFonts w:hint="eastAsia" w:ascii="方正仿宋_GB2312" w:hAnsi="方正仿宋_GB2312" w:eastAsia="方正仿宋_GB2312" w:cs="Times New Roman"/>
          <w:sz w:val="32"/>
          <w:szCs w:val="32"/>
          <w:lang w:val="en-US" w:eastAsia="zh-CN"/>
        </w:rPr>
        <w:t>履约能力和综合实力的其他证明材料。</w:t>
      </w:r>
    </w:p>
    <w:p w14:paraId="05B3DDE2">
      <w:pPr>
        <w:jc w:val="left"/>
        <w:rPr>
          <w:rFonts w:ascii="仿宋_GB2312" w:eastAsia="仿宋_GB2312"/>
          <w:sz w:val="32"/>
          <w:szCs w:val="32"/>
        </w:rPr>
      </w:pPr>
    </w:p>
    <w:p w14:paraId="11369D7B">
      <w:pPr>
        <w:jc w:val="left"/>
        <w:rPr>
          <w:rFonts w:ascii="仿宋_GB2312" w:eastAsia="仿宋_GB2312"/>
          <w:sz w:val="32"/>
          <w:szCs w:val="32"/>
        </w:rPr>
      </w:pPr>
    </w:p>
    <w:p w14:paraId="7437CCED">
      <w:pPr>
        <w:jc w:val="left"/>
        <w:rPr>
          <w:rFonts w:ascii="仿宋" w:hAnsi="仿宋" w:eastAsia="仿宋"/>
          <w:b/>
          <w:bCs/>
          <w:i/>
          <w:iCs/>
          <w:sz w:val="32"/>
          <w:szCs w:val="32"/>
        </w:rPr>
      </w:pPr>
      <w:r>
        <w:rPr>
          <w:rFonts w:hint="eastAsia" w:ascii="仿宋_GB2312" w:eastAsia="仿宋_GB2312"/>
          <w:b/>
          <w:bCs/>
          <w:i/>
          <w:iCs/>
          <w:sz w:val="32"/>
          <w:szCs w:val="32"/>
        </w:rPr>
        <w:t>注：</w:t>
      </w:r>
      <w:r>
        <w:rPr>
          <w:rFonts w:hint="eastAsia" w:ascii="仿宋" w:hAnsi="仿宋" w:eastAsia="仿宋" w:cs="微软雅黑"/>
          <w:b/>
          <w:bCs/>
          <w:i/>
          <w:iCs/>
          <w:sz w:val="32"/>
          <w:szCs w:val="32"/>
        </w:rPr>
        <w:t>所提供的</w:t>
      </w:r>
      <w:r>
        <w:rPr>
          <w:rFonts w:hint="eastAsia" w:ascii="仿宋" w:hAnsi="仿宋" w:eastAsia="仿宋" w:cs="微软雅黑"/>
          <w:b/>
          <w:bCs/>
          <w:i/>
          <w:iCs/>
          <w:sz w:val="32"/>
          <w:szCs w:val="32"/>
          <w:lang w:val="en-US" w:eastAsia="zh-CN"/>
        </w:rPr>
        <w:t>资质文件和</w:t>
      </w:r>
      <w:r>
        <w:rPr>
          <w:rFonts w:hint="eastAsia" w:ascii="仿宋" w:hAnsi="仿宋" w:eastAsia="仿宋" w:cs="微软雅黑"/>
          <w:b/>
          <w:bCs/>
          <w:i/>
          <w:iCs/>
          <w:sz w:val="32"/>
          <w:szCs w:val="32"/>
        </w:rPr>
        <w:t>证明材料须</w:t>
      </w:r>
      <w:r>
        <w:rPr>
          <w:rFonts w:hint="eastAsia" w:ascii="仿宋_GB2312" w:eastAsia="仿宋_GB2312"/>
          <w:b/>
          <w:bCs/>
          <w:i/>
          <w:iCs/>
          <w:sz w:val="32"/>
          <w:szCs w:val="32"/>
        </w:rPr>
        <w:t>加盖报价单位公章，</w:t>
      </w:r>
      <w:r>
        <w:rPr>
          <w:rFonts w:hint="eastAsia" w:ascii="仿宋" w:hAnsi="仿宋" w:eastAsia="仿宋" w:cs="微软雅黑"/>
          <w:b/>
          <w:bCs/>
          <w:i/>
          <w:iCs/>
          <w:sz w:val="32"/>
          <w:szCs w:val="32"/>
        </w:rPr>
        <w:t>未加盖公章的为无效报价</w:t>
      </w:r>
      <w:r>
        <w:rPr>
          <w:rFonts w:hint="eastAsia" w:ascii="仿宋" w:hAnsi="仿宋" w:eastAsia="仿宋" w:cs="微软雅黑"/>
          <w:b/>
          <w:bCs/>
          <w:i/>
          <w:iCs/>
          <w:sz w:val="32"/>
          <w:szCs w:val="32"/>
          <w:lang w:val="en-US" w:eastAsia="zh-CN"/>
        </w:rPr>
        <w:t>材料</w:t>
      </w:r>
      <w:r>
        <w:rPr>
          <w:rFonts w:hint="eastAsia" w:ascii="仿宋" w:hAnsi="仿宋" w:eastAsia="仿宋" w:cs="微软雅黑"/>
          <w:b/>
          <w:bCs/>
          <w:i/>
          <w:iCs/>
          <w:sz w:val="32"/>
          <w:szCs w:val="32"/>
        </w:rPr>
        <w:t>。</w:t>
      </w:r>
    </w:p>
    <w:p w14:paraId="69122113">
      <w:pPr>
        <w:jc w:val="left"/>
        <w:rPr>
          <w:rFonts w:ascii="仿宋_GB2312" w:eastAsia="仿宋_GB2312"/>
          <w:sz w:val="32"/>
          <w:szCs w:val="32"/>
        </w:rPr>
      </w:pPr>
    </w:p>
    <w:p w14:paraId="2C3183B0">
      <w:pPr>
        <w:jc w:val="left"/>
        <w:rPr>
          <w:rFonts w:hint="eastAsia" w:ascii="仿宋_GB2312" w:eastAsia="仿宋_GB2312"/>
          <w:sz w:val="32"/>
          <w:szCs w:val="32"/>
        </w:rPr>
      </w:pPr>
    </w:p>
    <w:p w14:paraId="596673C5">
      <w:pPr>
        <w:jc w:val="left"/>
        <w:rPr>
          <w:rFonts w:hint="eastAsia" w:ascii="仿宋_GB2312" w:eastAsia="仿宋_GB2312"/>
          <w:sz w:val="32"/>
          <w:szCs w:val="32"/>
        </w:rPr>
      </w:pPr>
    </w:p>
    <w:p w14:paraId="36760AA9">
      <w:pPr>
        <w:jc w:val="left"/>
        <w:rPr>
          <w:rFonts w:hint="eastAsia" w:ascii="仿宋_GB2312" w:eastAsia="仿宋_GB2312"/>
          <w:sz w:val="32"/>
          <w:szCs w:val="32"/>
        </w:rPr>
      </w:pPr>
    </w:p>
    <w:p w14:paraId="14720F81">
      <w:pPr>
        <w:jc w:val="left"/>
        <w:rPr>
          <w:rFonts w:hint="eastAsia" w:ascii="仿宋_GB2312" w:eastAsia="仿宋_GB2312"/>
          <w:sz w:val="32"/>
          <w:szCs w:val="32"/>
        </w:rPr>
      </w:pPr>
    </w:p>
    <w:p w14:paraId="14D3D0D6">
      <w:pPr>
        <w:jc w:val="left"/>
        <w:rPr>
          <w:rFonts w:hint="eastAsia" w:ascii="仿宋_GB2312" w:eastAsia="仿宋_GB2312"/>
          <w:sz w:val="32"/>
          <w:szCs w:val="32"/>
        </w:rPr>
      </w:pPr>
    </w:p>
    <w:p w14:paraId="40403BED"/>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E4A3703-0912-4A2C-837D-FC6723CBC03D}"/>
  </w:font>
  <w:font w:name="黑体">
    <w:panose1 w:val="02010609060101010101"/>
    <w:charset w:val="86"/>
    <w:family w:val="auto"/>
    <w:pitch w:val="default"/>
    <w:sig w:usb0="800002BF" w:usb1="38CF7CFA" w:usb2="00000016" w:usb3="00000000" w:csb0="00040001" w:csb1="00000000"/>
    <w:embedRegular r:id="rId2" w:fontKey="{D2404EDB-DF65-4D96-B319-BCDEAA635A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WZT-EN">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3" w:fontKey="{04F8BF1D-5A24-4DCA-9049-2751DFC5E698}"/>
  </w:font>
  <w:font w:name="华文中宋">
    <w:panose1 w:val="02010600040101010101"/>
    <w:charset w:val="86"/>
    <w:family w:val="auto"/>
    <w:pitch w:val="default"/>
    <w:sig w:usb0="00000287" w:usb1="080F0000" w:usb2="00000000" w:usb3="00000000" w:csb0="0004009F" w:csb1="DFD70000"/>
    <w:embedRegular r:id="rId4" w:fontKey="{A2413029-4F00-4190-B3AA-AD54A3873055}"/>
  </w:font>
  <w:font w:name="方正公文小标宋">
    <w:panose1 w:val="02000500000000000000"/>
    <w:charset w:val="86"/>
    <w:family w:val="auto"/>
    <w:pitch w:val="default"/>
    <w:sig w:usb0="A00002BF" w:usb1="38CF7CFA" w:usb2="00000016" w:usb3="00000000" w:csb0="00040001" w:csb1="00000000"/>
    <w:embedRegular r:id="rId5" w:fontKey="{92C01465-40A7-435B-8EED-03B3134A5BFD}"/>
  </w:font>
  <w:font w:name="仿宋_GB2312">
    <w:altName w:val="仿宋"/>
    <w:panose1 w:val="02010609030101010101"/>
    <w:charset w:val="86"/>
    <w:family w:val="modern"/>
    <w:pitch w:val="default"/>
    <w:sig w:usb0="00000000" w:usb1="00000000" w:usb2="00000000" w:usb3="00000000" w:csb0="00040000" w:csb1="00000000"/>
    <w:embedRegular r:id="rId6" w:fontKey="{BADB25CA-11E0-4126-A661-A15B1D11E50F}"/>
  </w:font>
  <w:font w:name="楷体">
    <w:panose1 w:val="02010609060101010101"/>
    <w:charset w:val="86"/>
    <w:family w:val="auto"/>
    <w:pitch w:val="default"/>
    <w:sig w:usb0="800002BF" w:usb1="38CF7CFA" w:usb2="00000016" w:usb3="00000000" w:csb0="00040001" w:csb1="00000000"/>
    <w:embedRegular r:id="rId7" w:fontKey="{26A67BA6-4346-4BCB-8F92-8A8097DAAA1D}"/>
  </w:font>
  <w:font w:name="Wingdings 2">
    <w:panose1 w:val="05020102010507070707"/>
    <w:charset w:val="02"/>
    <w:family w:val="auto"/>
    <w:pitch w:val="default"/>
    <w:sig w:usb0="00000000" w:usb1="00000000" w:usb2="00000000" w:usb3="00000000" w:csb0="80000000" w:csb1="00000000"/>
    <w:embedRegular r:id="rId8" w:fontKey="{519C58B0-075E-4D43-86AC-7E02D73D14C6}"/>
  </w:font>
  <w:font w:name="楷体_GB2312">
    <w:altName w:val="楷体"/>
    <w:panose1 w:val="02010609030101010101"/>
    <w:charset w:val="86"/>
    <w:family w:val="modern"/>
    <w:pitch w:val="default"/>
    <w:sig w:usb0="00000000" w:usb1="00000000" w:usb2="00000010" w:usb3="00000000" w:csb0="00040000" w:csb1="00000000"/>
    <w:embedRegular r:id="rId9" w:fontKey="{0A132644-D8B4-4136-97F3-33EC3A82F016}"/>
  </w:font>
  <w:font w:name="方正仿宋_GB2312">
    <w:panose1 w:val="02000000000000000000"/>
    <w:charset w:val="86"/>
    <w:family w:val="auto"/>
    <w:pitch w:val="default"/>
    <w:sig w:usb0="A00002BF" w:usb1="184F6CFA" w:usb2="00000012" w:usb3="00000000" w:csb0="00040001" w:csb1="00000000"/>
    <w:embedRegular r:id="rId10" w:fontKey="{24F029DB-0323-4B34-B675-D3C19063685A}"/>
  </w:font>
  <w:font w:name="微软雅黑">
    <w:panose1 w:val="020B0503020204020204"/>
    <w:charset w:val="86"/>
    <w:family w:val="swiss"/>
    <w:pitch w:val="default"/>
    <w:sig w:usb0="80000287" w:usb1="2ACF3C50" w:usb2="00000016" w:usb3="00000000" w:csb0="0004001F" w:csb1="00000000"/>
    <w:embedRegular r:id="rId11" w:fontKey="{20B13A57-A344-4950-8BA7-E8D87A879DBB}"/>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75B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3BF6C">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F3BF6C">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F60896"/>
    <w:multiLevelType w:val="singleLevel"/>
    <w:tmpl w:val="AEF60896"/>
    <w:lvl w:ilvl="0" w:tentative="0">
      <w:start w:val="1"/>
      <w:numFmt w:val="decimal"/>
      <w:lvlText w:val="%1."/>
      <w:lvlJc w:val="left"/>
      <w:pPr>
        <w:tabs>
          <w:tab w:val="left" w:pos="312"/>
        </w:tabs>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12AB5"/>
    <w:rsid w:val="01616B14"/>
    <w:rsid w:val="0C6841EA"/>
    <w:rsid w:val="10DA05E5"/>
    <w:rsid w:val="1E536607"/>
    <w:rsid w:val="20A565D1"/>
    <w:rsid w:val="21C6306A"/>
    <w:rsid w:val="26C531E2"/>
    <w:rsid w:val="28BC3D0D"/>
    <w:rsid w:val="2D241E80"/>
    <w:rsid w:val="35F85CB3"/>
    <w:rsid w:val="37C40069"/>
    <w:rsid w:val="37E666B0"/>
    <w:rsid w:val="3A1E0C85"/>
    <w:rsid w:val="3C212AB5"/>
    <w:rsid w:val="3CFA586A"/>
    <w:rsid w:val="3D6C19FF"/>
    <w:rsid w:val="48BF0F83"/>
    <w:rsid w:val="4E465CA3"/>
    <w:rsid w:val="519D3E2C"/>
    <w:rsid w:val="52BD52DE"/>
    <w:rsid w:val="53263021"/>
    <w:rsid w:val="55004201"/>
    <w:rsid w:val="56ED3A4D"/>
    <w:rsid w:val="56F37294"/>
    <w:rsid w:val="5A743876"/>
    <w:rsid w:val="5ABE7C65"/>
    <w:rsid w:val="5F6E6E08"/>
    <w:rsid w:val="6005151A"/>
    <w:rsid w:val="62326A29"/>
    <w:rsid w:val="63AD1092"/>
    <w:rsid w:val="679D776C"/>
    <w:rsid w:val="67E4410B"/>
    <w:rsid w:val="6A140E1B"/>
    <w:rsid w:val="6B9D6AAA"/>
    <w:rsid w:val="6DF826BE"/>
    <w:rsid w:val="6FFB525A"/>
    <w:rsid w:val="74826AA5"/>
    <w:rsid w:val="781520BE"/>
    <w:rsid w:val="78A55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widowControl w:val="0"/>
      <w:overflowPunct w:val="0"/>
      <w:topLinePunct/>
      <w:autoSpaceDN/>
      <w:spacing w:afterLines="0" w:afterAutospacing="0"/>
      <w:ind w:firstLine="632" w:firstLineChars="200"/>
      <w:jc w:val="both"/>
    </w:pPr>
    <w:rPr>
      <w:rFonts w:ascii="GWZT-EN" w:hAnsi="Times New Roman" w:eastAsia="仿宋" w:cs="Times New Roman"/>
      <w:spacing w:val="-6"/>
      <w:kern w:val="2"/>
      <w:sz w:val="32"/>
      <w:szCs w:val="32"/>
      <w:lang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段"/>
    <w:next w:val="1"/>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paragraph" w:customStyle="1" w:styleId="9">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221</Words>
  <Characters>228</Characters>
  <Lines>0</Lines>
  <Paragraphs>0</Paragraphs>
  <TotalTime>5</TotalTime>
  <ScaleCrop>false</ScaleCrop>
  <LinksUpToDate>false</LinksUpToDate>
  <CharactersWithSpaces>235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2025-03-27T01:57:00Z</dcterms:created>
  <dc:creator>HeyTp</dc:creator>
  <cp:lastModifiedBy>P P</cp:lastModifiedBy>
  <dcterms:modified xsi:type="dcterms:W3CDTF">2026-07-30T10:31:37Z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4524B52ED5B04DEFA10AB29147C1A671_13</vt:lpwstr>
  </property>
  <property fmtid="{D5CDD505-2E9C-101B-9397-08002B2CF9AE}" pid="4" name="KSOTemplateDocerSaveRecord">
    <vt:lpwstr>eyJoZGlkIjoiNDMwMWEyZDM0NTYzODdiYTEwNzU3YTRhMzRiMGQ1MmYiLCJ1c2VySWQiOiIzNzQzNTE3MTYifQ==</vt:lpwstr>
  </property>
</Properties>
</file>