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jc w:val="center"/>
        <w:rPr>
          <w:rFonts w:ascii="宋体" w:hAnsi="宋体" w:cs="宋体"/>
          <w:b/>
          <w:bCs/>
          <w:color w:val="auto"/>
          <w:sz w:val="60"/>
          <w:szCs w:val="60"/>
          <w:highlight w:val="none"/>
        </w:rPr>
      </w:pPr>
      <w:r>
        <w:rPr>
          <w:rFonts w:hint="eastAsia" w:ascii="宋体" w:hAnsi="宋体" w:cs="宋体"/>
          <w:b/>
          <w:bCs/>
          <w:color w:val="auto"/>
          <w:sz w:val="60"/>
          <w:szCs w:val="60"/>
          <w:highlight w:val="none"/>
        </w:rPr>
        <w:t xml:space="preserve">常州市政府采购项目</w:t>
      </w:r>
      <w:r/>
    </w:p>
    <w:p>
      <w:pPr>
        <w:jc w:val="center"/>
        <w:rPr>
          <w:b/>
          <w:bCs/>
          <w:color w:val="auto"/>
          <w:sz w:val="60"/>
          <w:szCs w:val="60"/>
          <w:highlight w:val="none"/>
        </w:rPr>
      </w:pPr>
      <w:r>
        <w:rPr>
          <w:b/>
          <w:bCs/>
          <w:color w:val="auto"/>
          <w:sz w:val="60"/>
          <w:szCs w:val="60"/>
          <w:highlight w:val="none"/>
        </w:rPr>
        <w:t xml:space="preserve">竞争性磋商文件</w:t>
      </w:r>
      <w:r/>
    </w:p>
    <w:p>
      <w:pPr>
        <w:jc w:val="center"/>
        <w:rPr>
          <w:b/>
          <w:bCs/>
          <w:color w:val="auto"/>
          <w:sz w:val="60"/>
          <w:szCs w:val="60"/>
          <w:highlight w:val="none"/>
        </w:rPr>
      </w:pPr>
      <w:r>
        <w:rPr>
          <w:b/>
          <w:bCs/>
          <w:color w:val="auto"/>
          <w:sz w:val="60"/>
          <w:szCs w:val="60"/>
          <w:highlight w:val="none"/>
        </w:rPr>
      </w:r>
      <w:r/>
    </w:p>
    <w:p>
      <w:pPr>
        <w:jc w:val="center"/>
        <w:rPr>
          <w:b/>
          <w:bCs/>
          <w:color w:val="auto"/>
          <w:sz w:val="44"/>
          <w:szCs w:val="60"/>
          <w:highlight w:val="none"/>
        </w:rPr>
      </w:pPr>
      <w:r>
        <w:rPr>
          <w:rFonts w:hint="eastAsia"/>
          <w:b/>
          <w:bCs/>
          <w:color w:val="auto"/>
          <w:sz w:val="44"/>
          <w:szCs w:val="60"/>
          <w:highlight w:val="none"/>
        </w:rPr>
        <w:t xml:space="preserve">（服务）</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pStyle w:val="1047"/>
        <w:rPr>
          <w:color w:val="auto"/>
          <w:highlight w:val="none"/>
        </w:rPr>
      </w:pPr>
      <w:r>
        <w:rPr>
          <w:color w:val="auto"/>
          <w:highlight w:val="none"/>
        </w:rPr>
      </w:r>
      <w:r/>
    </w:p>
    <w:p>
      <w:pPr>
        <w:pStyle w:val="1047"/>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72"/>
        <w:ind w:firstLine="210"/>
        <w:rPr>
          <w:color w:val="auto"/>
          <w:highlight w:val="none"/>
        </w:rPr>
      </w:pPr>
      <w:r>
        <w:rPr>
          <w:color w:val="auto"/>
          <w:highlight w:val="none"/>
        </w:rPr>
        <w:tab/>
      </w:r>
      <w:r/>
    </w:p>
    <w:p>
      <w:pPr>
        <w:ind w:left="2007" w:hanging="1280"/>
        <w:jc w:val="left"/>
        <w:spacing w:line="360" w:lineRule="auto"/>
        <w:tabs>
          <w:tab w:val="left" w:pos="5609" w:leader="none"/>
        </w:tabs>
        <w:rPr>
          <w:rFonts w:hint="eastAsia" w:eastAsia="宋体"/>
          <w:bCs/>
          <w:color w:val="auto"/>
          <w:sz w:val="32"/>
          <w:szCs w:val="36"/>
          <w:highlight w:val="none"/>
          <w:lang w:eastAsia="zh-CN"/>
        </w:rPr>
      </w:pPr>
      <w:r>
        <w:rPr>
          <w:bCs/>
          <w:color w:val="auto"/>
          <w:sz w:val="32"/>
          <w:szCs w:val="36"/>
          <w:highlight w:val="none"/>
        </w:rPr>
        <w:t xml:space="preserve">项目名称</w:t>
      </w:r>
      <w:r>
        <w:rPr>
          <w:rFonts w:hint="eastAsia"/>
          <w:bCs/>
          <w:color w:val="auto"/>
          <w:sz w:val="32"/>
          <w:szCs w:val="36"/>
          <w:highlight w:val="none"/>
        </w:rPr>
        <w:t xml:space="preserve">：</w:t>
      </w:r>
      <w:r>
        <w:rPr>
          <w:rFonts w:hint="eastAsia"/>
          <w:bCs/>
          <w:color w:val="auto"/>
          <w:sz w:val="32"/>
          <w:szCs w:val="36"/>
          <w:highlight w:val="none"/>
          <w:lang w:eastAsia="zh-CN"/>
        </w:rPr>
        <w:t xml:space="preserve">江苏省常州技师学院消防控制中心及监控网络改造提升服务项目</w:t>
      </w:r>
      <w:r/>
    </w:p>
    <w:p>
      <w:pPr>
        <w:ind w:left="1687" w:hanging="960"/>
        <w:jc w:val="left"/>
        <w:spacing w:line="360" w:lineRule="auto"/>
        <w:tabs>
          <w:tab w:val="left" w:pos="5609" w:leader="none"/>
        </w:tabs>
        <w:rPr>
          <w:rFonts w:hint="eastAsia"/>
          <w:bCs/>
          <w:color w:val="auto"/>
          <w:sz w:val="32"/>
          <w:szCs w:val="36"/>
          <w:highlight w:val="none"/>
          <w:lang w:eastAsia="zh-CN"/>
        </w:rPr>
      </w:pPr>
      <w:r>
        <w:rPr>
          <w:bCs/>
          <w:color w:val="auto"/>
          <w:sz w:val="32"/>
          <w:szCs w:val="36"/>
          <w:highlight w:val="none"/>
        </w:rPr>
        <w:t xml:space="preserve">项目编号：</w:t>
      </w:r>
      <w:r>
        <w:rPr>
          <w:rFonts w:hint="eastAsia"/>
          <w:bCs/>
          <w:color w:val="auto"/>
          <w:sz w:val="32"/>
          <w:szCs w:val="36"/>
          <w:highlight w:val="none"/>
          <w:lang w:eastAsia="zh-CN"/>
        </w:rPr>
        <w:t xml:space="preserve">JSZC-320400-ZCCZ-C2026-0018</w:t>
      </w:r>
      <w:r/>
    </w:p>
    <w:p>
      <w:pPr>
        <w:ind w:left="2379" w:hanging="1600"/>
        <w:jc w:val="left"/>
        <w:spacing w:line="360" w:lineRule="auto"/>
        <w:tabs>
          <w:tab w:val="left" w:pos="5609" w:leader="none"/>
        </w:tabs>
        <w:rPr>
          <w:rFonts w:hint="eastAsia" w:eastAsia="宋体"/>
          <w:bCs/>
          <w:color w:val="auto"/>
          <w:sz w:val="32"/>
          <w:szCs w:val="36"/>
          <w:highlight w:val="none"/>
          <w:lang w:eastAsia="zh-CN"/>
        </w:rPr>
      </w:pPr>
      <w:r>
        <w:rPr>
          <w:bCs/>
          <w:color w:val="auto"/>
          <w:sz w:val="32"/>
          <w:szCs w:val="36"/>
          <w:highlight w:val="none"/>
        </w:rPr>
        <w:t xml:space="preserve">采 购 人：</w:t>
      </w:r>
      <w:r>
        <w:rPr>
          <w:rFonts w:hint="eastAsia"/>
          <w:bCs/>
          <w:color w:val="auto"/>
          <w:sz w:val="32"/>
          <w:szCs w:val="36"/>
          <w:highlight w:val="none"/>
          <w:lang w:eastAsia="zh-CN"/>
        </w:rPr>
        <w:t xml:space="preserve">江苏省常州技师学院</w:t>
      </w:r>
      <w:r/>
    </w:p>
    <w:p>
      <w:pPr>
        <w:ind w:firstLine="822"/>
        <w:jc w:val="left"/>
        <w:spacing w:line="360" w:lineRule="auto"/>
        <w:tabs>
          <w:tab w:val="left" w:pos="3240" w:leader="none"/>
          <w:tab w:val="left" w:pos="3420" w:leader="none"/>
        </w:tabs>
        <w:rPr>
          <w:bCs/>
          <w:color w:val="auto"/>
          <w:sz w:val="32"/>
          <w:szCs w:val="36"/>
          <w:highlight w:val="none"/>
        </w:rPr>
      </w:pPr>
      <w:r>
        <w:rPr>
          <w:rFonts w:hint="eastAsia"/>
          <w:bCs/>
          <w:color w:val="auto"/>
          <w:sz w:val="32"/>
          <w:szCs w:val="36"/>
          <w:highlight w:val="none"/>
        </w:rPr>
        <w:t xml:space="preserve">采购</w:t>
      </w:r>
      <w:r>
        <w:rPr>
          <w:bCs/>
          <w:color w:val="auto"/>
          <w:sz w:val="32"/>
          <w:szCs w:val="36"/>
          <w:highlight w:val="none"/>
        </w:rPr>
        <w:t xml:space="preserve">代理机构：</w:t>
      </w:r>
      <w:r>
        <w:rPr>
          <w:rFonts w:hint="eastAsia"/>
          <w:bCs/>
          <w:color w:val="auto"/>
          <w:sz w:val="32"/>
          <w:szCs w:val="36"/>
          <w:highlight w:val="none"/>
        </w:rPr>
        <w:t xml:space="preserve">常州中采招投标有限公司</w:t>
      </w:r>
      <w:r/>
    </w:p>
    <w:p>
      <w:pPr>
        <w:jc w:val="left"/>
        <w:widowControl/>
        <w:rPr>
          <w:color w:val="auto"/>
          <w:sz w:val="24"/>
          <w:highlight w:val="none"/>
        </w:rPr>
      </w:pPr>
      <w:r>
        <w:rPr>
          <w:b/>
          <w:bCs/>
          <w:color w:val="auto"/>
          <w:sz w:val="44"/>
          <w:highlight w:val="none"/>
        </w:rPr>
        <w:br w:type="page" w:clear="all"/>
      </w:r>
      <w:r/>
    </w:p>
    <w:p>
      <w:pPr>
        <w:pStyle w:val="1219"/>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0" w:name="_Toc167355964"/>
      <w:r/>
      <w:bookmarkStart w:id="1" w:name="_Toc193985577"/>
      <w:r/>
      <w:bookmarkStart w:id="2" w:name="_Toc104818924"/>
      <w:r>
        <w:rPr>
          <w:rFonts w:hint="eastAsia"/>
          <w:b/>
          <w:color w:val="auto"/>
          <w:sz w:val="36"/>
          <w:szCs w:val="36"/>
          <w:highlight w:val="none"/>
        </w:rPr>
        <w:t xml:space="preserve">目</w:t>
      </w:r>
      <w:r>
        <w:rPr>
          <w:b/>
          <w:color w:val="auto"/>
          <w:sz w:val="36"/>
          <w:szCs w:val="36"/>
          <w:highlight w:val="none"/>
        </w:rPr>
        <w:t xml:space="preserve">      </w:t>
      </w:r>
      <w:r>
        <w:rPr>
          <w:rFonts w:hint="eastAsia"/>
          <w:b/>
          <w:color w:val="auto"/>
          <w:sz w:val="36"/>
          <w:szCs w:val="36"/>
          <w:highlight w:val="none"/>
        </w:rPr>
        <w:t xml:space="preserve">录</w:t>
      </w:r>
      <w:bookmarkEnd w:id="0"/>
      <w:r/>
      <w:bookmarkEnd w:id="1"/>
      <w:r/>
      <w:bookmarkEnd w:id="2"/>
      <w:r/>
      <w:r/>
    </w:p>
    <w:p>
      <w:pPr>
        <w:rPr>
          <w:color w:val="auto"/>
          <w:highlight w:val="none"/>
        </w:rPr>
      </w:pPr>
      <w:r>
        <w:rPr>
          <w:color w:val="auto"/>
          <w:highlight w:val="none"/>
        </w:rPr>
      </w:r>
      <w:r/>
    </w:p>
    <w:p>
      <w:pPr>
        <w:pStyle w:val="1060"/>
        <w:rPr>
          <w:rFonts w:asciiTheme="minorHAnsi" w:hAnsiTheme="minorHAnsi" w:eastAsiaTheme="minorEastAsia" w:cstheme="minorBid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rPr>
          <w:color w:val="auto"/>
          <w:highlight w:val="none"/>
        </w:rPr>
        <w:fldChar w:fldCharType="begin"/>
      </w:r>
      <w:r>
        <w:rPr>
          <w:color w:val="auto"/>
          <w:highlight w:val="none"/>
        </w:rPr>
        <w:instrText xml:space="preserve"> HYPERLINK \l "_Toc193985577" </w:instrText>
      </w:r>
      <w:r>
        <w:rPr>
          <w:color w:val="auto"/>
          <w:highlight w:val="none"/>
        </w:rPr>
        <w:fldChar w:fldCharType="separate"/>
      </w:r>
      <w:r>
        <w:rPr>
          <w:color w:val="auto"/>
          <w:highlight w:val="none"/>
        </w:rPr>
        <w:fldChar w:fldCharType="end"/>
      </w:r>
      <w:r/>
    </w:p>
    <w:p>
      <w:pPr>
        <w:pStyle w:val="1060"/>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"_Toc193985578" </w:instrText>
      </w:r>
      <w:r>
        <w:rPr>
          <w:color w:val="auto"/>
          <w:highlight w:val="none"/>
        </w:rPr>
        <w:fldChar w:fldCharType="separate"/>
      </w:r>
      <w:r>
        <w:rPr>
          <w:rStyle w:val="1079"/>
          <w:rFonts w:hint="eastAsia"/>
          <w:color w:val="auto"/>
          <w:highlight w:val="none"/>
        </w:rPr>
        <w:t xml:space="preserve">第一章</w:t>
      </w:r>
      <w:r>
        <w:rPr>
          <w:rStyle w:val="1079"/>
          <w:color w:val="auto"/>
          <w:highlight w:val="none"/>
        </w:rPr>
        <w:t xml:space="preserve">   </w:t>
      </w:r>
      <w:r>
        <w:rPr>
          <w:rStyle w:val="1079"/>
          <w:rFonts w:hint="eastAsia"/>
          <w:color w:val="auto"/>
          <w:highlight w:val="none"/>
        </w:rPr>
        <w:t xml:space="preserve">采购邀请</w:t>
      </w:r>
      <w:r>
        <w:rPr>
          <w:color w:val="auto"/>
          <w:highlight w:val="none"/>
        </w:rPr>
        <w:tab/>
      </w:r>
      <w:r>
        <w:rPr>
          <w:color w:val="auto"/>
          <w:highlight w:val="none"/>
        </w:rPr>
        <w:fldChar w:fldCharType="begin"/>
      </w:r>
      <w:r>
        <w:rPr>
          <w:color w:val="auto"/>
          <w:highlight w:val="none"/>
        </w:rPr>
        <w:instrText xml:space="preserve"> PAGEREF _Toc193985578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1060"/>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"_Toc193985579" </w:instrText>
      </w:r>
      <w:r>
        <w:rPr>
          <w:color w:val="auto"/>
          <w:highlight w:val="none"/>
        </w:rPr>
        <w:fldChar w:fldCharType="separate"/>
      </w:r>
      <w:r>
        <w:rPr>
          <w:rStyle w:val="1079"/>
          <w:rFonts w:hint="eastAsia"/>
          <w:color w:val="auto"/>
          <w:highlight w:val="none"/>
        </w:rPr>
        <w:t xml:space="preserve">第二章</w:t>
      </w:r>
      <w:r>
        <w:rPr>
          <w:rStyle w:val="1079"/>
          <w:color w:val="auto"/>
          <w:highlight w:val="none"/>
        </w:rPr>
        <w:t xml:space="preserve">   </w:t>
      </w:r>
      <w:r>
        <w:rPr>
          <w:rStyle w:val="1079"/>
          <w:rFonts w:hint="eastAsia"/>
          <w:color w:val="auto"/>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_Toc193985579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1060"/>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"_Toc193985580" </w:instrText>
      </w:r>
      <w:r>
        <w:rPr>
          <w:color w:val="auto"/>
          <w:highlight w:val="none"/>
        </w:rPr>
        <w:fldChar w:fldCharType="separate"/>
      </w:r>
      <w:r>
        <w:rPr>
          <w:rStyle w:val="1079"/>
          <w:rFonts w:hint="eastAsia"/>
          <w:color w:val="auto"/>
          <w:highlight w:val="none"/>
        </w:rPr>
        <w:t xml:space="preserve">第三章</w:t>
      </w:r>
      <w:r>
        <w:rPr>
          <w:rStyle w:val="1079"/>
          <w:color w:val="auto"/>
          <w:highlight w:val="none"/>
        </w:rPr>
        <w:t xml:space="preserve">   </w:t>
      </w:r>
      <w:r>
        <w:rPr>
          <w:rStyle w:val="1079"/>
          <w:rFonts w:hint="eastAsia"/>
          <w:color w:val="auto"/>
          <w:highlight w:val="none"/>
        </w:rPr>
        <w:t xml:space="preserve">评审程序、评审方法和评审标准</w:t>
      </w:r>
      <w:r>
        <w:rPr>
          <w:color w:val="auto"/>
          <w:highlight w:val="none"/>
        </w:rPr>
        <w:tab/>
      </w:r>
      <w:r>
        <w:rPr>
          <w:color w:val="auto"/>
          <w:highlight w:val="none"/>
        </w:rPr>
        <w:fldChar w:fldCharType="begin"/>
      </w:r>
      <w:r>
        <w:rPr>
          <w:color w:val="auto"/>
          <w:highlight w:val="none"/>
        </w:rPr>
        <w:instrText xml:space="preserve"> PAGEREF _Toc193985580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1060"/>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"_Toc193985581" </w:instrText>
      </w:r>
      <w:r>
        <w:rPr>
          <w:color w:val="auto"/>
          <w:highlight w:val="none"/>
        </w:rPr>
        <w:fldChar w:fldCharType="separate"/>
      </w:r>
      <w:r>
        <w:rPr>
          <w:rStyle w:val="1079"/>
          <w:rFonts w:hint="eastAsia"/>
          <w:color w:val="auto"/>
          <w:highlight w:val="none"/>
        </w:rPr>
        <w:t xml:space="preserve">第四章</w:t>
      </w:r>
      <w:r>
        <w:rPr>
          <w:rStyle w:val="1079"/>
          <w:color w:val="auto"/>
          <w:highlight w:val="none"/>
        </w:rPr>
        <w:t xml:space="preserve">   </w:t>
      </w:r>
      <w:r>
        <w:rPr>
          <w:rStyle w:val="1079"/>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_Toc193985581 \h </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1060"/>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"_Toc193985582" </w:instrText>
      </w:r>
      <w:r>
        <w:rPr>
          <w:color w:val="auto"/>
          <w:highlight w:val="none"/>
        </w:rPr>
        <w:fldChar w:fldCharType="separate"/>
      </w:r>
      <w:r>
        <w:rPr>
          <w:rStyle w:val="1079"/>
          <w:rFonts w:hint="eastAsia"/>
          <w:color w:val="auto"/>
          <w:highlight w:val="none"/>
        </w:rPr>
        <w:t xml:space="preserve">第五章</w:t>
      </w:r>
      <w:r>
        <w:rPr>
          <w:rStyle w:val="1079"/>
          <w:color w:val="auto"/>
          <w:highlight w:val="none"/>
        </w:rPr>
        <w:t xml:space="preserve">   </w:t>
      </w:r>
      <w:r>
        <w:rPr>
          <w:rStyle w:val="1079"/>
          <w:rFonts w:hint="eastAsia"/>
          <w:color w:val="auto"/>
          <w:highlight w:val="none"/>
        </w:rPr>
        <w:t xml:space="preserve">合同草案条款</w:t>
      </w:r>
      <w:r>
        <w:rPr>
          <w:color w:val="auto"/>
          <w:highlight w:val="none"/>
        </w:rPr>
        <w:tab/>
      </w:r>
      <w:r>
        <w:rPr>
          <w:color w:val="auto"/>
          <w:highlight w:val="none"/>
        </w:rPr>
        <w:fldChar w:fldCharType="begin"/>
      </w:r>
      <w:r>
        <w:rPr>
          <w:color w:val="auto"/>
          <w:highlight w:val="none"/>
        </w:rPr>
        <w:instrText xml:space="preserve"> PAGEREF _Toc193985582 \h </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1060"/>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"_Toc193985583" </w:instrText>
      </w:r>
      <w:r>
        <w:rPr>
          <w:color w:val="auto"/>
          <w:highlight w:val="none"/>
        </w:rPr>
        <w:fldChar w:fldCharType="separate"/>
      </w:r>
      <w:r>
        <w:rPr>
          <w:rStyle w:val="1079"/>
          <w:rFonts w:hint="eastAsia"/>
          <w:color w:val="auto"/>
          <w:highlight w:val="none"/>
        </w:rPr>
        <w:t xml:space="preserve">第六章</w:t>
      </w:r>
      <w:r>
        <w:rPr>
          <w:rStyle w:val="1079"/>
          <w:color w:val="auto"/>
          <w:highlight w:val="none"/>
        </w:rPr>
        <w:t xml:space="preserve">   </w:t>
      </w:r>
      <w:r>
        <w:rPr>
          <w:rStyle w:val="1079"/>
          <w:rFonts w:hint="eastAsia"/>
          <w:color w:val="auto"/>
          <w:highlight w:val="none"/>
        </w:rPr>
        <w:t xml:space="preserve">响应文件格式</w:t>
      </w:r>
      <w:r>
        <w:rPr>
          <w:color w:val="auto"/>
          <w:highlight w:val="none"/>
        </w:rPr>
        <w:tab/>
      </w:r>
      <w:r>
        <w:rPr>
          <w:color w:val="auto"/>
          <w:highlight w:val="none"/>
        </w:rPr>
        <w:fldChar w:fldCharType="begin"/>
      </w:r>
      <w:r>
        <w:rPr>
          <w:color w:val="auto"/>
          <w:highlight w:val="none"/>
        </w:rPr>
        <w:instrText xml:space="preserve"> PAGEREF _Toc193985583 \h </w:instrText>
      </w:r>
      <w:r>
        <w:rPr>
          <w:color w:val="auto"/>
          <w:highlight w:val="none"/>
        </w:rPr>
        <w:fldChar w:fldCharType="separate"/>
      </w:r>
      <w:r>
        <w:rPr>
          <w:color w:val="auto"/>
          <w:highlight w:val="none"/>
        </w:rPr>
        <w:t xml:space="preserve">79</w:t>
      </w:r>
      <w:r>
        <w:rPr>
          <w:color w:val="auto"/>
          <w:highlight w:val="none"/>
        </w:rPr>
        <w:fldChar w:fldCharType="end"/>
      </w:r>
      <w:r>
        <w:rPr>
          <w:color w:val="auto"/>
          <w:highlight w:val="none"/>
        </w:rPr>
        <w:fldChar w:fldCharType="end"/>
      </w:r>
      <w:r/>
    </w:p>
    <w:p>
      <w:pPr>
        <w:pStyle w:val="1060"/>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pStyle w:val="1060"/>
        <w:spacing w:line="360" w:lineRule="auto"/>
        <w:rPr>
          <w:b w:val="0"/>
          <w:color w:val="auto"/>
          <w:sz w:val="36"/>
          <w:szCs w:val="36"/>
          <w:highlight w:val="none"/>
        </w:rPr>
      </w:pPr>
      <w:r>
        <w:rPr>
          <w:b w:val="0"/>
          <w:color w:val="auto"/>
          <w:sz w:val="36"/>
          <w:szCs w:val="36"/>
          <w:highlight w:val="none"/>
        </w:rPr>
      </w:r>
      <w:r/>
    </w:p>
    <w:p>
      <w:pPr>
        <w:jc w:val="center"/>
        <w:spacing w:line="360" w:lineRule="auto"/>
        <w:rPr>
          <w:b/>
          <w:color w:val="auto"/>
          <w:sz w:val="36"/>
          <w:szCs w:val="36"/>
          <w:highlight w:val="none"/>
        </w:rPr>
        <w:sectPr>
          <w:headerReference w:type="default" r:id="rId9"/>
          <w:headerReference w:type="first" r:id="rId10"/>
          <w:footerReference w:type="default" r:id="rId13"/>
          <w:footerReference w:type="even" r:id="rId14"/>
          <w:footnotePr/>
          <w:endnotePr/>
          <w:type w:val="nextPage"/>
          <w:pgSz w:w="11907" w:h="16840" w:orient="portrait"/>
          <w:pgMar w:top="1418" w:right="1417" w:bottom="1418" w:left="1560" w:header="851" w:footer="851" w:gutter="0"/>
          <w:pgNumType w:start="1"/>
          <w:cols w:num="1" w:sep="0" w:space="720" w:equalWidth="1"/>
          <w:docGrid w:linePitch="360"/>
          <w:titlePg/>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3" w:name="_Toc193985578"/>
      <w:r>
        <w:rPr>
          <w:b/>
          <w:color w:val="auto"/>
          <w:sz w:val="36"/>
          <w:szCs w:val="36"/>
          <w:highlight w:val="none"/>
        </w:rPr>
        <w:t xml:space="preserve">第一章   采购邀请</w:t>
      </w:r>
      <w:bookmarkEnd w:id="3"/>
      <w:r/>
      <w:bookmarkStart w:id="4" w:name="_Toc28359002"/>
      <w:r/>
      <w:bookmarkStart w:id="5" w:name="_Toc35393621"/>
      <w:r/>
      <w:bookmarkStart w:id="6" w:name="_Toc28359079"/>
      <w:r/>
      <w:bookmarkStart w:id="7" w:name="_Toc35393790"/>
      <w:r/>
      <w:bookmarkStart w:id="8" w:name="_Hlk24379207"/>
      <w:r/>
      <w:bookmarkEnd w:id="4"/>
      <w:r/>
      <w:bookmarkEnd w:id="5"/>
      <w:r/>
      <w:bookmarkEnd w:id="6"/>
      <w:r/>
      <w:bookmarkEnd w:id="7"/>
      <w:r/>
      <w:bookmarkEnd w:id="8"/>
      <w:r/>
      <w:r/>
    </w:p>
    <w:p>
      <w:pPr>
        <w:ind w:firstLine="480"/>
        <w:spacing w:line="360" w:lineRule="auto"/>
        <w:rPr>
          <w:rFonts w:ascii="宋体" w:hAnsi="宋体"/>
          <w:color w:val="auto"/>
          <w:sz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olor w:val="auto"/>
          <w:sz w:val="24"/>
          <w:highlight w:val="none"/>
        </w:rPr>
        <w:t xml:space="preserve">项目概况</w:t>
      </w:r>
      <w:r/>
    </w:p>
    <w:p>
      <w:pPr>
        <w:ind w:firstLine="480"/>
        <w:spacing w:line="360" w:lineRule="auto"/>
        <w:rPr>
          <w:rFonts w:ascii="宋体" w:hAnsi="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highlight w:val="none"/>
          <w:u w:val="single"/>
          <w:lang w:eastAsia="zh-CN"/>
        </w:rPr>
        <w:t xml:space="preserve">江苏省常州技师学院消防控制中心及监控网络改造提升服务项目</w:t>
      </w:r>
      <w:r>
        <w:rPr>
          <w:rFonts w:hint="eastAsia" w:ascii="宋体" w:hAnsi="宋体"/>
          <w:color w:val="auto"/>
          <w:sz w:val="24"/>
          <w:highlight w:val="none"/>
        </w:rPr>
        <w:t xml:space="preserve">的潜在供应商应在</w:t>
      </w:r>
      <w:r>
        <w:rPr>
          <w:rFonts w:hint="eastAsia" w:ascii="微软雅黑" w:hAnsi="微软雅黑"/>
          <w:color w:val="auto"/>
          <w:sz w:val="24"/>
          <w:highlight w:val="none"/>
        </w:rPr>
        <w:t xml:space="preserve">“苏采云”政府采购一体化平台获取采购文件</w:t>
      </w:r>
      <w:r>
        <w:rPr>
          <w:rFonts w:hint="eastAsia" w:ascii="宋体" w:hAnsi="宋体"/>
          <w:bCs/>
          <w:color w:val="auto"/>
          <w:sz w:val="24"/>
          <w:highlight w:val="none"/>
        </w:rPr>
        <w:t xml:space="preserve">，并于</w:t>
      </w:r>
      <w:r>
        <w:rPr>
          <w:rFonts w:hint="eastAsia" w:ascii="宋体" w:hAnsi="宋体"/>
          <w:color w:val="auto"/>
          <w:sz w:val="24"/>
          <w:highlight w:val="none"/>
          <w:u w:val="single"/>
        </w:rPr>
        <w:t xml:space="preserve">202</w:t>
      </w:r>
      <w:r>
        <w:rPr>
          <w:rFonts w:hint="eastAsia" w:ascii="宋体" w:hAnsi="宋体"/>
          <w:color w:val="auto"/>
          <w:sz w:val="24"/>
          <w:highlight w:val="none"/>
          <w:u w:val="single"/>
          <w:lang w:val="en-US" w:eastAsia="zh-CN"/>
        </w:rPr>
        <w:t xml:space="preserve">6</w:t>
      </w:r>
      <w:r>
        <w:rPr>
          <w:rFonts w:hint="eastAsia" w:ascii="宋体" w:hAnsi="宋体"/>
          <w:color w:val="auto"/>
          <w:sz w:val="24"/>
          <w:highlight w:val="none"/>
          <w:u w:val="single"/>
        </w:rPr>
        <w:t xml:space="preserve">年</w:t>
      </w:r>
      <w:r>
        <w:rPr>
          <w:rFonts w:hint="eastAsia" w:ascii="宋体" w:hAnsi="宋体"/>
          <w:color w:val="auto"/>
          <w:sz w:val="24"/>
          <w:highlight w:val="none"/>
          <w:u w:val="single"/>
          <w:lang w:val="en-US" w:eastAsia="zh-CN"/>
        </w:rPr>
        <w:t xml:space="preserve">7</w:t>
      </w:r>
      <w:r>
        <w:rPr>
          <w:rFonts w:hint="eastAsia"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17</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9</w:t>
      </w:r>
      <w:r>
        <w:rPr>
          <w:rFonts w:hint="eastAsia" w:ascii="宋体" w:hAnsi="宋体"/>
          <w:color w:val="auto"/>
          <w:sz w:val="24"/>
          <w:highlight w:val="none"/>
          <w:u w:val="single"/>
        </w:rPr>
        <w:t xml:space="preserve">时</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u w:val="single"/>
        </w:rPr>
        <w:t xml:space="preserve">分</w:t>
      </w:r>
      <w:r>
        <w:rPr>
          <w:rFonts w:hint="eastAsia" w:ascii="宋体" w:hAnsi="宋体"/>
          <w:bCs/>
          <w:color w:val="auto"/>
          <w:sz w:val="24"/>
          <w:highlight w:val="none"/>
        </w:rPr>
        <w:t xml:space="preserve">（北京时间）前递交响应文件</w:t>
      </w:r>
      <w:r>
        <w:rPr>
          <w:rFonts w:hint="eastAsia" w:ascii="宋体" w:hAnsi="宋体"/>
          <w:color w:val="auto"/>
          <w:sz w:val="24"/>
          <w:highlight w:val="none"/>
        </w:rPr>
        <w:t xml:space="preserve">。</w:t>
      </w:r>
      <w:r/>
    </w:p>
    <w:p>
      <w:pPr>
        <w:pStyle w:val="1031"/>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r/>
    </w:p>
    <w:p>
      <w:pPr>
        <w:ind w:firstLine="480"/>
        <w:spacing w:line="360" w:lineRule="auto"/>
        <w:rPr>
          <w:rFonts w:hint="eastAsia"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rPr>
        <w:t xml:space="preserve">1.项目编号：</w:t>
      </w:r>
      <w:r>
        <w:rPr>
          <w:rFonts w:hint="eastAsia" w:asciiTheme="minorEastAsia" w:hAnsiTheme="minorEastAsia" w:eastAsiaTheme="minorEastAsia"/>
          <w:color w:val="auto"/>
          <w:sz w:val="24"/>
          <w:highlight w:val="none"/>
          <w:lang w:eastAsia="zh-CN"/>
        </w:rPr>
        <w:t xml:space="preserve">JSZC-320400-ZCCZ-C2026-0018</w:t>
      </w:r>
      <w:r/>
    </w:p>
    <w:p>
      <w:pPr>
        <w:ind w:firstLine="480"/>
        <w:spacing w:line="360" w:lineRule="auto"/>
        <w:rPr>
          <w:rFonts w:hint="eastAsia"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rPr>
        <w:t xml:space="preserve">2.项目名称：</w:t>
      </w:r>
      <w:r>
        <w:rPr>
          <w:rFonts w:hint="eastAsia" w:asciiTheme="minorEastAsia" w:hAnsiTheme="minorEastAsia" w:eastAsiaTheme="minorEastAsia"/>
          <w:color w:val="auto"/>
          <w:sz w:val="24"/>
          <w:highlight w:val="none"/>
          <w:lang w:eastAsia="zh-CN"/>
        </w:rPr>
        <w:t xml:space="preserve">江苏省常州技师学院消防控制中心及监控网络改造提升服务项目</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3.采购方式：竞争性磋商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4.项目预算金额：1</w:t>
      </w:r>
      <w:r>
        <w:rPr>
          <w:rFonts w:hint="eastAsia" w:asciiTheme="minorEastAsia" w:hAnsiTheme="minorEastAsia" w:eastAsiaTheme="minorEastAsia"/>
          <w:color w:val="auto"/>
          <w:sz w:val="24"/>
          <w:highlight w:val="none"/>
          <w:lang w:val="en-US" w:eastAsia="zh-CN"/>
        </w:rPr>
        <w:t xml:space="preserve">83</w:t>
      </w:r>
      <w:r>
        <w:rPr>
          <w:rFonts w:hint="eastAsia" w:asciiTheme="minorEastAsia" w:hAnsiTheme="minorEastAsia" w:eastAsiaTheme="minorEastAsia"/>
          <w:color w:val="auto"/>
          <w:sz w:val="24"/>
          <w:highlight w:val="none"/>
        </w:rPr>
        <w:t xml:space="preserve">万元，项目最高限价：178.5万元</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w:t>
      </w:r>
      <w:r>
        <w:rPr>
          <w:rFonts w:asciiTheme="minorEastAsia" w:hAnsiTheme="minorEastAsia" w:eastAsiaTheme="minorEastAsia"/>
          <w:color w:val="auto"/>
          <w:sz w:val="24"/>
          <w:highlight w:val="none"/>
        </w:rPr>
        <w:t xml:space="preserve">采购需求：</w:t>
      </w:r>
      <w:r>
        <w:rPr>
          <w:rFonts w:hint="eastAsia" w:asciiTheme="minorEastAsia" w:hAnsiTheme="minorEastAsia" w:eastAsiaTheme="minorEastAsia"/>
          <w:color w:val="auto"/>
          <w:sz w:val="24"/>
          <w:highlight w:val="none"/>
        </w:rPr>
        <w:t xml:space="preserve">本项目是江苏省常州技师学院消防控制中心及监控网络改造提升服务项目。因常州市人事考试工作需要，计划对江苏省常州技师学院考点相关设施进行改造翻新。原消控中心建于2012年，目前消控中心及配套设施已老旧，无法满足日常使用需求，现计划对消控中心显示系统、边缘计算盒子、消防模块、交通模块、治安模块、智能安防平台、消控室装修及教学楼专用局域网、监控系统、统一授时等进行提升服务。具体详见竞争性磋商文件。</w:t>
      </w:r>
      <w:r/>
    </w:p>
    <w:p>
      <w:pPr>
        <w:ind w:firstLine="480"/>
        <w:spacing w:line="360" w:lineRule="auto"/>
        <w:rPr>
          <w:rFonts w:hint="eastAsia" w:ascii="宋体" w:hAnsi="宋体" w:eastAsia="宋体" w:cs="宋体"/>
          <w:color w:val="auto"/>
          <w:sz w:val="24"/>
          <w:highlight w:val="none"/>
          <w:lang w:eastAsia="zh-CN"/>
        </w:rPr>
      </w:pPr>
      <w:r>
        <w:rPr>
          <w:rFonts w:hint="eastAsia" w:asciiTheme="minorEastAsia" w:hAnsiTheme="minorEastAsia" w:eastAsiaTheme="minorEastAsia"/>
          <w:color w:val="auto"/>
          <w:sz w:val="24"/>
          <w:highlight w:val="none"/>
        </w:rPr>
        <w:t xml:space="preserve">6.</w:t>
      </w:r>
      <w:r>
        <w:rPr>
          <w:rFonts w:asciiTheme="minorEastAsia" w:hAnsiTheme="minorEastAsia" w:eastAsiaTheme="minorEastAsia"/>
          <w:color w:val="auto"/>
          <w:sz w:val="24"/>
          <w:highlight w:val="none"/>
        </w:rPr>
        <w:t xml:space="preserve">合同履行</w:t>
      </w:r>
      <w:r>
        <w:rPr>
          <w:rFonts w:hint="eastAsia" w:ascii="宋体" w:hAnsi="宋体" w:cs="宋体"/>
          <w:color w:val="auto"/>
          <w:sz w:val="24"/>
          <w:highlight w:val="none"/>
        </w:rPr>
        <w:t xml:space="preserve">期限：</w:t>
      </w:r>
      <w:r>
        <w:rPr>
          <w:rFonts w:hint="eastAsia" w:ascii="宋体" w:hAnsi="宋体" w:cs="宋体"/>
          <w:color w:val="auto"/>
          <w:sz w:val="24"/>
          <w:highlight w:val="none"/>
          <w:lang w:eastAsia="zh-CN"/>
        </w:rPr>
        <w:t xml:space="preserve">自合同签订生效之日起50日内完成项目平台部署及相关设备安装调试并通过采购人验收。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w:t>
      </w:r>
      <w:r>
        <w:rPr>
          <w:rFonts w:asciiTheme="minorEastAsia" w:hAnsiTheme="minorEastAsia" w:eastAsiaTheme="minorEastAsia"/>
          <w:color w:val="auto"/>
          <w:sz w:val="24"/>
          <w:highlight w:val="none"/>
        </w:rPr>
        <w:t xml:space="preserve">.本项目是否接受联合体：</w:t>
      </w:r>
      <w:r>
        <w:rPr>
          <w:rFonts w:hint="eastAsia" w:ascii="宋体" w:hAnsi="宋体"/>
          <w:color w:val="auto"/>
          <w:sz w:val="24"/>
          <w:highlight w:val="none"/>
        </w:rPr>
        <w:t xml:space="preserve">■</w:t>
      </w:r>
      <w:r>
        <w:rPr>
          <w:rFonts w:asciiTheme="minorEastAsia" w:hAnsiTheme="minorEastAsia" w:eastAsiaTheme="minorEastAsia"/>
          <w:color w:val="auto"/>
          <w:sz w:val="24"/>
          <w:highlight w:val="none"/>
        </w:rPr>
        <w:t xml:space="preserve">否。</w:t>
      </w:r>
      <w:r/>
    </w:p>
    <w:p>
      <w:pPr>
        <w:pStyle w:val="1031"/>
        <w:jc w:val="left"/>
        <w:spacing w:before="0" w:line="360" w:lineRule="auto"/>
        <w:rPr>
          <w:rFonts w:ascii="Times New Roman" w:hAnsi="Times New Roman" w:eastAsia="宋体"/>
          <w:color w:val="auto"/>
          <w:sz w:val="24"/>
          <w:szCs w:val="24"/>
          <w:highlight w:val="none"/>
        </w:rPr>
      </w:pPr>
      <w:r/>
      <w:bookmarkStart w:id="9" w:name="_Toc28359080"/>
      <w:r/>
      <w:bookmarkStart w:id="10" w:name="_Toc28359003"/>
      <w:r/>
      <w:bookmarkStart w:id="11" w:name="_Toc35393622"/>
      <w:r/>
      <w:bookmarkStart w:id="12" w:name="_Toc35393791"/>
      <w:r>
        <w:rPr>
          <w:rFonts w:ascii="Times New Roman" w:hAnsi="Times New Roman" w:eastAsia="宋体"/>
          <w:color w:val="auto"/>
          <w:sz w:val="24"/>
          <w:szCs w:val="24"/>
          <w:highlight w:val="none"/>
        </w:rPr>
        <w:t xml:space="preserve">二、申请人的资格要求</w:t>
      </w:r>
      <w:bookmarkEnd w:id="9"/>
      <w:r/>
      <w:bookmarkEnd w:id="10"/>
      <w:r/>
      <w:bookmarkEnd w:id="11"/>
      <w:r/>
      <w:bookmarkEnd w:id="12"/>
      <w:r>
        <w:rPr>
          <w:rFonts w:ascii="Times New Roman" w:hAnsi="Times New Roman" w:eastAsia="宋体"/>
          <w:color w:val="auto"/>
          <w:sz w:val="24"/>
          <w:szCs w:val="24"/>
          <w:highlight w:val="none"/>
        </w:rPr>
        <w:t xml:space="preserve">：</w:t>
      </w:r>
      <w:r/>
    </w:p>
    <w:p>
      <w:pPr>
        <w:ind w:firstLine="480"/>
        <w:spacing w:line="360" w:lineRule="auto"/>
        <w:rPr>
          <w:rFonts w:ascii="宋体" w:hAnsi="宋体"/>
          <w:color w:val="auto"/>
          <w:sz w:val="24"/>
          <w:highlight w:val="none"/>
        </w:rPr>
      </w:pPr>
      <w:r/>
      <w:bookmarkStart w:id="13" w:name="_Toc28359081"/>
      <w:r/>
      <w:bookmarkStart w:id="14" w:name="_Toc28359004"/>
      <w:r>
        <w:rPr>
          <w:rFonts w:hint="eastAsia" w:ascii="宋体" w:hAnsi="宋体"/>
          <w:color w:val="auto"/>
          <w:sz w:val="24"/>
          <w:highlight w:val="none"/>
        </w:rPr>
        <w:t xml:space="preserve">1.满足《中华人民共和国政府采购法》第二十二条规定以及下列情形：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pStyle w:val="1047"/>
        <w:ind w:firstLine="480"/>
        <w:rPr>
          <w:color w:val="auto"/>
          <w:highlight w:val="none"/>
        </w:rPr>
      </w:pPr>
      <w:r>
        <w:rPr>
          <w:rFonts w:hint="eastAsia"/>
          <w:color w:val="auto"/>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 中小企业政策</w:t>
      </w:r>
      <w:r/>
    </w:p>
    <w:p>
      <w:pPr>
        <w:ind w:firstLine="480"/>
        <w:spacing w:line="360" w:lineRule="auto"/>
        <w:rPr>
          <w:rFonts w:ascii="宋体" w:hAnsi="宋体" w:cs="MS Gothic"/>
          <w:color w:val="auto"/>
          <w:sz w:val="24"/>
          <w:highlight w:val="none"/>
        </w:rPr>
      </w:pPr>
      <w:r>
        <w:rPr>
          <w:rFonts w:hint="eastAsia" w:ascii="宋体" w:hAnsi="宋体"/>
          <w:color w:val="auto"/>
          <w:sz w:val="24"/>
          <w:highlight w:val="none"/>
        </w:rPr>
        <w:t xml:space="preserve">■</w:t>
      </w:r>
      <w:r>
        <w:rPr>
          <w:rFonts w:hint="eastAsia" w:ascii="宋体" w:hAnsi="宋体" w:cs="MS Gothic"/>
          <w:color w:val="auto"/>
          <w:sz w:val="24"/>
          <w:highlight w:val="none"/>
        </w:rPr>
        <w:t xml:space="preserve">本项目不专门面向中小企业预留采购份额。</w:t>
      </w:r>
      <w:r/>
    </w:p>
    <w:p>
      <w:pPr>
        <w:ind w:firstLine="480"/>
        <w:spacing w:line="360" w:lineRule="auto"/>
        <w:rPr>
          <w:rFonts w:ascii="宋体" w:hAnsi="宋体" w:cs="MS Gothic"/>
          <w:color w:val="auto"/>
          <w:sz w:val="24"/>
          <w:highlight w:val="none"/>
        </w:rPr>
      </w:pPr>
      <w:r>
        <w:rPr>
          <w:rFonts w:hint="eastAsia" w:ascii="宋体" w:hAnsi="宋体" w:cs="MS Gothic"/>
          <w:color w:val="auto"/>
          <w:sz w:val="24"/>
          <w:highlight w:val="none"/>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ascii="宋体" w:hAnsi="宋体" w:cs="MS Gothic"/>
          <w:color w:val="auto"/>
          <w:sz w:val="24"/>
          <w:highlight w:val="none"/>
        </w:rPr>
      </w:pPr>
      <w:r>
        <w:rPr>
          <w:rFonts w:hint="eastAsia" w:ascii="宋体" w:hAnsi="宋体" w:cs="MS Gothic"/>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p>
    <w:p>
      <w:pPr>
        <w:ind w:firstLine="480"/>
        <w:spacing w:line="360" w:lineRule="auto"/>
        <w:rPr>
          <w:rFonts w:ascii="宋体" w:hAnsi="宋体"/>
          <w:color w:val="auto"/>
          <w:sz w:val="24"/>
          <w:highlight w:val="none"/>
        </w:rPr>
      </w:pPr>
      <w:r>
        <w:rPr>
          <w:rFonts w:hint="eastAsia" w:ascii="宋体" w:hAnsi="宋体" w:cs="MS Gothic"/>
          <w:color w:val="auto"/>
          <w:sz w:val="24"/>
          <w:highlight w:val="none"/>
        </w:rPr>
        <w:t xml:space="preserve">2.2 其它落实政府采购政策的资格要求：无。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3.本项目的特定资格要求：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3.1本项目是否接受分支机构参与响应：否；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3.2本项目是否属于政府购买服务：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□是，公益一类事业单位、使用事业编制且由财政拨款保障的群团组织，不得作为承接主体；</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3.3其他特定资格要求：无。</w:t>
      </w:r>
      <w:bookmarkEnd w:id="13"/>
      <w:r/>
      <w:bookmarkEnd w:id="14"/>
      <w:r/>
      <w:r/>
    </w:p>
    <w:p>
      <w:pPr>
        <w:pStyle w:val="1031"/>
        <w:jc w:val="left"/>
        <w:spacing w:before="0" w:line="360" w:lineRule="auto"/>
        <w:rPr>
          <w:rFonts w:ascii="Times New Roman" w:hAnsi="Times New Roman" w:eastAsia="宋体"/>
          <w:color w:val="auto"/>
          <w:sz w:val="24"/>
          <w:szCs w:val="24"/>
          <w:highlight w:val="none"/>
        </w:rPr>
      </w:pPr>
      <w:r/>
      <w:bookmarkStart w:id="15" w:name="_Toc28359010"/>
      <w:r/>
      <w:bookmarkStart w:id="16" w:name="_Toc28359087"/>
      <w:r>
        <w:rPr>
          <w:rFonts w:hint="eastAsia" w:ascii="Times New Roman" w:hAnsi="Times New Roman" w:eastAsia="宋体"/>
          <w:color w:val="auto"/>
          <w:sz w:val="24"/>
          <w:szCs w:val="24"/>
          <w:highlight w:val="none"/>
        </w:rPr>
        <w:t xml:space="preserve">三、获取采购文件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1.时间：</w:t>
      </w:r>
      <w:r>
        <w:rPr>
          <w:rFonts w:ascii="Arial" w:hAnsi="Arial" w:eastAsia="宋体" w:cs="Arial"/>
          <w:color w:val="auto"/>
          <w:sz w:val="24"/>
          <w:szCs w:val="24"/>
          <w:highlight w:val="none"/>
        </w:rPr>
        <w:t xml:space="preserve">自磋商文件公告发布之日起5个工作日</w:t>
      </w:r>
      <w:r>
        <w:rPr>
          <w:rFonts w:hint="eastAsia" w:asciiTheme="minorEastAsia" w:hAnsiTheme="minorEastAsia" w:eastAsiaTheme="minorEastAsia"/>
          <w:color w:val="auto"/>
          <w:sz w:val="24"/>
          <w:highlight w:val="none"/>
        </w:rPr>
        <w:t xml:space="preserve">，每天上午00:00-12:00，下午12:00-23:59（北京时间，法定节假日除外）。</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2.地点：供应商完成注册并办理CA证书后登录“苏采云”（网址：http://jszfcg.jsczt.cn/jszc/login），下载本项目电子版采购文件。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3.方式：供应商持CA数字认证证书登录“苏采云”（网址：http://jszfcg.jsczt.cn/jszc/login）获取电子版采购文件。</w:t>
      </w:r>
      <w:r/>
    </w:p>
    <w:p>
      <w:pPr>
        <w:pStyle w:val="1047"/>
        <w:ind w:firstLine="480"/>
        <w:rPr>
          <w:color w:val="auto"/>
          <w:highlight w:val="none"/>
        </w:rPr>
      </w:pPr>
      <w:r>
        <w:rPr>
          <w:rFonts w:hint="eastAsia"/>
          <w:color w:val="auto"/>
          <w:highlight w:val="none"/>
        </w:rPr>
        <w:t xml:space="preserve">4.售价：0元。</w:t>
      </w:r>
      <w:r/>
    </w:p>
    <w:p>
      <w:pPr>
        <w:jc w:val="left"/>
        <w:keepLines/>
        <w:keepNext/>
        <w:spacing w:before="120" w:line="360" w:lineRule="auto"/>
        <w:rPr>
          <w:b/>
          <w:color w:val="auto"/>
          <w:sz w:val="24"/>
          <w:highlight w:val="none"/>
        </w:rPr>
        <w:outlineLvl w:val="1"/>
      </w:pPr>
      <w:r>
        <w:rPr>
          <w:rFonts w:hint="eastAsia"/>
          <w:b/>
          <w:color w:val="auto"/>
          <w:sz w:val="24"/>
          <w:highlight w:val="none"/>
        </w:rPr>
        <w:t xml:space="preserve">四、响应文件提交</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截止时间：</w:t>
      </w:r>
      <w:r>
        <w:rPr>
          <w:rFonts w:hint="eastAsia" w:ascii="宋体" w:hAnsi="宋体"/>
          <w:color w:val="auto"/>
          <w:sz w:val="24"/>
          <w:highlight w:val="none"/>
          <w:u w:val="single"/>
        </w:rPr>
        <w:t xml:space="preserve">202</w:t>
      </w:r>
      <w:r>
        <w:rPr>
          <w:rFonts w:hint="eastAsia" w:ascii="宋体" w:hAnsi="宋体"/>
          <w:color w:val="auto"/>
          <w:sz w:val="24"/>
          <w:highlight w:val="none"/>
          <w:u w:val="single"/>
          <w:lang w:val="en-US" w:eastAsia="zh-CN"/>
        </w:rPr>
        <w:t xml:space="preserve">6</w:t>
      </w:r>
      <w:r>
        <w:rPr>
          <w:rFonts w:hint="eastAsia" w:ascii="宋体" w:hAnsi="宋体"/>
          <w:color w:val="auto"/>
          <w:sz w:val="24"/>
          <w:highlight w:val="none"/>
          <w:u w:val="single"/>
        </w:rPr>
        <w:t xml:space="preserve">年</w:t>
      </w:r>
      <w:r>
        <w:rPr>
          <w:rFonts w:hint="eastAsia" w:ascii="宋体" w:hAnsi="宋体"/>
          <w:color w:val="auto"/>
          <w:sz w:val="24"/>
          <w:highlight w:val="none"/>
          <w:u w:val="single"/>
          <w:lang w:val="en-US" w:eastAsia="zh-CN"/>
        </w:rPr>
        <w:t xml:space="preserve">7</w:t>
      </w:r>
      <w:r>
        <w:rPr>
          <w:rFonts w:hint="eastAsia"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17</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9</w:t>
      </w:r>
      <w:r>
        <w:rPr>
          <w:rFonts w:hint="eastAsia" w:ascii="宋体" w:hAnsi="宋体"/>
          <w:color w:val="auto"/>
          <w:sz w:val="24"/>
          <w:highlight w:val="none"/>
          <w:u w:val="single"/>
        </w:rPr>
        <w:t xml:space="preserve">时</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u w:val="single"/>
        </w:rPr>
        <w:t xml:space="preserve">分</w:t>
      </w:r>
      <w:r>
        <w:rPr>
          <w:rFonts w:hint="eastAsia" w:ascii="宋体" w:hAnsi="宋体"/>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地点：本项目采用远程“不见面”交易方式，无需到现场提交，请供应商在开启时间截止前提前登入“苏采云”（网址：http://jszfcg.jsczt.cn/jszc/login）系统供应商端，通过系统在线提交电子投标文件。</w:t>
      </w:r>
      <w:r/>
    </w:p>
    <w:p>
      <w:pPr>
        <w:pStyle w:val="1031"/>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五、开启</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时间：</w:t>
      </w:r>
      <w:r>
        <w:rPr>
          <w:rFonts w:hint="eastAsia" w:ascii="宋体" w:hAnsi="宋体"/>
          <w:color w:val="auto"/>
          <w:sz w:val="24"/>
          <w:highlight w:val="none"/>
          <w:u w:val="single"/>
        </w:rPr>
        <w:t xml:space="preserve">202</w:t>
      </w:r>
      <w:r>
        <w:rPr>
          <w:rFonts w:hint="eastAsia" w:ascii="宋体" w:hAnsi="宋体"/>
          <w:color w:val="auto"/>
          <w:sz w:val="24"/>
          <w:highlight w:val="none"/>
          <w:u w:val="single"/>
          <w:lang w:val="en-US" w:eastAsia="zh-CN"/>
        </w:rPr>
        <w:t xml:space="preserve">6</w:t>
      </w:r>
      <w:r>
        <w:rPr>
          <w:rFonts w:hint="eastAsia" w:ascii="宋体" w:hAnsi="宋体"/>
          <w:color w:val="auto"/>
          <w:sz w:val="24"/>
          <w:highlight w:val="none"/>
          <w:u w:val="single"/>
        </w:rPr>
        <w:t xml:space="preserve">年</w:t>
      </w:r>
      <w:r>
        <w:rPr>
          <w:rFonts w:hint="eastAsia" w:ascii="宋体" w:hAnsi="宋体"/>
          <w:color w:val="auto"/>
          <w:sz w:val="24"/>
          <w:highlight w:val="none"/>
          <w:u w:val="single"/>
          <w:lang w:val="en-US" w:eastAsia="zh-CN"/>
        </w:rPr>
        <w:t xml:space="preserve">7</w:t>
      </w:r>
      <w:r>
        <w:rPr>
          <w:rFonts w:hint="eastAsia"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17</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9</w:t>
      </w:r>
      <w:r>
        <w:rPr>
          <w:rFonts w:hint="eastAsia" w:ascii="宋体" w:hAnsi="宋体"/>
          <w:color w:val="auto"/>
          <w:sz w:val="24"/>
          <w:highlight w:val="none"/>
          <w:u w:val="single"/>
        </w:rPr>
        <w:t xml:space="preserve">时</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u w:val="single"/>
        </w:rPr>
        <w:t xml:space="preserve">分</w:t>
      </w:r>
      <w:r>
        <w:rPr>
          <w:rFonts w:hint="eastAsia" w:ascii="宋体" w:hAnsi="宋体"/>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地点：</w:t>
      </w:r>
      <w:r>
        <w:rPr>
          <w:rFonts w:hint="eastAsia" w:ascii="微软雅黑" w:hAnsi="微软雅黑"/>
          <w:color w:val="auto"/>
          <w:sz w:val="24"/>
          <w:highlight w:val="none"/>
        </w:rPr>
        <w:t xml:space="preserve">“苏采云”政府采购一体化平台系统网上开标大厅</w:t>
      </w:r>
      <w:r/>
    </w:p>
    <w:p>
      <w:pPr>
        <w:pStyle w:val="1031"/>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六、公告期限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自本公告发布之日起3个工作日。</w:t>
      </w:r>
      <w:r/>
    </w:p>
    <w:p>
      <w:pPr>
        <w:pStyle w:val="1031"/>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七、其他补充事宜</w:t>
      </w:r>
      <w:r/>
    </w:p>
    <w:p>
      <w:pPr>
        <w:pStyle w:val="1068"/>
        <w:ind w:firstLine="480"/>
        <w:spacing w:line="400" w:lineRule="exact"/>
        <w:shd w:val="clear" w:color="auto" w:fill="ffffff"/>
        <w:rPr>
          <w:color w:val="auto"/>
          <w:highlight w:val="none"/>
        </w:rPr>
      </w:pPr>
      <w:r>
        <w:rPr>
          <w:rFonts w:hint="eastAsia"/>
          <w:color w:val="auto"/>
          <w:highlight w:val="none"/>
        </w:rPr>
        <w:t xml:space="preserve">1.本项目采用“不见面”交易方式，请供应商认真学习常州市政府采购网发布的相关操作手册，办理CA认证证书、进行“苏采云”平台注册绑定，并认真核实数字认证证书情况确认是否符合本项目电子化采购流程要求。</w:t>
      </w:r>
      <w:r/>
    </w:p>
    <w:p>
      <w:pPr>
        <w:pStyle w:val="1068"/>
        <w:ind w:firstLine="480"/>
        <w:spacing w:line="400" w:lineRule="exact"/>
        <w:shd w:val="clear" w:color="auto" w:fill="ffffff"/>
        <w:rPr>
          <w:color w:val="auto"/>
          <w:highlight w:val="none"/>
        </w:rPr>
      </w:pPr>
      <w:r>
        <w:rPr>
          <w:rFonts w:hint="eastAsia"/>
          <w:color w:val="auto"/>
          <w:highlight w:val="none"/>
        </w:rPr>
        <w:t xml:space="preserve">技术支持服务热线   0519-85588210</w:t>
      </w:r>
      <w:r/>
    </w:p>
    <w:p>
      <w:pPr>
        <w:pStyle w:val="1068"/>
        <w:ind w:firstLine="480"/>
        <w:spacing w:line="400" w:lineRule="exact"/>
        <w:shd w:val="clear" w:color="auto" w:fill="ffffff"/>
        <w:rPr>
          <w:color w:val="auto"/>
          <w:highlight w:val="none"/>
        </w:rPr>
      </w:pPr>
      <w:r>
        <w:rPr>
          <w:rFonts w:hint="eastAsia"/>
          <w:color w:val="auto"/>
          <w:highlight w:val="none"/>
        </w:rPr>
        <w:t xml:space="preserve">CA认证证书办理联系电话   0519-85588120</w:t>
      </w:r>
      <w:r/>
    </w:p>
    <w:p>
      <w:pPr>
        <w:pStyle w:val="1068"/>
        <w:ind w:firstLine="480"/>
        <w:spacing w:line="400" w:lineRule="exact"/>
        <w:shd w:val="clear" w:color="auto" w:fill="ffffff"/>
        <w:rPr>
          <w:color w:val="auto"/>
          <w:highlight w:val="none"/>
        </w:rPr>
      </w:pPr>
      <w:r>
        <w:rPr>
          <w:rFonts w:hint="eastAsia"/>
          <w:color w:val="auto"/>
          <w:highlight w:val="none"/>
        </w:rPr>
        <w:t xml:space="preserve">1.1办理CA认证证书</w:t>
      </w:r>
      <w:r/>
    </w:p>
    <w:p>
      <w:pPr>
        <w:pStyle w:val="1068"/>
        <w:ind w:firstLine="480"/>
        <w:spacing w:line="400" w:lineRule="exact"/>
        <w:shd w:val="clear" w:color="auto" w:fill="ffffff"/>
        <w:rPr>
          <w:color w:val="auto"/>
          <w:highlight w:val="none"/>
        </w:rPr>
      </w:pPr>
      <w:r>
        <w:rPr>
          <w:rFonts w:hint="eastAsia"/>
          <w:color w:val="auto"/>
          <w:highlight w:val="none"/>
        </w:rPr>
        <w:t xml:space="preserve">供应商登录常州市政府采购网“下载中心”下载并查阅 “江苏省政府采购数字证书CA及电子签章办理指南”，按照程序要求办理。因供应商完成注册并办理CA证书需要一定时间,请提前办理好相关手续,逾期未成功下载采购文件的责任由供应商自行承担。</w:t>
      </w:r>
      <w:r/>
    </w:p>
    <w:p>
      <w:pPr>
        <w:pStyle w:val="1068"/>
        <w:ind w:firstLine="480"/>
        <w:spacing w:line="400" w:lineRule="exact"/>
        <w:shd w:val="clear" w:color="auto" w:fill="ffffff"/>
        <w:rPr>
          <w:color w:val="auto"/>
          <w:highlight w:val="none"/>
        </w:rPr>
      </w:pPr>
      <w:r>
        <w:rPr>
          <w:rFonts w:hint="eastAsia"/>
          <w:color w:val="auto"/>
          <w:highlight w:val="none"/>
        </w:rPr>
        <w:t xml:space="preserve">1.2注册</w:t>
      </w:r>
      <w:r/>
    </w:p>
    <w:p>
      <w:pPr>
        <w:pStyle w:val="1068"/>
        <w:ind w:firstLine="480"/>
        <w:spacing w:line="400" w:lineRule="exact"/>
        <w:shd w:val="clear" w:color="auto" w:fill="ffffff"/>
        <w:rPr>
          <w:color w:val="auto"/>
          <w:highlight w:val="none"/>
        </w:rPr>
      </w:pPr>
      <w:r>
        <w:rPr>
          <w:rFonts w:hint="eastAsia"/>
          <w:color w:val="auto"/>
          <w:highlight w:val="none"/>
        </w:rPr>
        <w:t xml:space="preserve">供应商登录常州市政府采购网-下载中心-“苏采云”系统供应商操作手册”下载相关操作手册，查阅后进行自助注册。</w:t>
      </w:r>
      <w:r/>
    </w:p>
    <w:p>
      <w:pPr>
        <w:pStyle w:val="1068"/>
        <w:ind w:firstLine="480"/>
        <w:spacing w:line="400" w:lineRule="exact"/>
        <w:shd w:val="clear" w:color="auto" w:fill="ffffff"/>
        <w:rPr>
          <w:color w:val="auto"/>
          <w:highlight w:val="none"/>
        </w:rPr>
      </w:pPr>
      <w:r>
        <w:rPr>
          <w:rFonts w:hint="eastAsia"/>
          <w:color w:val="auto"/>
          <w:highlight w:val="none"/>
        </w:rPr>
        <w:t xml:space="preserve">1.3控件、客户端下载</w:t>
      </w:r>
      <w:r/>
    </w:p>
    <w:p>
      <w:pPr>
        <w:pStyle w:val="1068"/>
        <w:ind w:firstLine="480"/>
        <w:spacing w:line="400" w:lineRule="exact"/>
        <w:shd w:val="clear" w:color="auto" w:fill="ffffff"/>
        <w:rPr>
          <w:color w:val="auto"/>
          <w:highlight w:val="none"/>
        </w:rPr>
      </w:pPr>
      <w:r>
        <w:rPr>
          <w:rFonts w:hint="eastAsia"/>
          <w:color w:val="auto"/>
          <w:highlight w:val="none"/>
        </w:rPr>
        <w:t xml:space="preserve">供应商登录“苏采云”“驱动中心”下载相关控件和客户端。</w:t>
      </w:r>
      <w:r/>
    </w:p>
    <w:p>
      <w:pPr>
        <w:pStyle w:val="1068"/>
        <w:ind w:firstLine="480"/>
        <w:spacing w:line="400" w:lineRule="exact"/>
        <w:shd w:val="clear" w:color="auto" w:fill="ffffff"/>
        <w:rPr>
          <w:color w:val="auto"/>
          <w:highlight w:val="none"/>
        </w:rPr>
      </w:pPr>
      <w:r>
        <w:rPr>
          <w:rFonts w:hint="eastAsia"/>
          <w:color w:val="auto"/>
          <w:highlight w:val="none"/>
        </w:rPr>
        <w:t xml:space="preserve">1.4 获取电子采购文件</w:t>
      </w:r>
      <w:r/>
    </w:p>
    <w:p>
      <w:pPr>
        <w:pStyle w:val="1068"/>
        <w:ind w:firstLine="480"/>
        <w:spacing w:line="400" w:lineRule="exact"/>
        <w:shd w:val="clear" w:color="auto" w:fill="ffffff"/>
        <w:rPr>
          <w:color w:val="auto"/>
          <w:highlight w:val="none"/>
        </w:rPr>
      </w:pPr>
      <w:r>
        <w:rPr>
          <w:rFonts w:hint="eastAsia"/>
          <w:color w:val="auto"/>
          <w:highlight w:val="none"/>
        </w:rPr>
        <w:t xml:space="preserve">供应商持CA数字认证证书登录“苏采云”获取电子采购文件。未在规定期限内通过“苏采云”获取采购文件的响应无效。</w:t>
      </w:r>
      <w:r/>
    </w:p>
    <w:p>
      <w:pPr>
        <w:pStyle w:val="1068"/>
        <w:ind w:firstLine="480"/>
        <w:spacing w:line="400" w:lineRule="exact"/>
        <w:shd w:val="clear" w:color="auto" w:fill="ffffff"/>
        <w:rPr>
          <w:color w:val="auto"/>
          <w:highlight w:val="none"/>
        </w:rPr>
      </w:pPr>
      <w:r>
        <w:rPr>
          <w:rFonts w:hint="eastAsia"/>
          <w:color w:val="auto"/>
          <w:highlight w:val="none"/>
        </w:rPr>
        <w:t xml:space="preserve">1.5编制电子投标（响应）文件</w:t>
      </w:r>
      <w:r/>
    </w:p>
    <w:p>
      <w:pPr>
        <w:pStyle w:val="1068"/>
        <w:ind w:firstLine="480"/>
        <w:spacing w:line="400" w:lineRule="exact"/>
        <w:shd w:val="clear" w:color="auto" w:fill="ffffff"/>
        <w:rPr>
          <w:color w:val="auto"/>
          <w:highlight w:val="none"/>
        </w:rPr>
      </w:pPr>
      <w:r>
        <w:rPr>
          <w:rFonts w:hint="eastAsia"/>
          <w:color w:val="auto"/>
          <w:highlight w:val="none"/>
        </w:rPr>
        <w:t xml:space="preserve">供应商必须通过“苏采云”投标（响应）文件制作客户端”制作并使用CA证书加密上传投标（响应）文件，除上述方式之外，不接受供应商以纸质文件以及其他任何方式提交的投标（响应）文件。如无法按照要求在电子投标（响应）文件中加盖电子签章和加密，请及时通过技术支持服务热线联系技术人员。</w:t>
      </w:r>
      <w:r/>
    </w:p>
    <w:p>
      <w:pPr>
        <w:pStyle w:val="1068"/>
        <w:ind w:firstLine="480"/>
        <w:spacing w:line="400" w:lineRule="exact"/>
        <w:shd w:val="clear" w:color="auto" w:fill="ffffff"/>
        <w:rPr>
          <w:color w:val="auto"/>
          <w:highlight w:val="none"/>
        </w:rPr>
      </w:pPr>
      <w:r>
        <w:rPr>
          <w:rFonts w:hint="eastAsia"/>
          <w:color w:val="auto"/>
          <w:highlight w:val="none"/>
        </w:rPr>
        <w:t xml:space="preserve">1.6提交电子投标（响应）文件</w:t>
      </w:r>
      <w:r/>
    </w:p>
    <w:p>
      <w:pPr>
        <w:pStyle w:val="1068"/>
        <w:ind w:firstLine="480"/>
        <w:spacing w:line="400" w:lineRule="exact"/>
        <w:shd w:val="clear" w:color="auto" w:fill="ffffff"/>
        <w:rPr>
          <w:color w:val="auto"/>
          <w:highlight w:val="none"/>
        </w:rPr>
      </w:pPr>
      <w:r>
        <w:rPr>
          <w:rFonts w:hint="eastAsia"/>
          <w:color w:val="auto"/>
          <w:highlight w:val="none"/>
        </w:rPr>
        <w:t xml:space="preserve">供应商应于投标（响应）截止时间（开启）前在“苏采云”提交电子投标（响应）文件，上传电子投标（响应）文件过程中请保持与互联网的连接畅通。</w:t>
      </w:r>
      <w:r/>
    </w:p>
    <w:p>
      <w:pPr>
        <w:pStyle w:val="1068"/>
        <w:ind w:firstLine="480"/>
        <w:spacing w:line="400" w:lineRule="exact"/>
        <w:shd w:val="clear" w:color="auto" w:fill="ffffff"/>
        <w:rPr>
          <w:color w:val="auto"/>
          <w:highlight w:val="none"/>
        </w:rPr>
      </w:pPr>
      <w:r>
        <w:rPr>
          <w:rFonts w:hint="eastAsia"/>
          <w:color w:val="auto"/>
          <w:highlight w:val="none"/>
        </w:rPr>
        <w:t xml:space="preserve">1.7电子开标</w:t>
      </w:r>
      <w:r/>
    </w:p>
    <w:p>
      <w:pPr>
        <w:pStyle w:val="1068"/>
        <w:ind w:firstLine="480"/>
        <w:spacing w:line="400" w:lineRule="exact"/>
        <w:shd w:val="clear" w:color="auto" w:fill="ffffff"/>
        <w:rPr>
          <w:color w:val="auto"/>
          <w:highlight w:val="none"/>
        </w:rPr>
      </w:pPr>
      <w:r>
        <w:rPr>
          <w:rFonts w:hint="eastAsia"/>
          <w:color w:val="auto"/>
          <w:highlight w:val="none"/>
        </w:rPr>
        <w:t xml:space="preserve">供应商使用CA认证证书登录“苏采云”进行电子化不见面开标。</w:t>
      </w:r>
      <w:r/>
    </w:p>
    <w:p>
      <w:pPr>
        <w:pStyle w:val="1068"/>
        <w:ind w:firstLine="480"/>
        <w:spacing w:line="400" w:lineRule="exact"/>
        <w:shd w:val="clear" w:color="auto" w:fill="ffffff"/>
        <w:rPr>
          <w:color w:val="auto"/>
          <w:highlight w:val="none"/>
        </w:rPr>
      </w:pPr>
      <w:r>
        <w:rPr>
          <w:rFonts w:hint="eastAsia"/>
          <w:color w:val="auto"/>
          <w:highlight w:val="none"/>
        </w:rPr>
        <w:t xml:space="preserve">1.8注意事项</w:t>
      </w:r>
      <w:r/>
    </w:p>
    <w:p>
      <w:pPr>
        <w:pStyle w:val="1068"/>
        <w:ind w:firstLine="480"/>
        <w:spacing w:line="400" w:lineRule="exact"/>
        <w:shd w:val="clear" w:color="auto" w:fill="ffffff"/>
        <w:rPr>
          <w:color w:val="auto"/>
          <w:highlight w:val="none"/>
        </w:rPr>
      </w:pPr>
      <w:r>
        <w:rPr>
          <w:rFonts w:hint="eastAsia"/>
          <w:color w:val="auto"/>
          <w:highlight w:val="none"/>
        </w:rPr>
        <w:t xml:space="preserve">1）有关本次招标的事项若存在变动或修改，敬请及时关注常州市政府采购网发布的更正公告。</w:t>
      </w:r>
      <w:r/>
    </w:p>
    <w:p>
      <w:pPr>
        <w:pStyle w:val="1068"/>
        <w:ind w:firstLine="480"/>
        <w:spacing w:line="400" w:lineRule="exact"/>
        <w:shd w:val="clear" w:color="auto" w:fill="ffffff"/>
        <w:rPr>
          <w:color w:val="auto"/>
          <w:highlight w:val="none"/>
        </w:rPr>
      </w:pPr>
      <w:r>
        <w:rPr>
          <w:rFonts w:hint="eastAsia"/>
          <w:color w:val="auto"/>
          <w:highlight w:val="none"/>
        </w:rPr>
        <w:t xml:space="preserve">2）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响应）人自行承担。</w:t>
      </w:r>
      <w:r/>
    </w:p>
    <w:p>
      <w:pPr>
        <w:pStyle w:val="1068"/>
        <w:ind w:firstLine="480"/>
        <w:spacing w:line="400" w:lineRule="exact"/>
        <w:shd w:val="clear" w:color="auto" w:fill="ffffff"/>
        <w:rPr>
          <w:color w:val="auto"/>
          <w:highlight w:val="none"/>
        </w:rPr>
      </w:pPr>
      <w:r>
        <w:rPr>
          <w:rFonts w:hint="eastAsia"/>
          <w:color w:val="auto"/>
          <w:highlight w:val="none"/>
        </w:rPr>
        <w:t xml:space="preserve">3）如潜在供应商未按上述要求操作，将自行承担所产生的风险。</w:t>
      </w:r>
      <w:r/>
    </w:p>
    <w:p>
      <w:pPr>
        <w:pStyle w:val="1068"/>
        <w:ind w:firstLine="480"/>
        <w:spacing w:line="400" w:lineRule="exact"/>
        <w:shd w:val="clear" w:color="auto" w:fill="ffffff"/>
        <w:rPr>
          <w:color w:val="auto"/>
          <w:highlight w:val="none"/>
        </w:rPr>
      </w:pPr>
      <w:r>
        <w:rPr>
          <w:rFonts w:hint="eastAsia"/>
          <w:color w:val="auto"/>
          <w:highlight w:val="none"/>
        </w:rPr>
        <w:t xml:space="preserve">2.关于常州市中小企业政府采购信用融资：</w:t>
      </w:r>
      <w:r/>
    </w:p>
    <w:p>
      <w:pPr>
        <w:pStyle w:val="1068"/>
        <w:ind w:firstLine="480"/>
        <w:spacing w:line="400" w:lineRule="exact"/>
        <w:shd w:val="clear" w:color="auto" w:fill="ffffff"/>
        <w:rPr>
          <w:color w:val="auto"/>
          <w:highlight w:val="none"/>
        </w:rPr>
      </w:pPr>
      <w:r>
        <w:rPr>
          <w:rFonts w:hint="eastAsia"/>
          <w:color w:val="auto"/>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31"/>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八、凡对本次采购提出询问，请按以下方式联系。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江苏省常州技师学院</w:t>
      </w:r>
      <w:r/>
    </w:p>
    <w:p>
      <w:pPr>
        <w:ind w:firstLine="480"/>
        <w:jc w:val="left"/>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highlight w:val="none"/>
        </w:rPr>
        <w:t xml:space="preserve">地  </w:t>
      </w:r>
      <w:r>
        <w:rPr>
          <w:rFonts w:hint="eastAsia" w:ascii="宋体" w:hAnsi="宋体" w:cs="宋体"/>
          <w:color w:val="auto"/>
          <w:sz w:val="24"/>
          <w:highlight w:val="none"/>
          <w:lang w:eastAsia="zh-CN"/>
        </w:rPr>
        <w:t xml:space="preserve">址：江苏省常州市新北区新桥镇嫩江路8号</w:t>
      </w:r>
      <w:r/>
    </w:p>
    <w:p>
      <w:pPr>
        <w:ind w:firstLine="480"/>
        <w:jc w:val="left"/>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联系方式：姚老师  0519-81162006</w:t>
      </w:r>
      <w:r/>
    </w:p>
    <w:p>
      <w:pPr>
        <w:pStyle w:val="1047"/>
        <w:rPr>
          <w:color w:val="auto"/>
          <w:highlight w:val="none"/>
        </w:rPr>
      </w:pPr>
      <w:r>
        <w:rPr>
          <w:color w:val="auto"/>
          <w:highlight w:val="none"/>
        </w:rPr>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  称：常州中采招投标有限公司</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  址：钟楼区玉龙南路280号常州大数据产业园2号楼19楼</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联系方式：0519-86661066</w:t>
      </w:r>
      <w:r/>
    </w:p>
    <w:p>
      <w:pPr>
        <w:pStyle w:val="1047"/>
        <w:rPr>
          <w:color w:val="auto"/>
          <w:highlight w:val="none"/>
        </w:rPr>
      </w:pPr>
      <w:r>
        <w:rPr>
          <w:color w:val="auto"/>
          <w:highlight w:val="none"/>
        </w:rPr>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val="en-US" w:eastAsia="zh-CN"/>
        </w:rPr>
        <w:t xml:space="preserve">戴</w:t>
      </w:r>
      <w:r>
        <w:rPr>
          <w:rFonts w:hint="eastAsia" w:ascii="宋体" w:hAnsi="宋体" w:cs="宋体"/>
          <w:color w:val="auto"/>
          <w:sz w:val="24"/>
          <w:highlight w:val="none"/>
        </w:rPr>
        <w:t xml:space="preserve">女士</w:t>
      </w:r>
      <w:r/>
    </w:p>
    <w:p>
      <w:pPr>
        <w:pStyle w:val="1047"/>
        <w:ind w:firstLine="480"/>
        <w:rPr>
          <w:color w:val="auto"/>
          <w:highlight w:val="none"/>
        </w:rPr>
      </w:pPr>
      <w:r>
        <w:rPr>
          <w:rFonts w:hint="eastAsia"/>
          <w:color w:val="auto"/>
          <w:highlight w:val="none"/>
        </w:rPr>
        <w:t xml:space="preserve">电  话：0519-86661067</w:t>
      </w:r>
      <w:r/>
    </w:p>
    <w:p>
      <w:pPr>
        <w:rPr>
          <w:b/>
          <w:color w:val="auto"/>
          <w:sz w:val="36"/>
          <w:szCs w:val="36"/>
          <w:highlight w:val="none"/>
        </w:rPr>
      </w:pPr>
      <w:r/>
      <w:bookmarkStart w:id="17" w:name="_Toc226965856"/>
      <w:r/>
      <w:bookmarkStart w:id="18" w:name="_Toc305158854"/>
      <w:r/>
      <w:bookmarkStart w:id="19" w:name="_Toc195842950"/>
      <w:r/>
      <w:bookmarkStart w:id="20" w:name="_Toc127151777"/>
      <w:r/>
      <w:bookmarkStart w:id="21" w:name="_Toc305158928"/>
      <w:r/>
      <w:bookmarkStart w:id="22" w:name="_Toc150774783"/>
      <w:r/>
      <w:bookmarkStart w:id="23" w:name="_Toc127161488"/>
      <w:r/>
      <w:bookmarkStart w:id="24" w:name="_Toc353825548"/>
      <w:r/>
      <w:bookmarkStart w:id="25" w:name="_Toc265228423"/>
      <w:r/>
      <w:bookmarkStart w:id="26" w:name="_Toc512937850"/>
      <w:r/>
      <w:bookmarkStart w:id="27" w:name="_Toc264969275"/>
      <w:r/>
      <w:bookmarkStart w:id="28" w:name="_Toc353873938"/>
      <w:r/>
      <w:bookmarkStart w:id="29" w:name="_Toc28359085"/>
      <w:r/>
      <w:bookmarkStart w:id="30" w:name="_Toc28359008"/>
      <w:r/>
      <w:bookmarkStart w:id="31" w:name="_Toc35393627"/>
      <w:r/>
      <w:bookmarkStart w:id="32" w:name="_Toc35393796"/>
      <w:r>
        <w:rPr>
          <w:b/>
          <w:color w:val="auto"/>
          <w:sz w:val="36"/>
          <w:szCs w:val="36"/>
          <w:highlight w:val="none"/>
        </w:rPr>
        <w:br w:type="page" w:clear="all"/>
      </w:r>
      <w:r/>
    </w:p>
    <w:p>
      <w:pPr>
        <w:jc w:val="center"/>
        <w:spacing w:line="360" w:lineRule="auto"/>
        <w:rPr>
          <w:b/>
          <w:color w:val="auto"/>
          <w:sz w:val="36"/>
          <w:szCs w:val="36"/>
          <w:highlight w:val="none"/>
        </w:rPr>
        <w:outlineLvl w:val="0"/>
      </w:pPr>
      <w:r/>
      <w:bookmarkStart w:id="33" w:name="_Toc193985579"/>
      <w:r>
        <w:rPr>
          <w:b/>
          <w:color w:val="auto"/>
          <w:sz w:val="36"/>
          <w:szCs w:val="36"/>
          <w:highlight w:val="none"/>
        </w:rPr>
        <w:t xml:space="preserve">第二章   供应商须知</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33"/>
      <w:r/>
      <w:r/>
    </w:p>
    <w:p>
      <w:pPr>
        <w:pStyle w:val="1031"/>
        <w:spacing w:before="0" w:line="360" w:lineRule="auto"/>
        <w:tabs>
          <w:tab w:val="center" w:pos="4592" w:leader="none"/>
          <w:tab w:val="left" w:pos="7860" w:leader="none"/>
        </w:tabs>
        <w:rPr>
          <w:rFonts w:ascii="Times New Roman" w:hAnsi="Times New Roman" w:eastAsia="宋体"/>
          <w:b w:val="0"/>
          <w:color w:val="auto"/>
          <w:sz w:val="28"/>
          <w:highlight w:val="none"/>
        </w:rPr>
      </w:pPr>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rFonts w:hint="eastAsia" w:ascii="MS Gothic" w:hAnsi="MS Gothic" w:eastAsia="MS Gothic" w:cs="MS Gothic"/>
          <w:b/>
          <w:color w:val="auto"/>
          <w:sz w:val="24"/>
          <w:highlight w:val="none"/>
        </w:rPr>
        <w:t xml:space="preserve">■</w:t>
      </w:r>
      <w:r>
        <w:rPr>
          <w:color w:val="auto"/>
          <w:sz w:val="24"/>
          <w:highlight w:val="none"/>
        </w:rPr>
        <w:t xml:space="preserve">”的选项意为适用于本项目，标记“</w:t>
      </w:r>
      <w:r>
        <w:rPr>
          <w:rFonts w:hint="eastAsia"/>
          <w:color w:val="auto"/>
          <w:highlight w:val="none"/>
        </w:rPr>
        <w:t xml:space="preserve">□</w:t>
      </w:r>
      <w:r>
        <w:rPr>
          <w:color w:val="auto"/>
          <w:sz w:val="24"/>
          <w:highlight w:val="none"/>
        </w:rPr>
        <w:t xml:space="preserve">”的选项意为不适用于本项目。</w:t>
      </w:r>
      <w:r/>
    </w:p>
    <w:tbl>
      <w:tblPr>
        <w:tblStyle w:val="10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480"/>
        <w:gridCol w:w="6841"/>
      </w:tblGrid>
      <w:tr>
        <w:trPr>
          <w:jc w:val="center"/>
          <w:trHeight w:val="594"/>
          <w:tblHeader/>
        </w:trPr>
        <w:tc>
          <w:tcPr>
            <w:tcW w:w="825"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480"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6841"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W w:w="825" w:type="dxa"/>
            <w:vAlign w:val="center"/>
            <w:textDirection w:val="lrTb"/>
            <w:noWrap w:val="false"/>
          </w:tcPr>
          <w:p>
            <w:pPr>
              <w:pStyle w:val="105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2.2</w:t>
            </w:r>
            <w:r/>
          </w:p>
        </w:tc>
        <w:tc>
          <w:tcPr>
            <w:tcW w:w="1480"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6841"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服务</w:t>
            </w:r>
            <w:r/>
          </w:p>
          <w:p>
            <w:pPr>
              <w:jc w:val="left"/>
              <w:rPr>
                <w:color w:val="auto"/>
                <w:sz w:val="24"/>
                <w:highlight w:val="none"/>
              </w:rPr>
            </w:pPr>
            <w:r>
              <w:rPr>
                <w:rFonts w:hint="eastAsia"/>
                <w:color w:val="auto"/>
                <w:highlight w:val="none"/>
              </w:rPr>
              <w:t xml:space="preserve">□</w:t>
            </w:r>
            <w:r>
              <w:rPr>
                <w:color w:val="auto"/>
                <w:sz w:val="24"/>
                <w:highlight w:val="none"/>
              </w:rPr>
              <w:t xml:space="preserve">货物</w:t>
            </w:r>
            <w:r/>
          </w:p>
          <w:p>
            <w:pPr>
              <w:jc w:val="left"/>
              <w:rPr>
                <w:color w:val="auto"/>
                <w:sz w:val="24"/>
                <w:highlight w:val="none"/>
                <w:u w:val="single"/>
              </w:rPr>
            </w:pPr>
            <w:r>
              <w:rPr>
                <w:rFonts w:hint="eastAsia"/>
                <w:color w:val="auto"/>
                <w:sz w:val="24"/>
                <w:highlight w:val="none"/>
              </w:rPr>
              <w:t xml:space="preserve">□工程</w:t>
            </w:r>
            <w:r/>
          </w:p>
        </w:tc>
      </w:tr>
      <w:tr>
        <w:trPr>
          <w:jc w:val="center"/>
          <w:trHeight w:val="20"/>
        </w:trPr>
        <w:tc>
          <w:tcPr>
            <w:tcW w:w="825" w:type="dxa"/>
            <w:vAlign w:val="center"/>
            <w:textDirection w:val="lrTb"/>
            <w:noWrap w:val="false"/>
          </w:tcPr>
          <w:p>
            <w:pPr>
              <w:pStyle w:val="105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2.3</w:t>
            </w:r>
            <w:r/>
          </w:p>
        </w:tc>
        <w:tc>
          <w:tcPr>
            <w:tcW w:w="1480"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6841"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w:t>
            </w:r>
            <w:r/>
          </w:p>
          <w:p>
            <w:pPr>
              <w:jc w:val="left"/>
              <w:rPr>
                <w:color w:val="auto"/>
                <w:sz w:val="24"/>
                <w:highlight w:val="none"/>
              </w:rPr>
            </w:pPr>
            <w:r>
              <w:rPr>
                <w:rFonts w:hint="eastAsia"/>
                <w:color w:val="auto"/>
                <w:highlight w:val="none"/>
              </w:rPr>
              <w:t xml:space="preserve">□</w:t>
            </w:r>
            <w:r>
              <w:rPr>
                <w:color w:val="auto"/>
                <w:sz w:val="24"/>
                <w:highlight w:val="none"/>
              </w:rPr>
              <w:t xml:space="preserve">是</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否</w:t>
            </w:r>
            <w:r/>
          </w:p>
        </w:tc>
      </w:tr>
      <w:tr>
        <w:trPr>
          <w:jc w:val="center"/>
          <w:trHeight w:val="20"/>
        </w:trPr>
        <w:tc>
          <w:tcPr>
            <w:tcW w:w="825" w:type="dxa"/>
            <w:vAlign w:val="center"/>
            <w:vMerge w:val="restart"/>
            <w:textDirection w:val="lrTb"/>
            <w:noWrap w:val="false"/>
          </w:tcPr>
          <w:p>
            <w:pPr>
              <w:pStyle w:val="105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3.1</w:t>
            </w:r>
            <w:r/>
          </w:p>
        </w:tc>
        <w:tc>
          <w:tcPr>
            <w:tcW w:w="1480"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6841" w:type="dxa"/>
            <w:vAlign w:val="center"/>
            <w:textDirection w:val="lrTb"/>
            <w:noWrap w:val="false"/>
          </w:tcPr>
          <w:p>
            <w:pPr>
              <w:jc w:val="left"/>
              <w:rPr>
                <w:color w:val="auto"/>
                <w:sz w:val="24"/>
                <w:highlight w:val="none"/>
              </w:rPr>
            </w:pPr>
            <w:r>
              <w:rPr>
                <w:rFonts w:hint="eastAsia"/>
                <w:color w:val="auto"/>
                <w:highlight w:val="none"/>
              </w:rPr>
              <w:t xml:space="preserve">□</w:t>
            </w:r>
            <w:r>
              <w:rPr>
                <w:color w:val="auto"/>
                <w:sz w:val="24"/>
                <w:highlight w:val="none"/>
              </w:rPr>
              <w:t xml:space="preserve">不组织</w:t>
            </w:r>
            <w:r/>
          </w:p>
          <w:p>
            <w:pPr>
              <w:jc w:val="left"/>
              <w:rPr>
                <w:rFonts w:hint="eastAsia"/>
                <w:b/>
                <w:bCs/>
                <w:color w:val="auto"/>
                <w:sz w:val="24"/>
                <w:highlight w:val="none"/>
                <w:lang w:eastAsia="zh-CN" w:bidi="ar"/>
              </w:rPr>
            </w:pPr>
            <w:r>
              <w:rPr>
                <w:rFonts w:hint="eastAsia" w:ascii="MS Gothic" w:hAnsi="MS Gothic" w:eastAsia="MS Gothic" w:cs="MS Gothic"/>
                <w:color w:val="auto"/>
                <w:highlight w:val="none"/>
              </w:rPr>
              <w:t xml:space="preserve">■</w:t>
            </w:r>
            <w:r>
              <w:rPr>
                <w:color w:val="auto"/>
                <w:sz w:val="24"/>
                <w:highlight w:val="none"/>
              </w:rPr>
              <w:t xml:space="preserve">组织，考察时间：</w:t>
            </w:r>
            <w:r>
              <w:rPr>
                <w:rFonts w:hint="eastAsia"/>
                <w:color w:val="auto"/>
                <w:sz w:val="24"/>
                <w:highlight w:val="none"/>
                <w:u w:val="single"/>
              </w:rPr>
              <w:t xml:space="preserve">2026</w:t>
            </w:r>
            <w:r>
              <w:rPr>
                <w:color w:val="auto"/>
                <w:sz w:val="24"/>
                <w:highlight w:val="none"/>
                <w:u w:val="single"/>
                <w:lang w:bidi="ar"/>
              </w:rPr>
              <w:t xml:space="preserve">年</w:t>
            </w:r>
            <w:r>
              <w:rPr>
                <w:rFonts w:hint="eastAsia"/>
                <w:color w:val="auto"/>
                <w:sz w:val="24"/>
                <w:highlight w:val="none"/>
                <w:u w:val="single"/>
              </w:rPr>
              <w:t xml:space="preserve">7</w:t>
            </w:r>
            <w:r>
              <w:rPr>
                <w:color w:val="auto"/>
                <w:sz w:val="24"/>
                <w:highlight w:val="none"/>
                <w:u w:val="single"/>
                <w:lang w:bidi="ar"/>
              </w:rPr>
              <w:t xml:space="preserve">月</w:t>
            </w:r>
            <w:r>
              <w:rPr>
                <w:rFonts w:hint="eastAsia"/>
                <w:color w:val="auto"/>
                <w:sz w:val="24"/>
                <w:highlight w:val="none"/>
                <w:u w:val="single"/>
                <w:lang w:val="en-US" w:eastAsia="zh-CN"/>
              </w:rPr>
              <w:t xml:space="preserve">14</w:t>
            </w:r>
            <w:r>
              <w:rPr>
                <w:color w:val="auto"/>
                <w:sz w:val="24"/>
                <w:highlight w:val="none"/>
                <w:u w:val="single"/>
                <w:lang w:bidi="ar"/>
              </w:rPr>
              <w:t xml:space="preserve">日</w:t>
            </w:r>
            <w:r>
              <w:rPr>
                <w:rFonts w:hint="eastAsia"/>
                <w:color w:val="auto"/>
                <w:sz w:val="24"/>
                <w:highlight w:val="none"/>
                <w:u w:val="single"/>
                <w:lang w:val="en-US" w:eastAsia="zh-CN"/>
              </w:rPr>
              <w:t xml:space="preserve">9</w:t>
            </w:r>
            <w:r>
              <w:rPr>
                <w:color w:val="auto"/>
                <w:sz w:val="24"/>
                <w:highlight w:val="none"/>
                <w:u w:val="single"/>
                <w:lang w:bidi="ar"/>
              </w:rPr>
              <w:t xml:space="preserve">点</w:t>
            </w:r>
            <w:r>
              <w:rPr>
                <w:rFonts w:hint="eastAsia"/>
                <w:color w:val="auto"/>
                <w:sz w:val="24"/>
                <w:highlight w:val="none"/>
                <w:u w:val="single"/>
                <w:lang w:val="en-US" w:eastAsia="zh-CN"/>
              </w:rPr>
              <w:t xml:space="preserve">30</w:t>
            </w:r>
            <w:r>
              <w:rPr>
                <w:color w:val="auto"/>
                <w:sz w:val="24"/>
                <w:highlight w:val="none"/>
                <w:u w:val="single"/>
                <w:lang w:bidi="ar"/>
              </w:rPr>
              <w:t xml:space="preserve">分</w:t>
            </w:r>
            <w:r>
              <w:rPr>
                <w:rFonts w:hint="eastAsia"/>
                <w:b/>
                <w:bCs/>
                <w:color w:val="auto"/>
                <w:sz w:val="24"/>
                <w:highlight w:val="none"/>
                <w:lang w:eastAsia="zh-CN" w:bidi="ar"/>
              </w:rPr>
              <w:t xml:space="preserve">（</w:t>
            </w:r>
            <w:r>
              <w:rPr>
                <w:rFonts w:hint="eastAsia"/>
                <w:b/>
                <w:bCs/>
                <w:color w:val="auto"/>
                <w:sz w:val="24"/>
                <w:highlight w:val="none"/>
                <w:lang w:val="en-US" w:eastAsia="zh-CN" w:bidi="ar"/>
              </w:rPr>
              <w:t xml:space="preserve">本项目仅安排一次集中现场踏勘，不再另行组织补勘、二次踏勘，由此产生一切不利后果及风险由供应商自行承担。供应商未在指定踏勘时间到场参与，或已完成踏勘后要求再次现场勘查的，采购人均不予接受。</w:t>
            </w:r>
            <w:r>
              <w:rPr>
                <w:rFonts w:hint="eastAsia"/>
                <w:b/>
                <w:bCs/>
                <w:color w:val="auto"/>
                <w:sz w:val="24"/>
                <w:highlight w:val="none"/>
                <w:lang w:eastAsia="zh-CN" w:bidi="ar"/>
              </w:rPr>
              <w:t xml:space="preserve">）</w:t>
            </w:r>
            <w:r/>
          </w:p>
          <w:p>
            <w:pPr>
              <w:jc w:val="left"/>
              <w:rPr>
                <w:rFonts w:hint="default"/>
                <w:b/>
                <w:bCs/>
                <w:color w:val="auto"/>
                <w:sz w:val="24"/>
                <w:highlight w:val="none"/>
                <w:lang w:val="en-US" w:eastAsia="zh-CN" w:bidi="ar"/>
              </w:rPr>
            </w:pPr>
            <w:r>
              <w:rPr>
                <w:rFonts w:hint="eastAsia"/>
                <w:b/>
                <w:bCs/>
                <w:color w:val="auto"/>
                <w:sz w:val="24"/>
                <w:highlight w:val="none"/>
                <w:lang w:val="en-US" w:eastAsia="zh-CN" w:bidi="ar"/>
              </w:rPr>
              <w:t xml:space="preserve">参与踏勘人员须现场提交以下</w:t>
            </w:r>
            <w:r>
              <w:rPr>
                <w:rFonts w:hint="eastAsia"/>
                <w:b/>
                <w:bCs/>
                <w:color w:val="auto"/>
                <w:sz w:val="24"/>
                <w:highlight w:val="none"/>
                <w:lang w:eastAsia="zh-CN" w:bidi="ar"/>
              </w:rPr>
              <w:t xml:space="preserve">材料</w:t>
            </w:r>
            <w:r>
              <w:rPr>
                <w:rFonts w:hint="eastAsia"/>
                <w:b/>
                <w:bCs/>
                <w:color w:val="auto"/>
                <w:sz w:val="24"/>
                <w:highlight w:val="none"/>
                <w:lang w:val="en-US" w:eastAsia="zh-CN" w:bidi="ar"/>
              </w:rPr>
              <w:t xml:space="preserve">加盖供应商公章</w:t>
            </w:r>
            <w:r>
              <w:rPr>
                <w:rFonts w:hint="eastAsia"/>
                <w:b/>
                <w:bCs/>
                <w:color w:val="auto"/>
                <w:sz w:val="24"/>
                <w:highlight w:val="none"/>
                <w:lang w:eastAsia="zh-CN" w:bidi="ar"/>
              </w:rPr>
              <w:t xml:space="preserve">：授权委托书、</w:t>
            </w:r>
            <w:r>
              <w:rPr>
                <w:rFonts w:hint="eastAsia"/>
                <w:b/>
                <w:bCs/>
                <w:color w:val="auto"/>
                <w:sz w:val="24"/>
                <w:highlight w:val="none"/>
                <w:lang w:val="en-US" w:eastAsia="zh-CN" w:bidi="ar"/>
              </w:rPr>
              <w:t xml:space="preserve">被授权人</w:t>
            </w:r>
            <w:r>
              <w:rPr>
                <w:rFonts w:hint="eastAsia"/>
                <w:b/>
                <w:bCs/>
                <w:color w:val="auto"/>
                <w:sz w:val="24"/>
                <w:highlight w:val="none"/>
                <w:lang w:eastAsia="zh-CN" w:bidi="ar"/>
              </w:rPr>
              <w:t xml:space="preserve">身份证原件及复印件、法定代表人身份证复印件、报名成功确认函。</w:t>
            </w:r>
            <w:r/>
          </w:p>
          <w:p>
            <w:pPr>
              <w:pStyle w:val="1053"/>
              <w:rPr>
                <w:rFonts w:ascii="Times New Roman" w:hAnsi="Times New Roman"/>
                <w:color w:val="auto"/>
                <w:sz w:val="24"/>
                <w:highlight w:val="none"/>
              </w:rPr>
            </w:pPr>
            <w:r>
              <w:rPr>
                <w:rFonts w:hint="default" w:ascii="Times New Roman" w:hAnsi="Times New Roman"/>
                <w:color w:val="auto"/>
                <w:sz w:val="24"/>
                <w:highlight w:val="none"/>
              </w:rPr>
              <w:t xml:space="preserve">考察地点：图文楼一楼</w:t>
            </w:r>
            <w:r>
              <w:rPr>
                <w:rFonts w:ascii="Times New Roman" w:hAnsi="Times New Roman"/>
                <w:color w:val="auto"/>
                <w:sz w:val="24"/>
                <w:highlight w:val="none"/>
              </w:rPr>
              <w:t xml:space="preserve">。</w:t>
            </w:r>
            <w:r/>
          </w:p>
          <w:p>
            <w:pPr>
              <w:pStyle w:val="1053"/>
              <w:rPr>
                <w:rFonts w:hint="default" w:ascii="Times New Roman" w:hAnsi="Times New Roman" w:eastAsia="宋体"/>
                <w:color w:val="auto"/>
                <w:sz w:val="24"/>
                <w:highlight w:val="none"/>
                <w:lang w:val="en-US" w:eastAsia="zh-CN"/>
              </w:rPr>
            </w:pPr>
            <w:r>
              <w:rPr>
                <w:rFonts w:hint="eastAsia" w:ascii="Times New Roman" w:hAnsi="Times New Roman"/>
                <w:color w:val="auto"/>
                <w:sz w:val="24"/>
                <w:highlight w:val="none"/>
                <w:lang w:val="en-US" w:eastAsia="zh-CN"/>
              </w:rPr>
              <w:t xml:space="preserve">联系人：戴老师 13915002101</w:t>
            </w:r>
            <w:r>
              <w:rPr>
                <w:rFonts w:hint="eastAsia" w:ascii="Times New Roman" w:hAnsi="Times New Roman"/>
                <w:b/>
                <w:bCs/>
                <w:color w:val="auto"/>
                <w:sz w:val="24"/>
                <w:highlight w:val="none"/>
                <w:lang w:val="en-US" w:eastAsia="zh-CN"/>
              </w:rPr>
              <w:t xml:space="preserve">（计划参与现场踏勘的供应商，须于踏勘前一日联系戴老师完成入校申请手续办理。）</w:t>
            </w:r>
            <w:r/>
          </w:p>
        </w:tc>
      </w:tr>
      <w:tr>
        <w:trPr>
          <w:jc w:val="center"/>
          <w:trHeight w:val="20"/>
        </w:trPr>
        <w:tc>
          <w:tcPr>
            <w:tcW w:w="825" w:type="dxa"/>
            <w:vAlign w:val="center"/>
            <w:vMerge w:val="continue"/>
            <w:textDirection w:val="lrTb"/>
            <w:noWrap w:val="false"/>
          </w:tcPr>
          <w:p>
            <w:pPr>
              <w:pStyle w:val="105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480" w:type="dxa"/>
            <w:vAlign w:val="center"/>
            <w:textDirection w:val="lrTb"/>
            <w:noWrap w:val="false"/>
          </w:tcPr>
          <w:p>
            <w:pPr>
              <w:jc w:val="center"/>
              <w:rPr>
                <w:color w:val="auto"/>
                <w:sz w:val="24"/>
                <w:highlight w:val="none"/>
              </w:rPr>
            </w:pPr>
            <w:r>
              <w:rPr>
                <w:color w:val="auto"/>
                <w:sz w:val="24"/>
                <w:highlight w:val="none"/>
              </w:rPr>
              <w:t xml:space="preserve">磋商前答疑会</w:t>
            </w:r>
            <w:r/>
          </w:p>
        </w:tc>
        <w:tc>
          <w:tcPr>
            <w:tcW w:w="6841" w:type="dxa"/>
            <w:vAlign w:val="center"/>
            <w:textDirection w:val="lrTb"/>
            <w:noWrap w:val="false"/>
          </w:tcPr>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不召开</w:t>
            </w:r>
            <w:r/>
          </w:p>
          <w:p>
            <w:pPr>
              <w:jc w:val="left"/>
              <w:rPr>
                <w:color w:val="auto"/>
                <w:sz w:val="24"/>
                <w:highlight w:val="none"/>
              </w:rPr>
            </w:pPr>
            <w:r>
              <w:rPr>
                <w:rFonts w:hint="eastAsia"/>
                <w:color w:val="auto"/>
                <w:highlight w:val="none"/>
              </w:rPr>
              <w:t xml:space="preserve">□</w:t>
            </w:r>
            <w:r>
              <w:rPr>
                <w:color w:val="auto"/>
                <w:sz w:val="24"/>
                <w:highlight w:val="none"/>
              </w:rPr>
              <w:t xml:space="preserve">召开，召开时间：___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jc w:val="left"/>
              <w:rPr>
                <w:color w:val="auto"/>
                <w:sz w:val="24"/>
                <w:highlight w:val="none"/>
              </w:rPr>
            </w:pPr>
            <w:r>
              <w:rPr>
                <w:color w:val="auto"/>
                <w:sz w:val="24"/>
                <w:highlight w:val="none"/>
              </w:rPr>
              <w:t xml:space="preserve">召开地点：___________</w:t>
            </w:r>
            <w:r>
              <w:rPr>
                <w:rFonts w:hint="eastAsia"/>
                <w:color w:val="auto"/>
                <w:sz w:val="24"/>
                <w:highlight w:val="none"/>
              </w:rPr>
              <w:t xml:space="preserve">。</w:t>
            </w:r>
            <w:r/>
          </w:p>
        </w:tc>
      </w:tr>
      <w:tr>
        <w:trPr>
          <w:jc w:val="center"/>
          <w:trHeight w:val="1535"/>
        </w:trPr>
        <w:tc>
          <w:tcPr>
            <w:tcW w:w="825" w:type="dxa"/>
            <w:vAlign w:val="center"/>
            <w:textDirection w:val="lrTb"/>
            <w:noWrap w:val="false"/>
          </w:tcPr>
          <w:p>
            <w:pPr>
              <w:pStyle w:val="105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4.2.5</w:t>
            </w:r>
            <w:r/>
          </w:p>
        </w:tc>
        <w:tc>
          <w:tcPr>
            <w:tcW w:w="1480"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6841" w:type="dxa"/>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rFonts w:hint="eastAsia" w:ascii="宋体" w:hAnsi="宋体" w:cs="宋体"/>
                <w:color w:val="auto"/>
                <w:sz w:val="24"/>
                <w:highlight w:val="none"/>
                <w:u w:val="single"/>
              </w:rPr>
              <w:t xml:space="preserve">其他未列明行业</w:t>
            </w:r>
            <w:r>
              <w:rPr>
                <w:rFonts w:hint="eastAsia"/>
                <w:color w:val="auto"/>
                <w:sz w:val="24"/>
                <w:highlight w:val="none"/>
                <w:u w:val="single"/>
              </w:rPr>
              <w:t xml:space="preserve"> </w:t>
            </w:r>
            <w:r/>
          </w:p>
        </w:tc>
      </w:tr>
      <w:tr>
        <w:trPr>
          <w:jc w:val="center"/>
          <w:trHeight w:val="1535"/>
        </w:trPr>
        <w:tc>
          <w:tcPr>
            <w:shd w:val="clear" w:color="auto" w:fill="auto"/>
            <w:tcW w:w="825" w:type="dxa"/>
            <w:vAlign w:val="center"/>
            <w:textDirection w:val="lrTb"/>
            <w:noWrap w:val="false"/>
          </w:tcPr>
          <w:p>
            <w:pPr>
              <w:pStyle w:val="1053"/>
              <w:jc w:val="center"/>
              <w:rPr>
                <w:rFonts w:hint="default" w:ascii="宋体" w:hAnsi="宋体" w:eastAsia="宋体" w:cs="宋体"/>
                <w:color w:val="auto"/>
                <w:sz w:val="24"/>
                <w:szCs w:val="24"/>
                <w:highlight w:val="none"/>
                <w:lang w:val="en-US" w:eastAsia="zh-CN" w:bidi="ar-SA"/>
              </w:rPr>
            </w:pPr>
            <w:r>
              <w:rPr>
                <w:rFonts w:hint="eastAsia" w:ascii="Times New Roman" w:hAnsi="Times New Roman"/>
                <w:color w:val="auto"/>
                <w:sz w:val="24"/>
                <w:szCs w:val="24"/>
                <w:highlight w:val="none"/>
                <w:lang w:val="en-US" w:eastAsia="zh-CN"/>
              </w:rPr>
              <w:t xml:space="preserve">4</w:t>
            </w:r>
            <w:r>
              <w:rPr>
                <w:rFonts w:ascii="Times New Roman" w:hAnsi="Times New Roman"/>
                <w:color w:val="auto"/>
                <w:sz w:val="24"/>
                <w:szCs w:val="24"/>
                <w:highlight w:val="none"/>
              </w:rPr>
              <w:t xml:space="preserve">.9</w:t>
            </w:r>
            <w:r/>
          </w:p>
        </w:tc>
        <w:tc>
          <w:tcPr>
            <w:shd w:val="clear" w:color="auto" w:fill="auto"/>
            <w:tcW w:w="148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highlight w:val="none"/>
              </w:rPr>
              <w:t xml:space="preserve">本国产品政策支持</w:t>
            </w:r>
            <w:r/>
          </w:p>
        </w:tc>
        <w:tc>
          <w:tcPr>
            <w:shd w:val="clear" w:color="auto" w:fill="auto"/>
            <w:tcW w:w="6841"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rFonts w:hint="eastAsia"/>
                <w:color w:val="auto"/>
                <w:highlight w:val="none"/>
              </w:rPr>
              <w:t xml:space="preserve">□</w:t>
            </w:r>
            <w:r/>
            <w:r>
              <w:rPr>
                <w:rFonts w:hint="eastAsia"/>
                <w:color w:val="auto"/>
                <w:sz w:val="24"/>
                <w:highlight w:val="none"/>
              </w:rPr>
            </w:r>
            <w:r>
              <w:rPr>
                <w:rFonts w:hint="eastAsia"/>
                <w:color w:val="auto"/>
                <w:sz w:val="24"/>
                <w:highlight w:val="none"/>
              </w:rPr>
              <w:fldChar w:fldCharType="begin"/>
            </w:r>
            <w:r>
              <w:rPr>
                <w:rFonts w:hint="eastAsia"/>
                <w:color w:val="auto"/>
                <w:sz w:val="24"/>
                <w:highlight w:val="none"/>
              </w:rPr>
              <w:instrText xml:space="preserve"> eq \o \ac(□)</w:instrText>
            </w:r>
            <w:r>
              <w:rPr>
                <w:rFonts w:hint="eastAsia"/>
                <w:color w:val="auto"/>
                <w:sz w:val="24"/>
                <w:highlight w:val="none"/>
              </w:rPr>
              <w:fldChar w:fldCharType="end"/>
            </w:r>
            <w:r>
              <w:rPr>
                <w:rFonts w:hint="eastAsia"/>
                <w:color w:val="auto"/>
                <w:sz w:val="24"/>
                <w:highlight w:val="none"/>
              </w:rPr>
              <w:t xml:space="preserve">适用 </w:t>
            </w:r>
            <w:r>
              <w:rPr>
                <w:rFonts w:hint="eastAsia" w:ascii="MS Gothic" w:hAnsi="MS Gothic" w:eastAsia="MS Gothic" w:cs="MS Gothic"/>
                <w:color w:val="auto"/>
                <w:highlight w:val="none"/>
              </w:rPr>
              <w:t xml:space="preserve">■</w:t>
            </w:r>
            <w:r>
              <w:rPr>
                <w:rFonts w:hint="eastAsia"/>
                <w:color w:val="auto"/>
                <w:sz w:val="24"/>
                <w:highlight w:val="none"/>
              </w:rPr>
              <w:t xml:space="preserve">不适用。</w:t>
            </w:r>
            <w:r/>
          </w:p>
          <w:p>
            <w:pPr>
              <w:pStyle w:val="1307"/>
              <w:jc w:val="both"/>
              <w:keepLines w:val="0"/>
              <w:keepNext w:val="0"/>
              <w:spacing w:before="0" w:line="360" w:lineRule="exact"/>
              <w:shd w:val="clear" w:color="auto" w:fill="ffffff"/>
              <w:widowControl/>
              <w:rPr>
                <w:rFonts w:hint="eastAsia" w:ascii="宋体" w:hAnsi="宋体" w:eastAsia="黑体" w:cs="宋体"/>
                <w:b/>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825" w:type="dxa"/>
            <w:vAlign w:val="center"/>
            <w:textDirection w:val="lrTb"/>
            <w:noWrap w:val="false"/>
          </w:tcPr>
          <w:p>
            <w:pPr>
              <w:pStyle w:val="105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10.2</w:t>
            </w:r>
            <w:r/>
          </w:p>
        </w:tc>
        <w:tc>
          <w:tcPr>
            <w:tcW w:w="1480" w:type="dxa"/>
            <w:vAlign w:val="center"/>
            <w:textDirection w:val="lrTb"/>
            <w:noWrap w:val="false"/>
          </w:tcPr>
          <w:p>
            <w:pPr>
              <w:jc w:val="center"/>
              <w:rPr>
                <w:color w:val="auto"/>
                <w:sz w:val="24"/>
                <w:highlight w:val="none"/>
              </w:rPr>
            </w:pPr>
            <w:r>
              <w:rPr>
                <w:color w:val="auto"/>
                <w:sz w:val="24"/>
                <w:highlight w:val="none"/>
              </w:rPr>
              <w:t xml:space="preserve">报价</w:t>
            </w:r>
            <w:r/>
          </w:p>
        </w:tc>
        <w:tc>
          <w:tcPr>
            <w:tcW w:w="6841" w:type="dxa"/>
            <w:vAlign w:val="center"/>
            <w:textDirection w:val="lrTb"/>
            <w:noWrap w:val="false"/>
          </w:tcPr>
          <w:p>
            <w:pPr>
              <w:jc w:val="left"/>
              <w:rPr>
                <w:color w:val="auto"/>
                <w:sz w:val="24"/>
                <w:highlight w:val="none"/>
              </w:rPr>
            </w:pPr>
            <w:r>
              <w:rPr>
                <w:color w:val="auto"/>
                <w:sz w:val="24"/>
                <w:highlight w:val="none"/>
              </w:rPr>
              <w:t xml:space="preserve">报价的特殊规定：</w:t>
            </w:r>
            <w:r/>
          </w:p>
          <w:p>
            <w:pPr>
              <w:jc w:val="left"/>
              <w:rPr>
                <w:color w:val="auto"/>
                <w:sz w:val="24"/>
                <w:highlight w:val="none"/>
              </w:rPr>
            </w:pPr>
            <w:r>
              <w:rPr>
                <w:rFonts w:hint="eastAsia"/>
                <w:color w:val="auto"/>
                <w:highlight w:val="none"/>
              </w:rPr>
              <w:t xml:space="preserve">□</w:t>
            </w:r>
            <w:r>
              <w:rPr>
                <w:color w:val="auto"/>
                <w:sz w:val="24"/>
                <w:highlight w:val="none"/>
              </w:rPr>
              <w:t xml:space="preserve">无</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有，具体情形：</w:t>
            </w:r>
            <w:r>
              <w:rPr>
                <w:rFonts w:hint="eastAsia" w:ascii="宋体" w:hAnsi="宋体" w:cs="宋体"/>
                <w:b/>
                <w:color w:val="auto"/>
                <w:sz w:val="24"/>
                <w:highlight w:val="none"/>
                <w:u w:val="single"/>
              </w:rPr>
              <w:t xml:space="preserve">本项目采用二次报价，</w:t>
            </w:r>
            <w:r>
              <w:rPr>
                <w:rFonts w:hint="eastAsia" w:ascii="宋体" w:hAnsi="宋体" w:cs="宋体"/>
                <w:color w:val="auto"/>
                <w:sz w:val="24"/>
                <w:highlight w:val="none"/>
                <w:u w:val="single"/>
              </w:rPr>
              <w:t xml:space="preserve">磋商响应文件报价一览表的报价作为首次报价，在磋商结束后，磋商小组应当要求所有实质性响应的供应商在规定时间内提交最后报价，最后报价作为评分依据。</w:t>
            </w:r>
            <w:r/>
          </w:p>
        </w:tc>
      </w:tr>
      <w:tr>
        <w:trPr>
          <w:jc w:val="center"/>
          <w:trHeight w:val="20"/>
        </w:trPr>
        <w:tc>
          <w:tcPr>
            <w:tcW w:w="825" w:type="dxa"/>
            <w:vAlign w:val="center"/>
            <w:textDirection w:val="lrTb"/>
            <w:noWrap w:val="false"/>
          </w:tcPr>
          <w:p>
            <w:pPr>
              <w:pStyle w:val="105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11.1</w:t>
            </w:r>
            <w:r/>
          </w:p>
        </w:tc>
        <w:tc>
          <w:tcPr>
            <w:tcW w:w="1480" w:type="dxa"/>
            <w:vAlign w:val="center"/>
            <w:textDirection w:val="lrTb"/>
            <w:noWrap w:val="false"/>
          </w:tcPr>
          <w:p>
            <w:pPr>
              <w:jc w:val="center"/>
              <w:rPr>
                <w:color w:val="auto"/>
                <w:sz w:val="24"/>
                <w:highlight w:val="none"/>
              </w:rPr>
            </w:pPr>
            <w:r>
              <w:rPr>
                <w:color w:val="auto"/>
                <w:sz w:val="24"/>
                <w:highlight w:val="none"/>
              </w:rPr>
              <w:t xml:space="preserve">磋商保证金</w:t>
            </w:r>
            <w:r/>
          </w:p>
        </w:tc>
        <w:tc>
          <w:tcPr>
            <w:tcW w:w="6841"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825" w:type="dxa"/>
            <w:vAlign w:val="center"/>
            <w:textDirection w:val="lrTb"/>
            <w:noWrap w:val="false"/>
          </w:tcPr>
          <w:p>
            <w:pPr>
              <w:pStyle w:val="105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12.1</w:t>
            </w:r>
            <w:r/>
          </w:p>
        </w:tc>
        <w:tc>
          <w:tcPr>
            <w:tcW w:w="1480" w:type="dxa"/>
            <w:vAlign w:val="center"/>
            <w:textDirection w:val="lrTb"/>
            <w:noWrap w:val="false"/>
          </w:tcPr>
          <w:p>
            <w:pPr>
              <w:jc w:val="center"/>
              <w:rPr>
                <w:color w:val="auto"/>
                <w:sz w:val="24"/>
                <w:highlight w:val="none"/>
              </w:rPr>
            </w:pPr>
            <w:r>
              <w:rPr>
                <w:color w:val="auto"/>
                <w:sz w:val="24"/>
                <w:highlight w:val="none"/>
              </w:rPr>
              <w:t xml:space="preserve">响应有效期</w:t>
            </w:r>
            <w:r/>
          </w:p>
        </w:tc>
        <w:tc>
          <w:tcPr>
            <w:tcW w:w="6841" w:type="dxa"/>
            <w:vAlign w:val="center"/>
            <w:textDirection w:val="lrTb"/>
            <w:noWrap w:val="false"/>
          </w:tcPr>
          <w:p>
            <w:pPr>
              <w:jc w:val="left"/>
              <w:rPr>
                <w:color w:val="auto"/>
                <w:sz w:val="24"/>
                <w:highlight w:val="none"/>
              </w:rPr>
            </w:pPr>
            <w:r>
              <w:rPr>
                <w:color w:val="auto"/>
                <w:sz w:val="24"/>
                <w:highlight w:val="none"/>
              </w:rPr>
              <w:t xml:space="preserve">自提交响应文件的截止之日起算</w:t>
            </w:r>
            <w:r>
              <w:rPr>
                <w:rFonts w:hint="eastAsia"/>
                <w:color w:val="auto"/>
                <w:sz w:val="24"/>
                <w:highlight w:val="none"/>
              </w:rPr>
              <w:t xml:space="preserve">60</w:t>
            </w:r>
            <w:r>
              <w:rPr>
                <w:color w:val="auto"/>
                <w:sz w:val="24"/>
                <w:highlight w:val="none"/>
              </w:rPr>
              <w:t xml:space="preserve">日历天。</w:t>
            </w:r>
            <w:r/>
          </w:p>
        </w:tc>
      </w:tr>
      <w:tr>
        <w:trPr>
          <w:jc w:val="center"/>
          <w:trHeight w:val="20"/>
        </w:trPr>
        <w:tc>
          <w:tcPr>
            <w:tcW w:w="825" w:type="dxa"/>
            <w:vAlign w:val="center"/>
            <w:textDirection w:val="lrTb"/>
            <w:noWrap w:val="false"/>
          </w:tcPr>
          <w:p>
            <w:pPr>
              <w:pStyle w:val="105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23.5</w:t>
            </w:r>
            <w:r/>
          </w:p>
        </w:tc>
        <w:tc>
          <w:tcPr>
            <w:tcW w:w="1480"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6841" w:type="dxa"/>
            <w:vAlign w:val="center"/>
            <w:textDirection w:val="lrTb"/>
            <w:noWrap w:val="false"/>
          </w:tcPr>
          <w:p>
            <w:pPr>
              <w:jc w:val="left"/>
              <w:rPr>
                <w:color w:val="auto"/>
                <w:sz w:val="24"/>
                <w:highlight w:val="none"/>
              </w:rPr>
            </w:pPr>
            <w:r>
              <w:rPr>
                <w:color w:val="auto"/>
                <w:sz w:val="24"/>
                <w:highlight w:val="none"/>
              </w:rPr>
              <w:t xml:space="preserve">本项目是否允许分包： </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不允许</w:t>
            </w:r>
            <w:r/>
          </w:p>
          <w:p>
            <w:pPr>
              <w:jc w:val="left"/>
              <w:rPr>
                <w:color w:val="auto"/>
                <w:sz w:val="24"/>
                <w:highlight w:val="none"/>
              </w:rPr>
            </w:pPr>
            <w:r>
              <w:rPr>
                <w:rFonts w:hint="eastAsia"/>
                <w:color w:val="auto"/>
                <w:highlight w:val="none"/>
              </w:rPr>
              <w:t xml:space="preserve">□</w:t>
            </w:r>
            <w:r>
              <w:rPr>
                <w:color w:val="auto"/>
                <w:sz w:val="24"/>
                <w:highlight w:val="none"/>
              </w:rPr>
              <w:t xml:space="preserve">允许，具体要求：_______。</w:t>
            </w:r>
            <w:r/>
          </w:p>
          <w:p>
            <w:pPr>
              <w:jc w:val="left"/>
              <w:rPr>
                <w:color w:val="auto"/>
                <w:sz w:val="24"/>
                <w:highlight w:val="none"/>
              </w:rPr>
            </w:pPr>
            <w:r>
              <w:rPr>
                <w:color w:val="auto"/>
                <w:sz w:val="24"/>
                <w:highlight w:val="none"/>
              </w:rPr>
              <w:t xml:space="preserve">（1）可以分包履行的具体内容：_______；</w:t>
            </w:r>
            <w:r/>
          </w:p>
          <w:p>
            <w:pPr>
              <w:jc w:val="left"/>
              <w:rPr>
                <w:color w:val="auto"/>
                <w:sz w:val="24"/>
                <w:highlight w:val="none"/>
              </w:rPr>
            </w:pPr>
            <w:r>
              <w:rPr>
                <w:color w:val="auto"/>
                <w:sz w:val="24"/>
                <w:highlight w:val="none"/>
              </w:rPr>
              <w:t xml:space="preserve">（2）允许分包的金额或者比例：_______；</w:t>
            </w:r>
            <w:r/>
          </w:p>
          <w:p>
            <w:pPr>
              <w:jc w:val="left"/>
              <w:rPr>
                <w:color w:val="auto"/>
                <w:sz w:val="24"/>
                <w:highlight w:val="none"/>
                <w:u w:val="single"/>
              </w:rPr>
            </w:pPr>
            <w:r>
              <w:rPr>
                <w:color w:val="auto"/>
                <w:sz w:val="24"/>
                <w:highlight w:val="none"/>
              </w:rPr>
              <w:t xml:space="preserve">（3）其他要求：_______。</w:t>
            </w:r>
            <w:r/>
          </w:p>
        </w:tc>
      </w:tr>
      <w:tr>
        <w:trPr>
          <w:jc w:val="center"/>
          <w:trHeight w:val="20"/>
        </w:trPr>
        <w:tc>
          <w:tcPr>
            <w:tcW w:w="825" w:type="dxa"/>
            <w:vAlign w:val="center"/>
            <w:textDirection w:val="lrTb"/>
            <w:noWrap w:val="false"/>
          </w:tcPr>
          <w:p>
            <w:pPr>
              <w:pStyle w:val="105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24.1.1</w:t>
            </w:r>
            <w:r/>
          </w:p>
        </w:tc>
        <w:tc>
          <w:tcPr>
            <w:tcW w:w="1480"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6841" w:type="dxa"/>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rPr>
              <w:t xml:space="preserve">书面形式</w:t>
            </w:r>
            <w:r>
              <w:rPr>
                <w:color w:val="auto"/>
                <w:sz w:val="24"/>
                <w:highlight w:val="none"/>
              </w:rPr>
              <w:t xml:space="preserve">。</w:t>
            </w:r>
            <w:r/>
          </w:p>
        </w:tc>
      </w:tr>
      <w:tr>
        <w:trPr>
          <w:jc w:val="center"/>
          <w:trHeight w:val="20"/>
        </w:trPr>
        <w:tc>
          <w:tcPr>
            <w:tcW w:w="825" w:type="dxa"/>
            <w:vAlign w:val="center"/>
            <w:textDirection w:val="lrTb"/>
            <w:noWrap w:val="false"/>
          </w:tcPr>
          <w:p>
            <w:pPr>
              <w:pStyle w:val="105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24.3</w:t>
            </w:r>
            <w:r/>
          </w:p>
        </w:tc>
        <w:tc>
          <w:tcPr>
            <w:tcW w:w="1480"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6841"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color w:val="auto"/>
                <w:sz w:val="24"/>
                <w:highlight w:val="none"/>
              </w:rPr>
              <w:t xml:space="preserve">常州中采招投标有限公司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color w:val="auto"/>
                <w:sz w:val="24"/>
                <w:highlight w:val="none"/>
              </w:rPr>
              <w:t xml:space="preserve">0519-86661066</w:t>
            </w:r>
            <w:r>
              <w:rPr>
                <w:color w:val="auto"/>
                <w:sz w:val="24"/>
                <w:highlight w:val="none"/>
              </w:rPr>
              <w:t xml:space="preserve">；</w:t>
            </w:r>
            <w:r/>
          </w:p>
          <w:p>
            <w:pPr>
              <w:jc w:val="left"/>
              <w:rPr>
                <w:color w:val="auto"/>
                <w:sz w:val="24"/>
                <w:highlight w:val="none"/>
              </w:rPr>
            </w:pPr>
            <w:r>
              <w:rPr>
                <w:color w:val="auto"/>
                <w:sz w:val="24"/>
                <w:highlight w:val="none"/>
              </w:rPr>
              <w:t xml:space="preserve">通讯地址：</w:t>
            </w:r>
            <w:r>
              <w:rPr>
                <w:rFonts w:hint="eastAsia"/>
                <w:color w:val="auto"/>
                <w:sz w:val="24"/>
                <w:highlight w:val="none"/>
              </w:rPr>
              <w:t xml:space="preserve">常州市钟楼经济开发区玉龙南路280号常州大数据产业园2号楼19楼</w:t>
            </w:r>
            <w:r>
              <w:rPr>
                <w:color w:val="auto"/>
                <w:sz w:val="24"/>
                <w:highlight w:val="none"/>
              </w:rPr>
              <w:t xml:space="preserve">。</w:t>
            </w:r>
            <w:r/>
          </w:p>
        </w:tc>
      </w:tr>
      <w:tr>
        <w:trPr>
          <w:jc w:val="center"/>
          <w:trHeight w:val="20"/>
        </w:trPr>
        <w:tc>
          <w:tcPr>
            <w:tcW w:w="825" w:type="dxa"/>
            <w:vAlign w:val="center"/>
            <w:textDirection w:val="lrTb"/>
            <w:noWrap w:val="false"/>
          </w:tcPr>
          <w:p>
            <w:pPr>
              <w:pStyle w:val="105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25</w:t>
            </w:r>
            <w:r/>
          </w:p>
        </w:tc>
        <w:tc>
          <w:tcPr>
            <w:tcW w:w="1480"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6841" w:type="dxa"/>
            <w:vAlign w:val="center"/>
            <w:textDirection w:val="lrTb"/>
            <w:noWrap w:val="false"/>
          </w:tcPr>
          <w:p>
            <w:pPr>
              <w:jc w:val="left"/>
              <w:rPr>
                <w:color w:val="auto"/>
                <w:sz w:val="24"/>
                <w:highlight w:val="none"/>
              </w:rPr>
            </w:pPr>
            <w:r>
              <w:rPr>
                <w:color w:val="auto"/>
                <w:sz w:val="24"/>
                <w:highlight w:val="none"/>
              </w:rPr>
              <w:t xml:space="preserve">收费对象：</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采购人</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成交供应商</w:t>
            </w:r>
            <w:r/>
          </w:p>
          <w:p>
            <w:pPr>
              <w:spacing w:line="360" w:lineRule="auto"/>
              <w:rPr>
                <w:rFonts w:ascii="宋体" w:hAnsi="宋体" w:cs="宋体"/>
                <w:b/>
                <w:bCs/>
                <w:color w:val="auto"/>
                <w:sz w:val="24"/>
                <w:highlight w:val="none"/>
              </w:rPr>
            </w:pPr>
            <w:r>
              <w:rPr>
                <w:rFonts w:hint="eastAsia" w:ascii="宋体" w:hAnsi="宋体" w:cs="宋体"/>
                <w:bCs/>
                <w:color w:val="auto"/>
                <w:sz w:val="24"/>
                <w:highlight w:val="none"/>
              </w:rPr>
              <w:t xml:space="preserve">（1）服务费</w:t>
            </w:r>
            <w:r>
              <w:rPr>
                <w:rFonts w:hint="eastAsia" w:ascii="宋体" w:hAnsi="宋体" w:cs="宋体"/>
                <w:color w:val="auto"/>
                <w:sz w:val="24"/>
                <w:highlight w:val="none"/>
              </w:rPr>
              <w:t xml:space="preserve">按照下列标准收取并由成交供应商承担，成交供应商应在领取中标通知书时将代理服务费付至采购代理机构收取报名费的账户。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（2）代理服务收费标准：</w:t>
            </w:r>
            <w:r/>
          </w:p>
          <w:p>
            <w:pPr>
              <w:spacing w:line="360" w:lineRule="auto"/>
              <w:rPr>
                <w:rFonts w:ascii="宋体" w:hAnsi="宋体" w:cs="宋体"/>
                <w:color w:val="auto"/>
                <w:sz w:val="24"/>
                <w:highlight w:val="none"/>
              </w:rPr>
            </w:pPr>
            <w:r>
              <w:rPr>
                <w:rFonts w:ascii="宋体" w:hAnsi="宋体" w:cs="宋体"/>
                <w:color w:val="auto"/>
                <w:sz w:val="24"/>
                <w:highlight w:val="none"/>
              </w:rPr>
              <mc:AlternateContent>
                <mc:Choice Requires="wpg">
                  <w:drawing>
                    <wp:inline xmlns:wp="http://schemas.openxmlformats.org/drawingml/2006/wordprocessingDrawing" distT="0" distB="0" distL="0" distR="0">
                      <wp:extent cx="4200525" cy="1038225"/>
                      <wp:effectExtent l="0" t="0" r="5715" b="13335"/>
                      <wp:docPr id="3" name="图片 4" descr="16812645497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81264549787(1)"/>
                              <pic:cNvPicPr>
                                <a:picLocks noChangeAspect="1"/>
                              </pic:cNvPicPr>
                              <pic:nvPr/>
                            </pic:nvPicPr>
                            <pic:blipFill>
                              <a:blip r:embed="rId22"/>
                              <a:stretch/>
                            </pic:blipFill>
                            <pic:spPr bwMode="auto">
                              <a:xfrm>
                                <a:off x="0" y="0"/>
                                <a:ext cx="4200525"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0.8pt;height:81.8pt;mso-wrap-distance-left:0.0pt;mso-wrap-distance-top:0.0pt;mso-wrap-distance-right:0.0pt;mso-wrap-distance-bottom:0.0pt;" stroked="f">
                      <v:path textboxrect="0,0,0,0"/>
                      <v:imagedata r:id="rId22" o:title=""/>
                    </v:shape>
                  </w:pict>
                </mc:Fallback>
              </mc:AlternateContent>
            </w:r>
            <w:r/>
          </w:p>
          <w:p>
            <w:pPr>
              <w:spacing w:line="360" w:lineRule="auto"/>
              <w:rPr>
                <w:rFonts w:asciiTheme="majorEastAsia" w:hAnsiTheme="majorEastAsia" w:eastAsiaTheme="majorEastAsia" w:cstheme="majorEastAsia"/>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）收费</w:t>
            </w:r>
            <w:r>
              <w:rPr>
                <w:rFonts w:hint="eastAsia" w:ascii="宋体" w:hAnsi="宋体" w:cs="宋体"/>
                <w:color w:val="auto"/>
                <w:sz w:val="24"/>
                <w:highlight w:val="none"/>
              </w:rPr>
              <w:t xml:space="preserve">比例按差额定率累进法计算，</w:t>
            </w:r>
            <w:r>
              <w:rPr>
                <w:rFonts w:hint="eastAsia" w:ascii="宋体" w:hAnsi="宋体"/>
                <w:color w:val="auto"/>
                <w:sz w:val="24"/>
                <w:highlight w:val="none"/>
              </w:rPr>
              <w:t xml:space="preserve">本项目采购代理服务费收费以中标金额为基数计算，</w:t>
            </w:r>
            <w:r>
              <w:rPr>
                <w:rFonts w:hint="eastAsia" w:ascii="宋体" w:hAnsi="宋体" w:cs="宋体"/>
                <w:color w:val="auto"/>
                <w:sz w:val="24"/>
                <w:highlight w:val="none"/>
              </w:rPr>
              <w:t xml:space="preserve">以50%收取服务费，上述计算方法不足人民币2500元的，按人民币2500元收取。</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cs="宋体"/>
                <w:color w:val="auto"/>
                <w:sz w:val="24"/>
                <w:highlight w:val="none"/>
              </w:rPr>
              <w:t xml:space="preserve">成交供应商</w:t>
            </w:r>
            <w:r>
              <w:rPr>
                <w:rFonts w:hint="eastAsia" w:ascii="宋体" w:hAnsi="宋体"/>
                <w:bCs/>
                <w:color w:val="auto"/>
                <w:sz w:val="24"/>
                <w:highlight w:val="none"/>
              </w:rPr>
              <w:t xml:space="preserve">领取中标通知书时须向中采招投标有限公司交纳代理服务费。</w:t>
            </w:r>
            <w:r/>
          </w:p>
          <w:p>
            <w:pPr>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3.公司账户信息</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单位名称：常州中采招投标有限公司</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账  号：32050162970100001741</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开户行：建行常州惠民支行</w:t>
            </w:r>
            <w:r/>
          </w:p>
        </w:tc>
      </w:tr>
      <w:tr>
        <w:trPr>
          <w:jc w:val="center"/>
          <w:trHeight w:val="1515"/>
        </w:trPr>
        <w:tc>
          <w:tcPr>
            <w:shd w:val="clear" w:color="auto" w:fill="auto"/>
            <w:tcW w:w="825" w:type="dxa"/>
            <w:vAlign w:val="center"/>
            <w:textDirection w:val="lrTb"/>
            <w:noWrap w:val="false"/>
          </w:tcPr>
          <w:p>
            <w:pPr>
              <w:pStyle w:val="1296"/>
              <w:jc w:val="center"/>
              <w:rPr>
                <w:rFonts w:hint="default" w:hAnsi="宋体" w:cs="宋体"/>
                <w:color w:val="auto"/>
                <w:sz w:val="24"/>
                <w:szCs w:val="24"/>
                <w:highlight w:val="none"/>
              </w:rPr>
            </w:pPr>
            <w:r>
              <w:rPr>
                <w:rFonts w:hAnsi="宋体" w:cs="宋体"/>
                <w:color w:val="auto"/>
                <w:sz w:val="24"/>
                <w:szCs w:val="24"/>
                <w:highlight w:val="none"/>
              </w:rPr>
              <w:t xml:space="preserve">26</w:t>
            </w:r>
            <w:r/>
          </w:p>
        </w:tc>
        <w:tc>
          <w:tcPr>
            <w:shd w:val="clear" w:color="auto" w:fill="auto"/>
            <w:tcW w:w="148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t xml:space="preserve">纸质中标</w:t>
            </w:r>
            <w:r>
              <w:rPr>
                <w:rFonts w:hint="eastAsia" w:ascii="宋体" w:hAnsi="宋体" w:cs="宋体"/>
                <w:color w:val="auto"/>
                <w:sz w:val="24"/>
                <w:highlight w:val="none"/>
              </w:rPr>
              <w:t xml:space="preserve">（成交）</w:t>
            </w:r>
            <w:r>
              <w:rPr>
                <w:rFonts w:ascii="宋体" w:hAnsi="宋体" w:cs="宋体"/>
                <w:color w:val="auto"/>
                <w:sz w:val="24"/>
                <w:highlight w:val="none"/>
              </w:rPr>
              <w:t xml:space="preserve">文件</w:t>
            </w:r>
            <w:r/>
          </w:p>
        </w:tc>
        <w:tc>
          <w:tcPr>
            <w:shd w:val="clear" w:color="auto" w:fill="auto"/>
            <w:tcW w:w="6841" w:type="dxa"/>
            <w:vAlign w:val="center"/>
            <w:textDirection w:val="lrTb"/>
            <w:noWrap w:val="false"/>
          </w:tcPr>
          <w:p>
            <w:pPr>
              <w:jc w:val="left"/>
              <w:rPr>
                <w:rFonts w:ascii="宋体" w:hAnsi="宋体" w:cs="宋体"/>
                <w:b/>
                <w:color w:val="auto"/>
                <w:sz w:val="24"/>
                <w:highlight w:val="none"/>
              </w:rPr>
            </w:pPr>
            <w:r>
              <w:rPr>
                <w:rFonts w:hint="eastAsia" w:ascii="宋体" w:hAnsi="宋体" w:cs="宋体"/>
                <w:b/>
                <w:color w:val="auto"/>
                <w:sz w:val="24"/>
                <w:highlight w:val="none"/>
              </w:rPr>
              <w:t xml:space="preserve">成交供应商在签订合同前需递交与电子响应文件内容一致的纸质响应文件叁份（需打印清晰，标注目录及页码），作为项目归档使用。（递交方式可采用邮寄或现场送达至，联系方式见《第一章 投标邀请》）</w:t>
            </w:r>
            <w:r/>
          </w:p>
        </w:tc>
      </w:tr>
    </w:tbl>
    <w:p>
      <w:pPr>
        <w:jc w:val="both"/>
        <w:spacing w:line="360" w:lineRule="auto"/>
        <w:tabs>
          <w:tab w:val="left" w:pos="5580" w:leader="none"/>
        </w:tabs>
        <w:rPr>
          <w:color w:val="auto"/>
          <w:sz w:val="24"/>
          <w:highlight w:val="none"/>
        </w:rPr>
        <w:sectPr>
          <w:footerReference w:type="default" r:id="rId15"/>
          <w:footerReference w:type="first" r:id="rId16"/>
          <w:footnotePr/>
          <w:endnotePr/>
          <w:type w:val="nextPage"/>
          <w:pgSz w:w="11907" w:h="16840" w:orient="portrait"/>
          <w:pgMar w:top="1418" w:right="1417" w:bottom="1418" w:left="1560" w:header="851" w:footer="499" w:gutter="0"/>
          <w:pgNumType w:start="1"/>
          <w:cols w:num="1" w:sep="0" w:space="720" w:equalWidth="1"/>
          <w:docGrid w:linePitch="360"/>
          <w:titlePg/>
        </w:sectPr>
      </w:pPr>
      <w:r>
        <w:rPr>
          <w:color w:val="auto"/>
          <w:sz w:val="24"/>
          <w:highlight w:val="none"/>
        </w:rPr>
      </w:r>
      <w:r/>
    </w:p>
    <w:p>
      <w:pPr>
        <w:pStyle w:val="1031"/>
        <w:spacing w:before="0" w:line="360" w:lineRule="auto"/>
        <w:tabs>
          <w:tab w:val="center" w:pos="4592" w:leader="none"/>
          <w:tab w:val="left" w:pos="7860" w:leader="none"/>
        </w:tabs>
        <w:rPr>
          <w:rFonts w:ascii="Times New Roman" w:hAnsi="Times New Roman" w:eastAsia="宋体"/>
          <w:color w:val="auto"/>
          <w:sz w:val="28"/>
          <w:highlight w:val="none"/>
        </w:rPr>
      </w:pPr>
      <w:r>
        <w:rPr>
          <w:rFonts w:ascii="Times New Roman" w:hAnsi="Times New Roman" w:eastAsia="宋体"/>
          <w:color w:val="auto"/>
          <w:sz w:val="28"/>
          <w:highlight w:val="none"/>
        </w:rPr>
        <w:t xml:space="preserve">供应商须知</w:t>
      </w:r>
      <w:r/>
    </w:p>
    <w:p>
      <w:pPr>
        <w:pStyle w:val="1031"/>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34" w:name="_Toc520356143"/>
      <w:r/>
      <w:bookmarkStart w:id="35" w:name="_Toc127151518"/>
      <w:r>
        <w:rPr>
          <w:rFonts w:ascii="Times New Roman" w:hAnsi="Times New Roman" w:eastAsia="宋体"/>
          <w:color w:val="auto"/>
          <w:sz w:val="28"/>
          <w:highlight w:val="none"/>
        </w:rPr>
        <w:tab/>
      </w:r>
      <w:bookmarkStart w:id="36" w:name="_Toc226309762"/>
      <w:r/>
      <w:bookmarkStart w:id="37" w:name="_Toc305158786"/>
      <w:r/>
      <w:bookmarkStart w:id="38" w:name="_Toc305158860"/>
      <w:r/>
      <w:bookmarkStart w:id="39" w:name="_Toc195842883"/>
      <w:r/>
      <w:bookmarkStart w:id="40" w:name="_Toc150774618"/>
      <w:r/>
      <w:bookmarkStart w:id="41" w:name="_Toc151193688"/>
      <w:r/>
      <w:bookmarkStart w:id="42" w:name="_Toc264969208"/>
      <w:r/>
      <w:bookmarkStart w:id="43" w:name="_Toc226337214"/>
      <w:r/>
      <w:bookmarkStart w:id="44" w:name="_Toc226965791"/>
      <w:r/>
      <w:bookmarkStart w:id="45" w:name="_Toc151193906"/>
      <w:r/>
      <w:bookmarkStart w:id="46" w:name="_Toc151193832"/>
      <w:r/>
      <w:bookmarkStart w:id="47" w:name="_Toc151193760"/>
      <w:r/>
      <w:bookmarkStart w:id="48" w:name="_Toc150509269"/>
      <w:r/>
      <w:bookmarkStart w:id="49" w:name="_Toc150480756"/>
      <w:r/>
      <w:bookmarkStart w:id="50" w:name="_Toc142311020"/>
      <w:r/>
      <w:bookmarkStart w:id="51" w:name="_Toc226965708"/>
      <w:r/>
      <w:bookmarkStart w:id="52" w:name="_Toc151190145"/>
      <w:r/>
      <w:bookmarkStart w:id="53" w:name="_Toc265228356"/>
      <w:r/>
      <w:bookmarkStart w:id="54" w:name="_Toc151193616"/>
      <w:r/>
      <w:bookmarkStart w:id="55" w:name="_Toc150774723"/>
      <w:r>
        <w:rPr>
          <w:rFonts w:ascii="Times New Roman" w:hAnsi="Times New Roman" w:eastAsia="宋体"/>
          <w:color w:val="auto"/>
          <w:sz w:val="28"/>
          <w:highlight w:val="none"/>
        </w:rPr>
        <w:t xml:space="preserve">一、说  明</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 w:val="clear" w:pos="4445" w:leader="none"/>
        </w:tabs>
        <w:rPr>
          <w:rFonts w:ascii="宋体" w:hAnsi="宋体" w:cs="宋体"/>
          <w:color w:val="auto"/>
          <w:sz w:val="24"/>
          <w:highlight w:val="none"/>
        </w:rPr>
        <w:outlineLvl w:val="1"/>
      </w:pPr>
      <w:r/>
      <w:bookmarkStart w:id="56" w:name="_Toc264969209"/>
      <w:r/>
      <w:bookmarkStart w:id="57" w:name="_Toc305158861"/>
      <w:r/>
      <w:bookmarkStart w:id="58" w:name="_Toc265228357"/>
      <w:r/>
      <w:bookmarkStart w:id="59" w:name="_Toc305158787"/>
      <w:r>
        <w:rPr>
          <w:rFonts w:hint="eastAsia" w:ascii="宋体" w:hAnsi="宋体" w:cs="宋体"/>
          <w:color w:val="auto"/>
          <w:sz w:val="24"/>
          <w:highlight w:val="none"/>
        </w:rPr>
        <w:t xml:space="preserve">采购人、采购代理机构、供应商</w:t>
      </w:r>
      <w:bookmarkEnd w:id="56"/>
      <w:r/>
      <w:bookmarkEnd w:id="57"/>
      <w:r/>
      <w:bookmarkEnd w:id="58"/>
      <w:r/>
      <w:bookmarkEnd w:id="59"/>
      <w:r>
        <w:rPr>
          <w:rFonts w:hint="eastAsia" w:ascii="宋体" w:hAnsi="宋体" w:cs="宋体"/>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60" w:name="_Toc226965710"/>
      <w:r/>
      <w:bookmarkStart w:id="61" w:name="_Toc127161434"/>
      <w:r/>
      <w:bookmarkStart w:id="62" w:name="_Toc164229215"/>
      <w:r/>
      <w:bookmarkStart w:id="63" w:name="_Toc164229361"/>
      <w:r/>
      <w:bookmarkStart w:id="64" w:name="_Toc149720813"/>
      <w:r/>
      <w:bookmarkStart w:id="65" w:name="_Toc150774620"/>
      <w:r/>
      <w:bookmarkStart w:id="66" w:name="_Toc195842885"/>
      <w:r/>
      <w:bookmarkStart w:id="67" w:name="_Toc151193690"/>
      <w:r/>
      <w:bookmarkStart w:id="68" w:name="_Toc127151520"/>
      <w:r/>
      <w:bookmarkStart w:id="69" w:name="_Toc151193908"/>
      <w:r/>
      <w:bookmarkStart w:id="70" w:name="_Toc265228358"/>
      <w:r/>
      <w:bookmarkStart w:id="71" w:name="_Toc150509271"/>
      <w:r/>
      <w:bookmarkStart w:id="72" w:name="_Toc150774725"/>
      <w:r/>
      <w:bookmarkStart w:id="73" w:name="_Toc264969210"/>
      <w:r/>
      <w:bookmarkStart w:id="74" w:name="_Toc150480758"/>
      <w:r/>
      <w:bookmarkStart w:id="75" w:name="_Toc164608634"/>
      <w:r/>
      <w:bookmarkStart w:id="76" w:name="_Toc151193618"/>
      <w:r/>
      <w:bookmarkStart w:id="77" w:name="_Toc164351614"/>
      <w:r/>
      <w:bookmarkStart w:id="78" w:name="_Toc305158788"/>
      <w:r/>
      <w:bookmarkStart w:id="79" w:name="_Toc164608789"/>
      <w:r/>
      <w:bookmarkStart w:id="80" w:name="_Toc226309764"/>
      <w:r/>
      <w:bookmarkStart w:id="81" w:name="_Toc226337216"/>
      <w:r/>
      <w:bookmarkStart w:id="82" w:name="_Toc127151721"/>
      <w:r/>
      <w:bookmarkStart w:id="83" w:name="_Toc151193762"/>
      <w:r/>
      <w:bookmarkStart w:id="84" w:name="_Toc151190147"/>
      <w:r/>
      <w:bookmarkStart w:id="85" w:name="_Toc305158862"/>
      <w:r/>
      <w:bookmarkStart w:id="86" w:name="_Toc151193834"/>
      <w:r/>
      <w:bookmarkStart w:id="87" w:name="_Toc142311022"/>
      <w:r/>
      <w:bookmarkStart w:id="88" w:name="_Toc226965793"/>
      <w:r>
        <w:rPr>
          <w:rFonts w:hint="eastAsia" w:ascii="宋体" w:hAnsi="宋体" w:cs="宋体"/>
          <w:color w:val="auto"/>
          <w:sz w:val="24"/>
          <w:highlight w:val="none"/>
        </w:rPr>
        <w:t xml:space="preserve">资金来源</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color w:val="auto"/>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若《供应商须知资料表》中规定了组织现场考察、召开磋商前答疑会，则供应商应按要求在规定的时间和地点参加。</w:t>
      </w:r>
      <w:bookmarkStart w:id="89" w:name="_Toc226337218"/>
      <w:r/>
      <w:bookmarkStart w:id="90" w:name="_Toc142311024"/>
      <w:r/>
      <w:bookmarkStart w:id="91" w:name="_Toc151193620"/>
      <w:r/>
      <w:bookmarkStart w:id="92" w:name="_Toc305158864"/>
      <w:r/>
      <w:bookmarkStart w:id="93" w:name="_Toc151193764"/>
      <w:r/>
      <w:bookmarkStart w:id="94" w:name="_Toc151193910"/>
      <w:r/>
      <w:bookmarkStart w:id="95" w:name="_Toc520356146"/>
      <w:r/>
      <w:bookmarkStart w:id="96" w:name="_Toc264969212"/>
      <w:r/>
      <w:bookmarkStart w:id="97" w:name="_Toc151193836"/>
      <w:r/>
      <w:bookmarkStart w:id="98" w:name="_Toc195842887"/>
      <w:r/>
      <w:bookmarkStart w:id="99" w:name="_Toc226965712"/>
      <w:r/>
      <w:bookmarkStart w:id="100" w:name="_Toc127151522"/>
      <w:r/>
      <w:bookmarkStart w:id="101" w:name="_Toc226309766"/>
      <w:r/>
      <w:bookmarkStart w:id="102" w:name="_Toc265228360"/>
      <w:r/>
      <w:bookmarkStart w:id="103" w:name="_Toc305158790"/>
      <w:r/>
      <w:bookmarkStart w:id="104" w:name="_Toc150509273"/>
      <w:r/>
      <w:bookmarkStart w:id="105" w:name="_Toc226965795"/>
      <w:r/>
      <w:bookmarkStart w:id="106" w:name="_Toc150480760"/>
      <w:r/>
      <w:bookmarkStart w:id="107" w:name="_Toc150774622"/>
      <w:r/>
      <w:bookmarkStart w:id="108" w:name="_Toc151190149"/>
      <w:r/>
      <w:bookmarkStart w:id="109" w:name="_Toc151193692"/>
      <w:r/>
      <w:bookmarkStart w:id="110" w:name="_Toc150774727"/>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进口产品</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中小企业、监狱企业及残疾人福利性单位</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中小企业定义：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4.2.1.1  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4.2.1.2  供应商提供的货物、工程或者服务符合下列情形的，享受中小企业扶持政策：</w:t>
      </w:r>
      <w:r/>
    </w:p>
    <w:p>
      <w:pPr>
        <w:ind w:firstLine="96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firstLine="96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firstLine="96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4.2.1.3  在货物采购项目中，供应商提供的货物既有中小企业制造货物，也有大型企业制造货物的，不享受中小企业扶持政策。</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4.2.1.4  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4.2.2  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4.2.3  残疾人福利单位定义：享受政府采购支持政策的残疾人福利性单位应当同时满足以下条件：</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4.2.3.1  安置的残疾人占本单位在职职工人数的比例不低于25%（含25%），并且安置的残疾人人数不少于10 人（含10 人）；</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4.2.3.2  依法与安置的每位残疾人签订了一年以上（含一年）的劳动合同或服务协议；</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4.2.3.3  为安置的每位残疾人按月足额缴纳了基本养老保险、基本医疗保险、失业保险、工伤保险和生育保险等社会保险费；</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4.2.3.4  通过银行等金融机构向安置的每位残疾人，按月支付了不低于单位所在区县适用的经省级人民政府批准的月最低工资标准的工资；</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4.2.3.5  提供本单位制造的货物、承担的工程或者服务（以下简称产品），或者提供其他残疾人福利性单位制造的货物（不包括使用非残疾人福利性单位注册商标的货物）；</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4.2.3.6  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4.2.4  本项目是否专门面向中小企业预留采购份额见第一章《采购邀请》。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4.2.5  采购标的对应的中小企业划分标准所属行业见《供应商须知资料表》。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4.2.6  小微企业价格评审优惠的政策调整：见第三章《评审方法和评审标准》。</w:t>
      </w:r>
      <w:r/>
    </w:p>
    <w:p>
      <w:p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4.3政府采购节能产品、环境标志产品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4.3.3如本项目采购产品属于实施政府强制采购品目清单范围的节能产品，则供应商所报产品必须获得国家确定的认证机构出具的、处于有效期之内的节能产品认证证书，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4.3.4非政府强制采购的节能产品或环境标志产品，依据品目清单和认证证书实施政府优先采购。优先采购的具体规定见第三章《评审方法和评审标准》（如涉及）。</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24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4.4支持乡村产业振兴管理</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ind w:firstLine="24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4.5正版软件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24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4.6政府采购创新产品政策</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4.7绿色采购政策</w:t>
      </w:r>
      <w:r/>
    </w:p>
    <w:p>
      <w:pPr>
        <w:ind w:firstLine="480"/>
        <w:spacing w:line="360" w:lineRule="auto"/>
        <w:tabs>
          <w:tab w:val="left" w:pos="2014" w:leader="none"/>
          <w:tab w:val="left" w:pos="226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4.7.1绿色数据中心政策</w:t>
      </w:r>
      <w:r/>
    </w:p>
    <w:p>
      <w:pPr>
        <w:pStyle w:val="1047"/>
        <w:rPr>
          <w:rFonts w:cs="宋体"/>
          <w:color w:val="auto"/>
          <w:highlight w:val="none"/>
        </w:rPr>
      </w:pPr>
      <w:r>
        <w:rPr>
          <w:rFonts w:hint="eastAsia" w:cs="宋体"/>
          <w:color w:val="auto"/>
          <w:highlight w:val="none"/>
        </w:rPr>
        <w:t xml:space="preserve">依据《绿色数据中心政府采购需求标准（试行）》（财办库〔2023〕7 号）文件精神，采购人在采购数据中心相关设备、运维服务，应当有利于节约能源、环境保护和资源循环利用，</w:t>
      </w:r>
      <w:r>
        <w:rPr>
          <w:rFonts w:hint="eastAsia"/>
          <w:color w:val="auto"/>
          <w:highlight w:val="none"/>
        </w:rPr>
        <w:t xml:space="preserve">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w:t>
      </w:r>
      <w:r>
        <w:rPr>
          <w:rFonts w:hint="eastAsia" w:cs="宋体"/>
          <w:color w:val="auto"/>
          <w:highlight w:val="none"/>
        </w:rPr>
        <w:t xml:space="preserve">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tabs>
          <w:tab w:val="left" w:pos="2014" w:leader="none"/>
          <w:tab w:val="left" w:pos="226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4.7.2推广应用绿色建材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360" w:lineRule="auto"/>
        <w:tabs>
          <w:tab w:val="left" w:pos="2014" w:leader="none"/>
          <w:tab w:val="left" w:pos="226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4.7.3优先使用低挥发性有机化合物产品</w:t>
      </w:r>
      <w:r/>
    </w:p>
    <w:p>
      <w:pPr>
        <w:pStyle w:val="1047"/>
        <w:rPr>
          <w:rFonts w:cs="宋体"/>
          <w:color w:val="auto"/>
          <w:highlight w:val="none"/>
        </w:rPr>
      </w:pPr>
      <w:r>
        <w:rPr>
          <w:rFonts w:hint="eastAsia" w:cs="宋体"/>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4.8履约保证金相关政策</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4.8.1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4.8.2</w:t>
      </w:r>
      <w:r>
        <w:rPr>
          <w:rFonts w:hint="eastAsia" w:ascii="宋体" w:hAnsi="宋体" w:cs="宋体"/>
          <w:color w:val="auto"/>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rFonts w:hint="eastAsia" w:ascii="宋体" w:hAnsi="宋体" w:cs="宋体"/>
          <w:color w:val="auto"/>
          <w:sz w:val="24"/>
          <w:highlight w:val="none"/>
        </w:rPr>
      </w:pPr>
      <w:r>
        <w:rPr>
          <w:rFonts w:hint="eastAsia" w:ascii="宋体" w:hAnsi="宋体" w:cs="宋体"/>
          <w:color w:val="auto"/>
          <w:sz w:val="24"/>
          <w:highlight w:val="none"/>
        </w:rPr>
        <w:t xml:space="preserve">4.9采购本国产品的支持政策</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响应费用</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供应商应自行承担所有与准备和参加磋商有关的费用，无论磋商的结果如何，采购人或采购代理机构在任何情况下均无承担这些费用的义务和责任。</w:t>
      </w:r>
      <w:bookmarkStart w:id="111" w:name="_1.8_计量单位"/>
      <w:r/>
      <w:bookmarkEnd w:id="111"/>
      <w:r/>
      <w:r/>
    </w:p>
    <w:p>
      <w:pPr>
        <w:ind w:left="1080"/>
        <w:spacing w:line="360" w:lineRule="auto"/>
        <w:tabs>
          <w:tab w:val="left" w:pos="1080" w:leader="none"/>
          <w:tab w:val="left" w:pos="1589" w:leader="none"/>
          <w:tab w:val="left" w:pos="2014" w:leader="none"/>
        </w:tabs>
        <w:rPr>
          <w:rStyle w:val="1139"/>
          <w:color w:val="auto"/>
          <w:sz w:val="24"/>
          <w:highlight w:val="none"/>
        </w:rPr>
      </w:pPr>
      <w:r>
        <w:rPr>
          <w:color w:val="auto"/>
          <w:sz w:val="24"/>
          <w:highlight w:val="none"/>
        </w:rPr>
      </w:r>
      <w:r/>
    </w:p>
    <w:p>
      <w:pPr>
        <w:pStyle w:val="1031"/>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二、竞争性磋商文件</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112" w:name="_Toc151193765"/>
      <w:r/>
      <w:bookmarkStart w:id="113" w:name="_Toc150774728"/>
      <w:r/>
      <w:bookmarkStart w:id="114" w:name="_Toc127161437"/>
      <w:r/>
      <w:bookmarkStart w:id="115" w:name="_Toc151193837"/>
      <w:r/>
      <w:bookmarkStart w:id="116" w:name="_Toc164229218"/>
      <w:r/>
      <w:bookmarkStart w:id="117" w:name="_Toc265228361"/>
      <w:r/>
      <w:bookmarkStart w:id="118" w:name="_Toc142311025"/>
      <w:r/>
      <w:bookmarkStart w:id="119" w:name="_Toc264969213"/>
      <w:r/>
      <w:bookmarkStart w:id="120" w:name="_Toc151190150"/>
      <w:r/>
      <w:bookmarkStart w:id="121" w:name="_Toc151193911"/>
      <w:r/>
      <w:bookmarkStart w:id="122" w:name="_Toc226965796"/>
      <w:r/>
      <w:bookmarkStart w:id="123" w:name="_Toc164608637"/>
      <w:r/>
      <w:bookmarkStart w:id="124" w:name="_Toc226965713"/>
      <w:r/>
      <w:bookmarkStart w:id="125" w:name="_Toc195842888"/>
      <w:r/>
      <w:bookmarkStart w:id="126" w:name="_Toc151193621"/>
      <w:r/>
      <w:bookmarkStart w:id="127" w:name="_Toc164351617"/>
      <w:r/>
      <w:bookmarkStart w:id="128" w:name="_Toc151193693"/>
      <w:r/>
      <w:bookmarkStart w:id="129" w:name="_Toc127151724"/>
      <w:r/>
      <w:bookmarkStart w:id="130" w:name="_Toc150480761"/>
      <w:r/>
      <w:bookmarkStart w:id="131" w:name="_Toc164608792"/>
      <w:r/>
      <w:bookmarkStart w:id="132" w:name="_Toc305158865"/>
      <w:r/>
      <w:bookmarkStart w:id="133" w:name="_Toc226309767"/>
      <w:r/>
      <w:bookmarkStart w:id="134" w:name="_Toc127151523"/>
      <w:r/>
      <w:bookmarkStart w:id="135" w:name="_Toc150509274"/>
      <w:r/>
      <w:bookmarkStart w:id="136" w:name="_Toc149720816"/>
      <w:r/>
      <w:bookmarkStart w:id="137" w:name="_Toc164229364"/>
      <w:r/>
      <w:bookmarkStart w:id="138" w:name="_Toc226337219"/>
      <w:r/>
      <w:bookmarkStart w:id="139" w:name="_Toc305158791"/>
      <w:r/>
      <w:bookmarkStart w:id="140" w:name="_Toc520356147"/>
      <w:r/>
      <w:bookmarkStart w:id="141" w:name="_Toc150774623"/>
      <w:r>
        <w:rPr>
          <w:rFonts w:hint="eastAsia" w:ascii="宋体" w:hAnsi="宋体" w:cs="宋体"/>
          <w:color w:val="auto"/>
          <w:sz w:val="24"/>
          <w:highlight w:val="none"/>
        </w:rPr>
        <w:t xml:space="preserve">竞争性磋商文件构</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宋体"/>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采购邀请</w:t>
      </w:r>
      <w:r/>
    </w:p>
    <w:p>
      <w:pPr>
        <w:numPr>
          <w:ilvl w:val="0"/>
          <w:numId w:val="9"/>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供应商须知</w:t>
      </w:r>
      <w:r/>
    </w:p>
    <w:p>
      <w:pPr>
        <w:numPr>
          <w:ilvl w:val="0"/>
          <w:numId w:val="9"/>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评审程序、评审方法和评审标准</w:t>
      </w:r>
      <w:r/>
    </w:p>
    <w:p>
      <w:pPr>
        <w:numPr>
          <w:ilvl w:val="0"/>
          <w:numId w:val="9"/>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9"/>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1080" w:leader="none"/>
          <w:tab w:val="left" w:pos="2014"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color w:val="auto"/>
          <w:sz w:val="28"/>
          <w:highlight w:val="none"/>
        </w:rPr>
      </w:pPr>
      <w:r/>
      <w:bookmarkStart w:id="142" w:name="_Toc516367020"/>
      <w:r/>
      <w:bookmarkStart w:id="143" w:name="_Toc264969216"/>
      <w:r/>
      <w:bookmarkStart w:id="144" w:name="_Toc305158868"/>
      <w:r/>
      <w:bookmarkStart w:id="145" w:name="_Toc150480764"/>
      <w:r/>
      <w:bookmarkStart w:id="146" w:name="_Toc151193914"/>
      <w:r/>
      <w:bookmarkStart w:id="147" w:name="_Toc226965716"/>
      <w:r/>
      <w:bookmarkStart w:id="148" w:name="_Toc520356150"/>
      <w:r/>
      <w:bookmarkStart w:id="149" w:name="_Toc142311028"/>
      <w:r/>
      <w:bookmarkStart w:id="150" w:name="_Toc305158794"/>
      <w:r/>
      <w:bookmarkStart w:id="151" w:name="_Toc150509277"/>
      <w:r/>
      <w:bookmarkStart w:id="152" w:name="_Toc226337222"/>
      <w:r/>
      <w:bookmarkStart w:id="153" w:name="_Toc195842891"/>
      <w:r/>
      <w:bookmarkStart w:id="154" w:name="_Toc127151526"/>
      <w:r/>
      <w:bookmarkStart w:id="155" w:name="_Toc151190153"/>
      <w:r/>
      <w:bookmarkStart w:id="156" w:name="_Toc150774731"/>
      <w:r/>
      <w:bookmarkStart w:id="157" w:name="_Toc151193696"/>
      <w:r/>
      <w:bookmarkStart w:id="158" w:name="_Toc265228364"/>
      <w:r/>
      <w:bookmarkStart w:id="159" w:name="_Toc151193840"/>
      <w:r/>
      <w:bookmarkStart w:id="160" w:name="_Toc226309770"/>
      <w:r/>
      <w:bookmarkStart w:id="161" w:name="_Toc151193768"/>
      <w:r/>
      <w:bookmarkStart w:id="162" w:name="_Toc151193624"/>
      <w:r/>
      <w:bookmarkStart w:id="163" w:name="_Toc150774626"/>
      <w:r/>
      <w:bookmarkStart w:id="164" w:name="_Toc226965799"/>
      <w:r/>
      <w:r/>
    </w:p>
    <w:p>
      <w:pPr>
        <w:pStyle w:val="1031"/>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三、响应文件</w:t>
      </w:r>
      <w:bookmarkEnd w:id="142"/>
      <w:r>
        <w:rPr>
          <w:rFonts w:ascii="Times New Roman" w:hAnsi="Times New Roman" w:eastAsia="宋体"/>
          <w:color w:val="auto"/>
          <w:sz w:val="28"/>
          <w:highlight w:val="none"/>
        </w:rPr>
        <w:t xml:space="preserve">的编制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165" w:name="_Toc150774732"/>
      <w:r/>
      <w:bookmarkStart w:id="166" w:name="_Toc150774627"/>
      <w:r/>
      <w:bookmarkStart w:id="167" w:name="_Toc516367021"/>
      <w:r/>
      <w:bookmarkStart w:id="168" w:name="_Toc149720820"/>
      <w:r/>
      <w:bookmarkStart w:id="169" w:name="_Toc127161441"/>
      <w:r/>
      <w:bookmarkStart w:id="170" w:name="_Toc150509278"/>
      <w:r/>
      <w:bookmarkStart w:id="171" w:name="_Toc151193915"/>
      <w:r/>
      <w:bookmarkStart w:id="172" w:name="_Toc151193625"/>
      <w:r/>
      <w:bookmarkStart w:id="173" w:name="_Toc226337223"/>
      <w:r/>
      <w:bookmarkStart w:id="174" w:name="_Toc305158869"/>
      <w:r/>
      <w:bookmarkStart w:id="175" w:name="_Toc127151527"/>
      <w:r/>
      <w:bookmarkStart w:id="176" w:name="_Toc151193769"/>
      <w:r/>
      <w:bookmarkStart w:id="177" w:name="_Toc151193697"/>
      <w:r/>
      <w:bookmarkStart w:id="178" w:name="_Toc265228365"/>
      <w:r/>
      <w:bookmarkStart w:id="179" w:name="_Toc142311029"/>
      <w:r/>
      <w:bookmarkStart w:id="180" w:name="_Toc164351621"/>
      <w:r/>
      <w:bookmarkStart w:id="181" w:name="_Toc305158795"/>
      <w:r/>
      <w:bookmarkStart w:id="182" w:name="_Toc164229368"/>
      <w:r/>
      <w:bookmarkStart w:id="183" w:name="_Toc151193841"/>
      <w:r/>
      <w:bookmarkStart w:id="184" w:name="_Toc127151728"/>
      <w:r/>
      <w:bookmarkStart w:id="185" w:name="_Toc195842892"/>
      <w:r/>
      <w:bookmarkStart w:id="186" w:name="_Toc164608796"/>
      <w:r/>
      <w:bookmarkStart w:id="187" w:name="_Toc226965717"/>
      <w:r/>
      <w:bookmarkStart w:id="188" w:name="_Toc150480765"/>
      <w:r/>
      <w:bookmarkStart w:id="189" w:name="_Toc226965800"/>
      <w:r/>
      <w:bookmarkStart w:id="190" w:name="_Toc151190154"/>
      <w:r/>
      <w:bookmarkStart w:id="191" w:name="_Toc520356151"/>
      <w:r/>
      <w:bookmarkStart w:id="192" w:name="_Toc164608641"/>
      <w:r/>
      <w:bookmarkStart w:id="193" w:name="_Toc264969217"/>
      <w:r/>
      <w:bookmarkStart w:id="194" w:name="_Toc164229222"/>
      <w:r/>
      <w:bookmarkStart w:id="195" w:name="_Toc226309771"/>
      <w:r>
        <w:rPr>
          <w:rFonts w:hint="eastAsia" w:ascii="宋体" w:hAnsi="宋体" w:cs="宋体"/>
          <w:color w:val="auto"/>
          <w:sz w:val="24"/>
          <w:highlight w:val="none"/>
        </w:rPr>
        <w:t xml:space="preserve">响应范围、竞争性磋商文件中计量单位的使用</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hint="eastAsia" w:ascii="宋体" w:hAnsi="宋体" w:cs="宋体"/>
          <w:color w:val="auto"/>
          <w:sz w:val="24"/>
          <w:highlight w:val="none"/>
        </w:rPr>
        <w:t xml:space="preserve">及磋商语言</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196" w:name="_Ref467306676"/>
      <w:r/>
      <w:bookmarkStart w:id="197" w:name="_Ref467306195"/>
      <w:r/>
      <w:bookmarkStart w:id="198" w:name="_Toc516367022"/>
      <w:r/>
      <w:bookmarkStart w:id="199" w:name="_Toc195842893"/>
      <w:r/>
      <w:bookmarkStart w:id="200" w:name="_Toc151193842"/>
      <w:r/>
      <w:bookmarkStart w:id="201" w:name="_Toc164229223"/>
      <w:r/>
      <w:bookmarkStart w:id="202" w:name="_Toc142311030"/>
      <w:r/>
      <w:bookmarkStart w:id="203" w:name="_Toc164229369"/>
      <w:r/>
      <w:bookmarkStart w:id="204" w:name="_Toc164608642"/>
      <w:r/>
      <w:bookmarkStart w:id="205" w:name="_Toc265228366"/>
      <w:r/>
      <w:bookmarkStart w:id="206" w:name="_Toc164608797"/>
      <w:r/>
      <w:bookmarkStart w:id="207" w:name="_Toc149720821"/>
      <w:r/>
      <w:bookmarkStart w:id="208" w:name="_Toc150774628"/>
      <w:r/>
      <w:bookmarkStart w:id="209" w:name="_Toc151193698"/>
      <w:r/>
      <w:bookmarkStart w:id="210" w:name="_Toc164351622"/>
      <w:r/>
      <w:bookmarkStart w:id="211" w:name="_Toc127151528"/>
      <w:r/>
      <w:bookmarkStart w:id="212" w:name="_Toc226965718"/>
      <w:r/>
      <w:bookmarkStart w:id="213" w:name="_Toc264969218"/>
      <w:r/>
      <w:bookmarkStart w:id="214" w:name="_Toc151193770"/>
      <w:r/>
      <w:bookmarkStart w:id="215" w:name="_Toc305158796"/>
      <w:r/>
      <w:bookmarkStart w:id="216" w:name="_Toc150774733"/>
      <w:r/>
      <w:bookmarkStart w:id="217" w:name="_Toc151193916"/>
      <w:r/>
      <w:bookmarkStart w:id="218" w:name="_Toc127161442"/>
      <w:r/>
      <w:bookmarkStart w:id="219" w:name="_Toc226337224"/>
      <w:r/>
      <w:bookmarkStart w:id="220" w:name="_Toc520356152"/>
      <w:r/>
      <w:bookmarkStart w:id="221" w:name="_Toc305158870"/>
      <w:r/>
      <w:bookmarkStart w:id="222" w:name="_Toc150509279"/>
      <w:r/>
      <w:bookmarkStart w:id="223" w:name="_Toc127151729"/>
      <w:r/>
      <w:bookmarkStart w:id="224" w:name="_Toc226965801"/>
      <w:r/>
      <w:bookmarkStart w:id="225" w:name="_Toc226309772"/>
      <w:r/>
      <w:bookmarkStart w:id="226" w:name="_Toc151193626"/>
      <w:r/>
      <w:bookmarkStart w:id="227" w:name="_Toc150480766"/>
      <w:r/>
      <w:bookmarkStart w:id="228" w:name="_Toc151190155"/>
      <w:r>
        <w:rPr>
          <w:rFonts w:hint="eastAsia" w:ascii="宋体" w:hAnsi="宋体" w:cs="宋体"/>
          <w:color w:val="auto"/>
          <w:sz w:val="24"/>
          <w:highlight w:val="none"/>
        </w:rPr>
        <w:t xml:space="preserve">响应文件</w:t>
      </w:r>
      <w:bookmarkEnd w:id="196"/>
      <w:r/>
      <w:bookmarkEnd w:id="197"/>
      <w:r/>
      <w:bookmarkEnd w:id="198"/>
      <w:r>
        <w:rPr>
          <w:rFonts w:hint="eastAsia" w:ascii="宋体" w:hAnsi="宋体" w:cs="宋体"/>
          <w:color w:val="auto"/>
          <w:sz w:val="24"/>
          <w:highlight w:val="none"/>
        </w:rPr>
        <w:t xml:space="preserve">构成</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bookmarkStart w:id="229" w:name="_Ref467052588"/>
      <w:r>
        <w:rPr>
          <w:rFonts w:hint="eastAsia" w:ascii="宋体" w:hAnsi="宋体" w:cs="宋体"/>
          <w:color w:val="auto"/>
          <w:sz w:val="24"/>
          <w:highlight w:val="none"/>
        </w:rPr>
        <w:t xml:space="preserve">供应商应当按照竞争性磋商文件的要求编制响应文件，</w:t>
      </w:r>
      <w:r>
        <w:rPr>
          <w:rFonts w:hint="eastAsia" w:ascii="宋体" w:hAnsi="宋体" w:cs="宋体"/>
          <w:color w:val="auto"/>
          <w:sz w:val="24"/>
          <w:highlight w:val="none"/>
        </w:rPr>
        <w:t xml:space="preserve">并对其提交的响应文件的真实性、合法性承担法律责任</w:t>
      </w:r>
      <w:r>
        <w:rPr>
          <w:rFonts w:hint="eastAsia" w:ascii="宋体" w:hAnsi="宋体" w:cs="宋体"/>
          <w:color w:val="auto"/>
          <w:sz w:val="24"/>
          <w:highlight w:val="none"/>
        </w:rPr>
        <w:t xml:space="preserve">。响应文件的部分格式要求，见第六章《响应文件格式》。</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对于竞争性磋商文件中标记了“实质性格式”文件的，</w:t>
      </w:r>
      <w:r>
        <w:rPr>
          <w:rFonts w:hint="eastAsia" w:ascii="宋体" w:hAnsi="宋体" w:cs="宋体"/>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供应商认为应附的其他材料。</w:t>
      </w:r>
      <w:bookmarkEnd w:id="229"/>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230" w:name="_Toc150480768"/>
      <w:r/>
      <w:bookmarkStart w:id="231" w:name="_Toc142311032"/>
      <w:r/>
      <w:bookmarkStart w:id="232" w:name="_Toc127151731"/>
      <w:r/>
      <w:bookmarkStart w:id="233" w:name="_Toc150509281"/>
      <w:r/>
      <w:bookmarkStart w:id="234" w:name="_Toc151190157"/>
      <w:r/>
      <w:bookmarkStart w:id="235" w:name="_Toc520356155"/>
      <w:r/>
      <w:bookmarkStart w:id="236" w:name="_Toc151193628"/>
      <w:r/>
      <w:bookmarkStart w:id="237" w:name="_Toc127161444"/>
      <w:r/>
      <w:bookmarkStart w:id="238" w:name="_Toc164351624"/>
      <w:r/>
      <w:bookmarkStart w:id="239" w:name="_Toc164229225"/>
      <w:r/>
      <w:bookmarkStart w:id="240" w:name="_Toc164608644"/>
      <w:r/>
      <w:bookmarkStart w:id="241" w:name="_Toc150774630"/>
      <w:r/>
      <w:bookmarkStart w:id="242" w:name="_Toc164608799"/>
      <w:r/>
      <w:bookmarkStart w:id="243" w:name="_Toc151193918"/>
      <w:r/>
      <w:bookmarkStart w:id="244" w:name="_Toc149720823"/>
      <w:r/>
      <w:bookmarkStart w:id="245" w:name="_Toc164229371"/>
      <w:r/>
      <w:bookmarkStart w:id="246" w:name="_Toc151193700"/>
      <w:r/>
      <w:bookmarkStart w:id="247" w:name="_Toc151193772"/>
      <w:r/>
      <w:bookmarkStart w:id="248" w:name="_Toc195842895"/>
      <w:r/>
      <w:bookmarkStart w:id="249" w:name="_Toc150774735"/>
      <w:r/>
      <w:bookmarkStart w:id="250" w:name="_Toc151193844"/>
      <w:r/>
      <w:bookmarkStart w:id="251" w:name="_Toc127151530"/>
      <w:r>
        <w:rPr>
          <w:rFonts w:hint="eastAsia" w:ascii="宋体" w:hAnsi="宋体" w:cs="宋体"/>
          <w:color w:val="auto"/>
          <w:sz w:val="24"/>
          <w:highlight w:val="none"/>
        </w:rPr>
        <w:t xml:space="preserve">报价</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所有响应均以人民币报价。</w:t>
      </w:r>
      <w:r/>
    </w:p>
    <w:p>
      <w:pPr>
        <w:numPr>
          <w:ilvl w:val="1"/>
          <w:numId w:val="8"/>
        </w:numPr>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按照竞争性磋商文件要求完成本项目的全部相关工程或服务费用。</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供应商不能提供任何有选择性或可调整的最终报价（</w:t>
      </w:r>
      <w:r>
        <w:rPr>
          <w:rFonts w:hint="eastAsia" w:ascii="宋体" w:hAnsi="宋体" w:cs="宋体"/>
          <w:color w:val="auto"/>
          <w:sz w:val="24"/>
          <w:highlight w:val="none"/>
        </w:rPr>
        <w:t xml:space="preserve">竞争性磋商文件</w:t>
      </w:r>
      <w:r>
        <w:rPr>
          <w:rFonts w:hint="eastAsia" w:ascii="宋体" w:hAnsi="宋体" w:cs="宋体"/>
          <w:color w:val="auto"/>
          <w:sz w:val="24"/>
          <w:highlight w:val="none"/>
        </w:rPr>
        <w:t xml:space="preserve">另有规定的除外），否则其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磋商保证金：根据江苏省和常州市的相关文件规定，免收保证金。</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响应有效期</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252" w:name="_Toc127151734"/>
      <w:r/>
      <w:bookmarkStart w:id="253" w:name="_Toc305158801"/>
      <w:r/>
      <w:bookmarkStart w:id="254" w:name="_Toc151193847"/>
      <w:r/>
      <w:bookmarkStart w:id="255" w:name="_Toc164608802"/>
      <w:r/>
      <w:bookmarkStart w:id="256" w:name="_Toc150774633"/>
      <w:r/>
      <w:bookmarkStart w:id="257" w:name="_Toc305158875"/>
      <w:r/>
      <w:bookmarkStart w:id="258" w:name="_Toc151193631"/>
      <w:r/>
      <w:bookmarkStart w:id="259" w:name="_Toc151193921"/>
      <w:r/>
      <w:bookmarkStart w:id="260" w:name="_Toc127161447"/>
      <w:r/>
      <w:bookmarkStart w:id="261" w:name="_Toc265228371"/>
      <w:r/>
      <w:bookmarkStart w:id="262" w:name="_Toc226965806"/>
      <w:r/>
      <w:bookmarkStart w:id="263" w:name="_Toc264969223"/>
      <w:r/>
      <w:bookmarkStart w:id="264" w:name="_Toc520356158"/>
      <w:r/>
      <w:bookmarkStart w:id="265" w:name="_Toc151190160"/>
      <w:r/>
      <w:bookmarkStart w:id="266" w:name="_Toc226337229"/>
      <w:r/>
      <w:bookmarkStart w:id="267" w:name="_Toc150480771"/>
      <w:r/>
      <w:bookmarkStart w:id="268" w:name="_Toc151193703"/>
      <w:r/>
      <w:bookmarkStart w:id="269" w:name="_Toc151193775"/>
      <w:r/>
      <w:bookmarkStart w:id="270" w:name="_Toc164229374"/>
      <w:r/>
      <w:bookmarkStart w:id="271" w:name="_Toc164229228"/>
      <w:r/>
      <w:bookmarkStart w:id="272" w:name="_Toc150774738"/>
      <w:r/>
      <w:bookmarkStart w:id="273" w:name="_Toc164608647"/>
      <w:r/>
      <w:bookmarkStart w:id="274" w:name="_Toc226309777"/>
      <w:r/>
      <w:bookmarkStart w:id="275" w:name="_Toc127151533"/>
      <w:r/>
      <w:bookmarkStart w:id="276" w:name="_Toc226965723"/>
      <w:r/>
      <w:bookmarkStart w:id="277" w:name="_Toc164351627"/>
      <w:r/>
      <w:bookmarkStart w:id="278" w:name="_Toc142311035"/>
      <w:r/>
      <w:bookmarkStart w:id="279" w:name="_Toc195842898"/>
      <w:r/>
      <w:bookmarkStart w:id="280" w:name="_Toc150509284"/>
      <w:r/>
      <w:bookmarkStart w:id="281" w:name="_Toc149720826"/>
      <w:r>
        <w:rPr>
          <w:rFonts w:hint="eastAsia" w:ascii="宋体" w:hAnsi="宋体" w:cs="宋体"/>
          <w:color w:val="auto"/>
          <w:sz w:val="24"/>
          <w:highlight w:val="none"/>
        </w:rPr>
        <w:t xml:space="preserve">响应文件的签署</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rFonts w:hint="eastAsia" w:ascii="宋体" w:hAnsi="宋体" w:cs="宋体"/>
          <w:color w:val="auto"/>
          <w:sz w:val="24"/>
          <w:highlight w:val="none"/>
        </w:rPr>
        <w:t xml:space="preserve">、盖章</w:t>
      </w:r>
      <w:r/>
    </w:p>
    <w:p>
      <w:pPr>
        <w:numPr>
          <w:ilvl w:val="1"/>
          <w:numId w:val="8"/>
        </w:numPr>
        <w:ind w:hanging="1042"/>
        <w:spacing w:line="360" w:lineRule="auto"/>
        <w:tabs>
          <w:tab w:val="left" w:pos="1080" w:leader="none"/>
          <w:tab w:val="clear" w:pos="1589" w:leader="none"/>
          <w:tab w:val="left" w:pos="2014" w:leader="none"/>
        </w:tabs>
        <w:rPr>
          <w:rFonts w:ascii="宋体" w:hAnsi="宋体" w:cs="宋体"/>
          <w:color w:val="auto"/>
          <w:sz w:val="24"/>
          <w:highlight w:val="none"/>
        </w:rPr>
      </w:pPr>
      <w:r/>
      <w:bookmarkStart w:id="282" w:name="_Toc520356159"/>
      <w:r/>
      <w:bookmarkStart w:id="283" w:name="_Toc226337230"/>
      <w:r/>
      <w:bookmarkStart w:id="284" w:name="_Toc226965807"/>
      <w:r/>
      <w:bookmarkStart w:id="285" w:name="_Toc151193776"/>
      <w:r/>
      <w:bookmarkStart w:id="286" w:name="_Toc150509285"/>
      <w:r/>
      <w:bookmarkStart w:id="287" w:name="_Toc150480772"/>
      <w:r/>
      <w:bookmarkStart w:id="288" w:name="_Toc195842899"/>
      <w:r/>
      <w:bookmarkStart w:id="289" w:name="_Toc142311036"/>
      <w:r/>
      <w:bookmarkStart w:id="290" w:name="_Toc151193848"/>
      <w:r/>
      <w:bookmarkStart w:id="291" w:name="_Toc127151534"/>
      <w:r/>
      <w:bookmarkStart w:id="292" w:name="_Toc265228372"/>
      <w:r/>
      <w:bookmarkStart w:id="293" w:name="_Toc226965724"/>
      <w:r/>
      <w:bookmarkStart w:id="294" w:name="_Toc151193704"/>
      <w:r/>
      <w:bookmarkStart w:id="295" w:name="_Toc150774739"/>
      <w:r/>
      <w:bookmarkStart w:id="296" w:name="_Toc305158876"/>
      <w:r/>
      <w:bookmarkStart w:id="297" w:name="_Toc305158802"/>
      <w:r/>
      <w:bookmarkStart w:id="298" w:name="_Toc151190161"/>
      <w:r/>
      <w:bookmarkStart w:id="299" w:name="_Toc226309778"/>
      <w:r/>
      <w:bookmarkStart w:id="300" w:name="_Toc150774634"/>
      <w:r/>
      <w:bookmarkStart w:id="301" w:name="_Toc151193632"/>
      <w:r/>
      <w:bookmarkStart w:id="302" w:name="_Toc151193922"/>
      <w:r/>
      <w:bookmarkStart w:id="303" w:name="_Toc264969224"/>
      <w:r>
        <w:rPr>
          <w:rFonts w:hint="eastAsia" w:ascii="宋体" w:hAnsi="宋体" w:cs="宋体"/>
          <w:color w:val="auto"/>
          <w:sz w:val="24"/>
          <w:highlight w:val="none"/>
        </w:rPr>
        <w:t xml:space="preserve">竞争性磋商文件要求签字、盖章的内容，供应商须按规定签字、盖章。</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磋商响应文件应无涂改和行间插字，供应商造成的必须修改的错误，修改处应由磋商响应文件法定代表人或授权委托人签字或盖章并加盖供应商公章，否则修改无效。</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在磋商响应文件中应加盖与供应商全称相一致的标准公章，不得使用其他形式如带有“专用章”等字样的印章，否则视为无效响应；供应商法定代表人或授权代表的签字或盖章须为全名，否则视为无效响应。</w:t>
      </w:r>
      <w:r/>
    </w:p>
    <w:p>
      <w:pPr>
        <w:ind w:left="357"/>
        <w:spacing w:line="360" w:lineRule="auto"/>
        <w:tabs>
          <w:tab w:val="left" w:pos="900" w:leader="none"/>
          <w:tab w:val="left" w:pos="1080" w:leader="none"/>
        </w:tabs>
        <w:rPr>
          <w:color w:val="auto"/>
          <w:highlight w:val="none"/>
        </w:rPr>
      </w:pPr>
      <w:r>
        <w:rPr>
          <w:color w:val="auto"/>
          <w:highlight w:val="none"/>
        </w:rPr>
      </w:r>
      <w:r/>
    </w:p>
    <w:p>
      <w:pPr>
        <w:pStyle w:val="1031"/>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四、响应文件的提交</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304" w:name="_Toc127151736"/>
      <w:r/>
      <w:bookmarkStart w:id="305" w:name="_Toc151193923"/>
      <w:r/>
      <w:bookmarkStart w:id="306" w:name="_Toc164351629"/>
      <w:r/>
      <w:bookmarkStart w:id="307" w:name="_Toc151193633"/>
      <w:r/>
      <w:bookmarkStart w:id="308" w:name="_Toc151190162"/>
      <w:r/>
      <w:bookmarkStart w:id="309" w:name="_Toc150774635"/>
      <w:r/>
      <w:bookmarkStart w:id="310" w:name="_Toc150509286"/>
      <w:r/>
      <w:bookmarkStart w:id="311" w:name="_Toc142311037"/>
      <w:r/>
      <w:bookmarkStart w:id="312" w:name="_Toc150480773"/>
      <w:r/>
      <w:bookmarkStart w:id="313" w:name="_Toc151193849"/>
      <w:r/>
      <w:bookmarkStart w:id="314" w:name="_Toc127151535"/>
      <w:r/>
      <w:bookmarkStart w:id="315" w:name="_Toc151193705"/>
      <w:r/>
      <w:bookmarkStart w:id="316" w:name="_Toc195842900"/>
      <w:r/>
      <w:bookmarkStart w:id="317" w:name="_Toc164608649"/>
      <w:r/>
      <w:bookmarkStart w:id="318" w:name="_Toc226965725"/>
      <w:r/>
      <w:bookmarkStart w:id="319" w:name="_Toc265228373"/>
      <w:r/>
      <w:bookmarkStart w:id="320" w:name="_Toc264969225"/>
      <w:r/>
      <w:bookmarkStart w:id="321" w:name="_Toc127161449"/>
      <w:r/>
      <w:bookmarkStart w:id="322" w:name="_Toc149720828"/>
      <w:r/>
      <w:bookmarkStart w:id="323" w:name="_Toc226309779"/>
      <w:r/>
      <w:bookmarkStart w:id="324" w:name="_Toc164229376"/>
      <w:r/>
      <w:bookmarkStart w:id="325" w:name="_Toc151193777"/>
      <w:r/>
      <w:bookmarkStart w:id="326" w:name="_Toc305158877"/>
      <w:r/>
      <w:bookmarkStart w:id="327" w:name="_Toc226337231"/>
      <w:r/>
      <w:bookmarkStart w:id="328" w:name="_Toc164608804"/>
      <w:r/>
      <w:bookmarkStart w:id="329" w:name="_Toc520356160"/>
      <w:r/>
      <w:bookmarkStart w:id="330" w:name="_Toc305158803"/>
      <w:r/>
      <w:bookmarkStart w:id="331" w:name="_Toc164229230"/>
      <w:r/>
      <w:bookmarkStart w:id="332" w:name="_Toc226965808"/>
      <w:r/>
      <w:bookmarkStart w:id="333" w:name="_Toc150774740"/>
      <w:r>
        <w:rPr>
          <w:rFonts w:hint="eastAsia" w:ascii="宋体" w:hAnsi="宋体" w:cs="宋体"/>
          <w:color w:val="auto"/>
          <w:sz w:val="24"/>
          <w:highlight w:val="none"/>
        </w:rPr>
        <w:t xml:space="preserve">响应文件的</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ascii="宋体" w:hAnsi="宋体" w:cs="宋体"/>
          <w:color w:val="auto"/>
          <w:sz w:val="24"/>
          <w:highlight w:val="none"/>
        </w:rPr>
        <w:t xml:space="preserve">提交</w:t>
      </w:r>
      <w:r/>
    </w:p>
    <w:p>
      <w:pPr>
        <w:numPr>
          <w:ilvl w:val="1"/>
          <w:numId w:val="8"/>
        </w:numPr>
        <w:ind w:left="1134" w:hanging="708"/>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b/>
          <w:color w:val="auto"/>
          <w:sz w:val="24"/>
          <w:highlight w:val="none"/>
        </w:rPr>
        <w:t xml:space="preserve">磋商开启前不需要提供纸质响应文件。中标后，需提供响应文件共一式叁份，“正本”壹份、“副本”贰份。在每一份响应文件上要标明“正本”或“副本”字样，一旦正本和副本有差异，以正本为准,正本、副本应分别装订成册。</w:t>
      </w:r>
      <w:r/>
    </w:p>
    <w:p>
      <w:pPr>
        <w:numPr>
          <w:ilvl w:val="1"/>
          <w:numId w:val="8"/>
        </w:numPr>
        <w:ind w:left="1134" w:hanging="708"/>
        <w:spacing w:line="360" w:lineRule="auto"/>
        <w:tabs>
          <w:tab w:val="left" w:pos="1080" w:leader="none"/>
          <w:tab w:val="clear"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采购人及采购代理机构拒绝接受通过“苏采云”政府采购一体化平台以外任何形式提交的投标文件。</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334" w:name="_Toc265228374"/>
      <w:r/>
      <w:bookmarkStart w:id="335" w:name="_Toc151193706"/>
      <w:r/>
      <w:bookmarkStart w:id="336" w:name="_Toc127161450"/>
      <w:r/>
      <w:bookmarkStart w:id="337" w:name="_Toc226337232"/>
      <w:r/>
      <w:bookmarkStart w:id="338" w:name="_Toc127151737"/>
      <w:r/>
      <w:bookmarkStart w:id="339" w:name="_Toc226309780"/>
      <w:r/>
      <w:bookmarkStart w:id="340" w:name="_Toc150509287"/>
      <w:r/>
      <w:bookmarkStart w:id="341" w:name="_Toc127151536"/>
      <w:r/>
      <w:bookmarkStart w:id="342" w:name="_Toc164229377"/>
      <w:r/>
      <w:bookmarkStart w:id="343" w:name="_Toc151193778"/>
      <w:r/>
      <w:bookmarkStart w:id="344" w:name="_Toc520356161"/>
      <w:r/>
      <w:bookmarkStart w:id="345" w:name="_Toc164608805"/>
      <w:r/>
      <w:bookmarkStart w:id="346" w:name="_Toc150774741"/>
      <w:r/>
      <w:bookmarkStart w:id="347" w:name="_Toc195842901"/>
      <w:r/>
      <w:bookmarkStart w:id="348" w:name="_Toc164351630"/>
      <w:r/>
      <w:bookmarkStart w:id="349" w:name="_Toc150480774"/>
      <w:r/>
      <w:bookmarkStart w:id="350" w:name="_Toc151190163"/>
      <w:r/>
      <w:bookmarkStart w:id="351" w:name="_Toc151193924"/>
      <w:r/>
      <w:bookmarkStart w:id="352" w:name="_Toc149720829"/>
      <w:r/>
      <w:bookmarkStart w:id="353" w:name="_Toc305158878"/>
      <w:r/>
      <w:bookmarkStart w:id="354" w:name="_Toc226965809"/>
      <w:r/>
      <w:bookmarkStart w:id="355" w:name="_Toc226965726"/>
      <w:r/>
      <w:bookmarkStart w:id="356" w:name="_Toc151193634"/>
      <w:r/>
      <w:bookmarkStart w:id="357" w:name="_Toc142311038"/>
      <w:r/>
      <w:bookmarkStart w:id="358" w:name="_Toc264969226"/>
      <w:r/>
      <w:bookmarkStart w:id="359" w:name="_Toc164229231"/>
      <w:r/>
      <w:bookmarkStart w:id="360" w:name="_Toc305158804"/>
      <w:r/>
      <w:bookmarkStart w:id="361" w:name="_Toc151193850"/>
      <w:r/>
      <w:bookmarkStart w:id="362" w:name="_Toc164608650"/>
      <w:r/>
      <w:bookmarkStart w:id="363" w:name="_Toc150774636"/>
      <w:r>
        <w:rPr>
          <w:rFonts w:hint="eastAsia" w:ascii="宋体" w:hAnsi="宋体" w:cs="宋体"/>
          <w:color w:val="auto"/>
          <w:sz w:val="24"/>
          <w:highlight w:val="none"/>
        </w:rPr>
        <w:t xml:space="preserve">响应文件截止</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cs="宋体"/>
          <w:color w:val="auto"/>
          <w:sz w:val="24"/>
          <w:highlight w:val="none"/>
        </w:rPr>
        <w:t xml:space="preserve">时间</w:t>
      </w:r>
      <w:r/>
    </w:p>
    <w:p>
      <w:pPr>
        <w:ind w:left="990" w:hanging="511"/>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15.1供应商应在竞争性磋商文件要求提交响应文件截止时间前，将电子响应文件提交至“苏采云”政府采购一体化平台。</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364" w:name="_Toc151193707"/>
      <w:r/>
      <w:bookmarkStart w:id="365" w:name="_Toc142311039"/>
      <w:r/>
      <w:bookmarkStart w:id="366" w:name="_Toc151193779"/>
      <w:r/>
      <w:bookmarkStart w:id="367" w:name="_Toc149720830"/>
      <w:r/>
      <w:bookmarkStart w:id="368" w:name="_Toc127151537"/>
      <w:r/>
      <w:bookmarkStart w:id="369" w:name="_Toc164229378"/>
      <w:r/>
      <w:bookmarkStart w:id="370" w:name="_Toc127151738"/>
      <w:r/>
      <w:bookmarkStart w:id="371" w:name="_Toc264969227"/>
      <w:r/>
      <w:bookmarkStart w:id="372" w:name="_Toc150480775"/>
      <w:r/>
      <w:bookmarkStart w:id="373" w:name="_Toc226965727"/>
      <w:r/>
      <w:bookmarkStart w:id="374" w:name="_Toc151193635"/>
      <w:r/>
      <w:bookmarkStart w:id="375" w:name="_Toc164608651"/>
      <w:r/>
      <w:bookmarkStart w:id="376" w:name="_Toc305158879"/>
      <w:r/>
      <w:bookmarkStart w:id="377" w:name="_Toc226337233"/>
      <w:r/>
      <w:bookmarkStart w:id="378" w:name="_Toc226965810"/>
      <w:r/>
      <w:bookmarkStart w:id="379" w:name="_Toc164608806"/>
      <w:r/>
      <w:bookmarkStart w:id="380" w:name="_Toc520356162"/>
      <w:r/>
      <w:bookmarkStart w:id="381" w:name="_Toc150774742"/>
      <w:r/>
      <w:bookmarkStart w:id="382" w:name="_Toc226309781"/>
      <w:r/>
      <w:bookmarkStart w:id="383" w:name="_Toc164229232"/>
      <w:r/>
      <w:bookmarkStart w:id="384" w:name="_Toc151193851"/>
      <w:r/>
      <w:bookmarkStart w:id="385" w:name="_Toc164351631"/>
      <w:r/>
      <w:bookmarkStart w:id="386" w:name="_Toc151193925"/>
      <w:r/>
      <w:bookmarkStart w:id="387" w:name="_Toc150509288"/>
      <w:r/>
      <w:bookmarkStart w:id="388" w:name="_Toc305158805"/>
      <w:r/>
      <w:bookmarkStart w:id="389" w:name="_Toc127161451"/>
      <w:r/>
      <w:bookmarkStart w:id="390" w:name="_Toc265228375"/>
      <w:r/>
      <w:bookmarkStart w:id="391" w:name="_Toc195842902"/>
      <w:r/>
      <w:bookmarkStart w:id="392" w:name="_Toc150774637"/>
      <w:r/>
      <w:bookmarkStart w:id="393" w:name="_Toc151190164"/>
      <w:r>
        <w:rPr>
          <w:rFonts w:hint="eastAsia" w:ascii="宋体" w:hAnsi="宋体" w:cs="宋体"/>
          <w:color w:val="auto"/>
          <w:sz w:val="24"/>
          <w:highlight w:val="none"/>
        </w:rPr>
        <w:t xml:space="preserve">响应文件的修改与撤回</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ind w:left="991" w:hanging="422"/>
        <w:spacing w:line="360" w:lineRule="auto"/>
        <w:tabs>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ind w:left="989" w:hanging="422"/>
        <w:spacing w:line="360" w:lineRule="auto"/>
        <w:tabs>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16.2供应商对响应文件的补充、修改的内容应当按照竞争性磋商文件要求签署、盖章，作为响应文件的组成部分。补充、修改的内容与响应文件不一致的，以补充、修改的内容为准。</w:t>
      </w:r>
      <w:r/>
    </w:p>
    <w:p>
      <w:pPr>
        <w:pStyle w:val="1031"/>
        <w:ind w:left="600" w:hanging="600"/>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五、评审</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响应文件的开启</w:t>
      </w:r>
      <w:r/>
    </w:p>
    <w:p>
      <w:pPr>
        <w:numPr>
          <w:ilvl w:val="1"/>
          <w:numId w:val="8"/>
        </w:numPr>
        <w:ind w:left="1077" w:hanging="720"/>
        <w:spacing w:line="360" w:lineRule="auto"/>
        <w:tabs>
          <w:tab w:val="left" w:pos="1080" w:leader="none"/>
          <w:tab w:val="clear"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clear"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供应商不足3家的，不予开启。</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bookmarkStart w:id="394" w:name="_Toc520356165"/>
      <w:r>
        <w:rPr>
          <w:rFonts w:hint="eastAsia" w:ascii="宋体" w:hAnsi="宋体" w:cs="宋体"/>
          <w:color w:val="auto"/>
          <w:sz w:val="24"/>
          <w:highlight w:val="none"/>
        </w:rPr>
        <w:t xml:space="preserve">本项目不公开报价。</w:t>
      </w:r>
      <w:bookmarkEnd w:id="394"/>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磋商小组</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磋商小组根据政府采购有关规定和本次采购项目的特点进行组建，并负责具体评审事务，独立履行职责。</w:t>
      </w:r>
      <w:bookmarkStart w:id="395" w:name="_Toc520356166"/>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395"/>
      <w:r/>
      <w:bookmarkStart w:id="396" w:name="_Toc520356169"/>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见第三章《评审方法和评审标准》。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031"/>
        <w:spacing w:before="0" w:line="360" w:lineRule="auto"/>
        <w:rPr>
          <w:rFonts w:ascii="Times New Roman" w:hAnsi="Times New Roman" w:eastAsia="宋体"/>
          <w:color w:val="auto"/>
          <w:sz w:val="28"/>
          <w:highlight w:val="none"/>
        </w:rPr>
      </w:pPr>
      <w:r/>
      <w:bookmarkStart w:id="397" w:name="_Toc151193643"/>
      <w:r/>
      <w:bookmarkStart w:id="398" w:name="_Toc150774750"/>
      <w:r/>
      <w:bookmarkStart w:id="399" w:name="_Toc305158887"/>
      <w:r/>
      <w:bookmarkStart w:id="400" w:name="_Toc150480783"/>
      <w:r/>
      <w:bookmarkStart w:id="401" w:name="_Toc226337241"/>
      <w:r/>
      <w:bookmarkStart w:id="402" w:name="_Toc151193933"/>
      <w:r/>
      <w:bookmarkStart w:id="403" w:name="_Toc150774645"/>
      <w:r/>
      <w:bookmarkStart w:id="404" w:name="_Toc150509296"/>
      <w:r/>
      <w:bookmarkStart w:id="405" w:name="_Toc265228383"/>
      <w:r/>
      <w:bookmarkStart w:id="406" w:name="_Toc127151545"/>
      <w:r/>
      <w:bookmarkStart w:id="407" w:name="_Toc226965735"/>
      <w:r/>
      <w:bookmarkStart w:id="408" w:name="_Toc305158813"/>
      <w:r/>
      <w:bookmarkStart w:id="409" w:name="_Toc226965818"/>
      <w:r/>
      <w:bookmarkStart w:id="410" w:name="_Toc264969235"/>
      <w:r/>
      <w:bookmarkStart w:id="411" w:name="_Toc142311047"/>
      <w:r/>
      <w:bookmarkStart w:id="412" w:name="_Toc151193859"/>
      <w:r/>
      <w:bookmarkStart w:id="413" w:name="_Toc195842910"/>
      <w:r/>
      <w:bookmarkStart w:id="414" w:name="_Toc226309789"/>
      <w:r/>
      <w:bookmarkStart w:id="415" w:name="_Toc151193715"/>
      <w:r/>
      <w:bookmarkStart w:id="416" w:name="_Toc151190172"/>
      <w:r/>
      <w:bookmarkStart w:id="417" w:name="_Toc151193787"/>
      <w:r>
        <w:rPr>
          <w:rFonts w:ascii="Times New Roman" w:hAnsi="Times New Roman" w:eastAsia="宋体"/>
          <w:color w:val="auto"/>
          <w:sz w:val="28"/>
          <w:highlight w:val="none"/>
        </w:rPr>
        <w:t xml:space="preserve">六</w:t>
      </w:r>
      <w:bookmarkEnd w:id="396"/>
      <w:r>
        <w:rPr>
          <w:rFonts w:ascii="Times New Roman" w:hAnsi="Times New Roman" w:eastAsia="宋体"/>
          <w:color w:val="auto"/>
          <w:sz w:val="28"/>
          <w:highlight w:val="none"/>
        </w:rPr>
        <w:t xml:space="preserve">、确定</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Pr>
          <w:rFonts w:ascii="Times New Roman" w:hAnsi="Times New Roman" w:eastAsia="宋体"/>
          <w:color w:val="auto"/>
          <w:sz w:val="28"/>
          <w:highlight w:val="none"/>
        </w:rPr>
        <w:t xml:space="preserve">成交</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418" w:name="_Toc164608816"/>
      <w:r/>
      <w:bookmarkStart w:id="419" w:name="_Toc127161461"/>
      <w:r/>
      <w:bookmarkStart w:id="420" w:name="_Toc305158815"/>
      <w:r/>
      <w:bookmarkStart w:id="421" w:name="_Toc164229242"/>
      <w:r/>
      <w:bookmarkStart w:id="422" w:name="_Toc164229388"/>
      <w:r/>
      <w:bookmarkStart w:id="423" w:name="_Toc151193717"/>
      <w:r/>
      <w:bookmarkStart w:id="424" w:name="_Toc142311049"/>
      <w:r/>
      <w:bookmarkStart w:id="425" w:name="_Toc264969237"/>
      <w:r/>
      <w:bookmarkStart w:id="426" w:name="_Toc305158889"/>
      <w:r/>
      <w:bookmarkStart w:id="427" w:name="_Toc150774647"/>
      <w:r/>
      <w:bookmarkStart w:id="428" w:name="_Toc151193935"/>
      <w:r/>
      <w:bookmarkStart w:id="429" w:name="_Toc150509298"/>
      <w:r/>
      <w:bookmarkStart w:id="430" w:name="_Toc164351641"/>
      <w:r/>
      <w:bookmarkStart w:id="431" w:name="_Toc127151748"/>
      <w:r/>
      <w:bookmarkStart w:id="432" w:name="_Toc151193789"/>
      <w:r/>
      <w:bookmarkStart w:id="433" w:name="_Toc150774752"/>
      <w:r/>
      <w:bookmarkStart w:id="434" w:name="_Toc265228385"/>
      <w:r/>
      <w:bookmarkStart w:id="435" w:name="_Toc226337243"/>
      <w:r/>
      <w:bookmarkStart w:id="436" w:name="_Toc195842912"/>
      <w:r/>
      <w:bookmarkStart w:id="437" w:name="_Toc164608661"/>
      <w:r/>
      <w:bookmarkStart w:id="438" w:name="_Toc151193861"/>
      <w:r/>
      <w:bookmarkStart w:id="439" w:name="_Toc226965737"/>
      <w:r/>
      <w:bookmarkStart w:id="440" w:name="_Toc151190174"/>
      <w:r/>
      <w:bookmarkStart w:id="441" w:name="_Toc226965820"/>
      <w:r/>
      <w:bookmarkStart w:id="442" w:name="_Toc150480785"/>
      <w:r/>
      <w:bookmarkStart w:id="443" w:name="_Toc127151547"/>
      <w:r/>
      <w:bookmarkStart w:id="444" w:name="_Toc151193645"/>
      <w:r/>
      <w:bookmarkStart w:id="445" w:name="_Toc149720840"/>
      <w:r/>
      <w:bookmarkStart w:id="446" w:name="_Toc226309791"/>
      <w:r>
        <w:rPr>
          <w:rFonts w:hint="eastAsia" w:ascii="宋体" w:hAnsi="宋体" w:cs="宋体"/>
          <w:color w:val="auto"/>
          <w:sz w:val="24"/>
          <w:highlight w:val="none"/>
        </w:rPr>
        <w:t xml:space="preserve">确定成交供应商</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447" w:name="_Toc305158891"/>
      <w:r/>
      <w:bookmarkStart w:id="448" w:name="_Toc305158817"/>
      <w:r/>
      <w:bookmarkStart w:id="449" w:name="_Toc226309793"/>
      <w:r/>
      <w:bookmarkStart w:id="450" w:name="_Toc151193937"/>
      <w:r/>
      <w:bookmarkStart w:id="451" w:name="_Toc127161463"/>
      <w:r/>
      <w:bookmarkStart w:id="452" w:name="_Toc226965822"/>
      <w:r/>
      <w:bookmarkStart w:id="453" w:name="_Toc151190176"/>
      <w:r/>
      <w:bookmarkStart w:id="454" w:name="_Toc195842914"/>
      <w:r/>
      <w:bookmarkStart w:id="455" w:name="_Toc142311051"/>
      <w:r/>
      <w:bookmarkStart w:id="456" w:name="_Toc226337245"/>
      <w:r/>
      <w:bookmarkStart w:id="457" w:name="_Toc150509300"/>
      <w:r/>
      <w:bookmarkStart w:id="458" w:name="_Toc150774649"/>
      <w:r/>
      <w:bookmarkStart w:id="459" w:name="_Toc264969239"/>
      <w:r/>
      <w:bookmarkStart w:id="460" w:name="_Toc265228387"/>
      <w:r/>
      <w:bookmarkStart w:id="461" w:name="_Toc149720842"/>
      <w:r/>
      <w:bookmarkStart w:id="462" w:name="_Toc164229390"/>
      <w:r/>
      <w:bookmarkStart w:id="463" w:name="_Toc164608818"/>
      <w:r/>
      <w:bookmarkStart w:id="464" w:name="_Toc151193719"/>
      <w:r/>
      <w:bookmarkStart w:id="465" w:name="_Toc151193647"/>
      <w:r/>
      <w:bookmarkStart w:id="466" w:name="_Toc150774754"/>
      <w:r/>
      <w:bookmarkStart w:id="467" w:name="_Toc127151750"/>
      <w:r/>
      <w:bookmarkStart w:id="468" w:name="_Toc164351643"/>
      <w:r/>
      <w:bookmarkStart w:id="469" w:name="_Toc226965739"/>
      <w:r/>
      <w:bookmarkStart w:id="470" w:name="_Toc164608663"/>
      <w:r/>
      <w:bookmarkStart w:id="471" w:name="_Toc151193863"/>
      <w:r/>
      <w:bookmarkStart w:id="472" w:name="_Toc151193791"/>
      <w:r/>
      <w:bookmarkStart w:id="473" w:name="_Toc127151549"/>
      <w:r/>
      <w:bookmarkStart w:id="474" w:name="_Toc150480787"/>
      <w:r/>
      <w:bookmarkStart w:id="475" w:name="_Toc164229244"/>
      <w:r/>
      <w:bookmarkStart w:id="476" w:name="_Ref467307090"/>
      <w:r/>
      <w:bookmarkStart w:id="477" w:name="_Ref467306425"/>
      <w:r/>
      <w:bookmarkStart w:id="478" w:name="_Toc520356176"/>
      <w:r>
        <w:rPr>
          <w:rFonts w:hint="eastAsia" w:ascii="宋体" w:hAnsi="宋体" w:cs="宋体"/>
          <w:color w:val="auto"/>
          <w:sz w:val="24"/>
          <w:highlight w:val="none"/>
        </w:rPr>
        <w:t xml:space="preserve">成交公告与成交通知书</w:t>
      </w:r>
      <w:bookmarkEnd w:id="447"/>
      <w:r/>
      <w:bookmarkEnd w:id="448"/>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采购人或采购代理机构将</w:t>
      </w:r>
      <w:r>
        <w:rPr>
          <w:rFonts w:hint="eastAsia" w:ascii="宋体" w:hAnsi="宋体" w:cs="宋体"/>
          <w:color w:val="auto"/>
          <w:sz w:val="24"/>
          <w:highlight w:val="none"/>
        </w:rPr>
        <w:t xml:space="preserve">在成交供应商确定后2个工作日内，在</w:t>
      </w:r>
      <w:r>
        <w:rPr>
          <w:rFonts w:hint="eastAsia" w:ascii="宋体" w:hAnsi="宋体" w:cs="宋体"/>
          <w:color w:val="auto"/>
          <w:sz w:val="24"/>
          <w:highlight w:val="none"/>
        </w:rPr>
        <w:t xml:space="preserve">常州市政府采购网</w:t>
      </w:r>
      <w:r>
        <w:rPr>
          <w:rFonts w:hint="eastAsia" w:ascii="宋体" w:hAnsi="宋体" w:cs="宋体"/>
          <w:color w:val="auto"/>
          <w:sz w:val="24"/>
          <w:highlight w:val="none"/>
        </w:rPr>
        <w:t xml:space="preserve">公告成交结果，同时向成交供应商发出成交通知书，</w:t>
      </w:r>
      <w:r>
        <w:rPr>
          <w:rFonts w:hint="eastAsia" w:ascii="宋体" w:hAnsi="宋体" w:cs="宋体"/>
          <w:color w:val="auto"/>
          <w:sz w:val="24"/>
          <w:highlight w:val="none"/>
        </w:rPr>
        <w:t xml:space="preserve">成交公告期限为1个工作日。</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终止</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因情况变化，不再符合规定的竞争性磋商采购方式适用情形的；</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出现影响采购公正的违法、违规行为的；</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情况严重且影响采购活动公平、公正性的。</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479" w:name="_Toc151193938"/>
      <w:r/>
      <w:bookmarkStart w:id="480" w:name="_Toc149720843"/>
      <w:r/>
      <w:bookmarkStart w:id="481" w:name="_Toc164608819"/>
      <w:r/>
      <w:bookmarkStart w:id="482" w:name="_Toc151193864"/>
      <w:r/>
      <w:bookmarkStart w:id="483" w:name="_Toc150774650"/>
      <w:r/>
      <w:bookmarkStart w:id="484" w:name="_Ref467306377"/>
      <w:r/>
      <w:bookmarkStart w:id="485" w:name="_Toc150480788"/>
      <w:r/>
      <w:bookmarkStart w:id="486" w:name="_Toc195842915"/>
      <w:r/>
      <w:bookmarkStart w:id="487" w:name="_Toc127161464"/>
      <w:r/>
      <w:bookmarkStart w:id="488" w:name="_Toc265228388"/>
      <w:r/>
      <w:bookmarkStart w:id="489" w:name="_Toc151193648"/>
      <w:r/>
      <w:bookmarkStart w:id="490" w:name="_Toc150509301"/>
      <w:r/>
      <w:bookmarkStart w:id="491" w:name="_Toc150774755"/>
      <w:r/>
      <w:bookmarkStart w:id="492" w:name="_Toc127151751"/>
      <w:r/>
      <w:bookmarkStart w:id="493" w:name="_Toc164608664"/>
      <w:r/>
      <w:bookmarkStart w:id="494" w:name="_Ref467306978"/>
      <w:r/>
      <w:bookmarkStart w:id="495" w:name="_Toc164351644"/>
      <w:r/>
      <w:bookmarkStart w:id="496" w:name="_Ref467307062"/>
      <w:r/>
      <w:bookmarkStart w:id="497" w:name="_Toc151193792"/>
      <w:r/>
      <w:bookmarkStart w:id="498" w:name="_Ref467307204"/>
      <w:r/>
      <w:bookmarkStart w:id="499" w:name="_Toc264969240"/>
      <w:r/>
      <w:bookmarkStart w:id="500" w:name="_Toc305158818"/>
      <w:r/>
      <w:bookmarkStart w:id="501" w:name="_Toc520356175"/>
      <w:r/>
      <w:bookmarkStart w:id="502" w:name="_Toc226965740"/>
      <w:r/>
      <w:bookmarkStart w:id="503" w:name="_Toc151193720"/>
      <w:r/>
      <w:bookmarkStart w:id="504" w:name="_Toc226965823"/>
      <w:r/>
      <w:bookmarkStart w:id="505" w:name="_Toc142311052"/>
      <w:r/>
      <w:bookmarkStart w:id="506" w:name="_Toc151190177"/>
      <w:r/>
      <w:bookmarkStart w:id="507" w:name="_Toc127151550"/>
      <w:r/>
      <w:bookmarkStart w:id="508" w:name="_Toc226309794"/>
      <w:r/>
      <w:bookmarkStart w:id="509" w:name="_Toc226337246"/>
      <w:r/>
      <w:bookmarkStart w:id="510" w:name="_Toc305158892"/>
      <w:r/>
      <w:bookmarkStart w:id="511" w:name="_Toc164229245"/>
      <w:r/>
      <w:bookmarkStart w:id="512" w:name="_Toc164229391"/>
      <w:r>
        <w:rPr>
          <w:rFonts w:hint="eastAsia" w:ascii="宋体" w:hAnsi="宋体" w:cs="宋体"/>
          <w:color w:val="auto"/>
          <w:sz w:val="24"/>
          <w:highlight w:val="none"/>
        </w:rPr>
        <w:t xml:space="preserve">签订合同</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。成交供应商就采购项目和分包项目向采购人负责，分包供应商就分包项目承担责任。</w:t>
      </w:r>
      <w:bookmarkEnd w:id="476"/>
      <w:r/>
      <w:bookmarkEnd w:id="477"/>
      <w:r/>
      <w:bookmarkEnd w:id="478"/>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询问</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质疑</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79"/>
          <w:rFonts w:hint="eastAsia" w:ascii="宋体" w:hAnsi="宋体" w:cs="宋体"/>
          <w:color w:val="auto"/>
          <w:sz w:val="24"/>
          <w:highlight w:val="none"/>
        </w:rPr>
        <w:t xml:space="preserve">http://gk</w:t>
      </w:r>
      <w:bookmarkStart w:id="513" w:name="_Hlt100654014"/>
      <w:r>
        <w:rPr>
          <w:rStyle w:val="1079"/>
          <w:rFonts w:hint="eastAsia" w:ascii="宋体" w:hAnsi="宋体" w:cs="宋体"/>
          <w:color w:val="auto"/>
          <w:sz w:val="24"/>
          <w:highlight w:val="none"/>
        </w:rPr>
        <w:t xml:space="preserve">s</w:t>
      </w:r>
      <w:bookmarkEnd w:id="513"/>
      <w:r>
        <w:rPr>
          <w:rStyle w:val="1079"/>
          <w:rFonts w:hint="eastAsia" w:ascii="宋体" w:hAnsi="宋体" w:cs="宋体"/>
          <w:color w:val="auto"/>
          <w:sz w:val="24"/>
          <w:highlight w:val="none"/>
        </w:rPr>
        <w:t xml:space="preserve">.m</w:t>
      </w:r>
      <w:bookmarkStart w:id="514" w:name="_Hlt100653994"/>
      <w:r/>
      <w:bookmarkStart w:id="515" w:name="_Hlt100653993"/>
      <w:r>
        <w:rPr>
          <w:rStyle w:val="1079"/>
          <w:rFonts w:hint="eastAsia" w:ascii="宋体" w:hAnsi="宋体" w:cs="宋体"/>
          <w:color w:val="auto"/>
          <w:sz w:val="24"/>
          <w:highlight w:val="none"/>
        </w:rPr>
        <w:t xml:space="preserve">o</w:t>
      </w:r>
      <w:bookmarkEnd w:id="514"/>
      <w:r/>
      <w:bookmarkEnd w:id="515"/>
      <w:r/>
      <w:bookmarkStart w:id="516" w:name="_Hlt101169156"/>
      <w:r>
        <w:rPr>
          <w:rStyle w:val="1079"/>
          <w:rFonts w:hint="eastAsia" w:ascii="宋体" w:hAnsi="宋体" w:cs="宋体"/>
          <w:color w:val="auto"/>
          <w:sz w:val="24"/>
          <w:highlight w:val="none"/>
        </w:rPr>
        <w:t xml:space="preserve">f</w:t>
      </w:r>
      <w:bookmarkEnd w:id="516"/>
      <w:r>
        <w:rPr>
          <w:rStyle w:val="1079"/>
          <w:rFonts w:hint="eastAsia" w:ascii="宋体" w:hAnsi="宋体" w:cs="宋体"/>
          <w:color w:val="auto"/>
          <w:sz w:val="24"/>
          <w:highlight w:val="none"/>
        </w:rPr>
        <w:t xml:space="preserve">.gov.cn/ztztz/zhengfucaigouguanli/201802/t20180201_2804589.htm</w:t>
      </w:r>
      <w:r>
        <w:rPr>
          <w:rStyle w:val="1079"/>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sectPr>
          <w:footerReference w:type="even" r:id="rId17"/>
          <w:footnotePr/>
          <w:endnotePr/>
          <w:type w:val="nextPage"/>
          <w:pgSz w:w="11907" w:h="16840" w:orient="portrait"/>
          <w:pgMar w:top="1440" w:right="1304" w:bottom="1440" w:left="1304" w:header="851" w:footer="851" w:gutter="0"/>
          <w:cols w:num="1" w:sep="0" w:space="720" w:equalWidth="1"/>
          <w:docGrid w:linePitch="360"/>
        </w:sectPr>
      </w:pPr>
      <w:r>
        <w:rPr>
          <w:rFonts w:ascii="宋体" w:hAnsi="宋体" w:cs="宋体"/>
          <w:color w:val="auto"/>
          <w:sz w:val="24"/>
          <w:highlight w:val="none"/>
        </w:rPr>
      </w:r>
      <w:bookmarkEnd w:id="15"/>
      <w:r/>
      <w:bookmarkEnd w:id="16"/>
      <w:r/>
      <w:bookmarkEnd w:id="29"/>
      <w:r/>
      <w:bookmarkEnd w:id="30"/>
      <w:r/>
      <w:bookmarkEnd w:id="31"/>
      <w:r/>
      <w:bookmarkEnd w:id="32"/>
      <w:r/>
      <w:r/>
    </w:p>
    <w:p>
      <w:pPr>
        <w:jc w:val="center"/>
        <w:spacing w:line="360" w:lineRule="auto"/>
        <w:rPr>
          <w:b/>
          <w:color w:val="auto"/>
          <w:sz w:val="36"/>
          <w:szCs w:val="36"/>
          <w:highlight w:val="none"/>
        </w:rPr>
        <w:outlineLvl w:val="0"/>
      </w:pPr>
      <w:r/>
      <w:bookmarkStart w:id="517" w:name="_Toc226337250"/>
      <w:r/>
      <w:bookmarkStart w:id="518" w:name="_Toc353873934"/>
      <w:r/>
      <w:bookmarkStart w:id="519" w:name="_Toc353873664"/>
      <w:r/>
      <w:bookmarkStart w:id="520" w:name="_Toc142311056"/>
      <w:r/>
      <w:bookmarkStart w:id="521" w:name="_Toc150480792"/>
      <w:r/>
      <w:bookmarkStart w:id="522" w:name="_Toc226965827"/>
      <w:r/>
      <w:bookmarkStart w:id="523" w:name="_Toc353825544"/>
      <w:r/>
      <w:bookmarkStart w:id="524" w:name="_Toc127151554"/>
      <w:r/>
      <w:bookmarkStart w:id="525" w:name="_Toc150774759"/>
      <w:r/>
      <w:bookmarkStart w:id="526" w:name="_Toc265228392"/>
      <w:r/>
      <w:bookmarkStart w:id="527" w:name="_Toc264969244"/>
      <w:r/>
      <w:bookmarkStart w:id="528" w:name="_Toc305158822"/>
      <w:r/>
      <w:bookmarkStart w:id="529" w:name="_Toc305158896"/>
      <w:r/>
      <w:bookmarkStart w:id="530" w:name="_Toc193985580"/>
      <w:r/>
      <w:bookmarkStart w:id="531" w:name="_Toc150774724"/>
      <w:r/>
      <w:bookmarkStart w:id="532" w:name="_Toc142311021"/>
      <w:r/>
      <w:bookmarkStart w:id="533" w:name="_Toc226309763"/>
      <w:r/>
      <w:bookmarkStart w:id="534" w:name="_Toc127151720"/>
      <w:r/>
      <w:bookmarkStart w:id="535" w:name="_Toc151190146"/>
      <w:r/>
      <w:bookmarkStart w:id="536" w:name="_Toc226965709"/>
      <w:r/>
      <w:bookmarkStart w:id="537" w:name="_Toc164608633"/>
      <w:r/>
      <w:bookmarkStart w:id="538" w:name="_Toc151193761"/>
      <w:r/>
      <w:bookmarkStart w:id="539" w:name="_Toc164229214"/>
      <w:r/>
      <w:bookmarkStart w:id="540" w:name="_Toc164351613"/>
      <w:r/>
      <w:bookmarkStart w:id="541" w:name="_Toc151193833"/>
      <w:r/>
      <w:bookmarkStart w:id="542" w:name="_Toc149720812"/>
      <w:r/>
      <w:bookmarkStart w:id="543" w:name="_Toc164608788"/>
      <w:r/>
      <w:bookmarkStart w:id="544" w:name="_Toc127151519"/>
      <w:r/>
      <w:bookmarkStart w:id="545" w:name="_Toc127161433"/>
      <w:r/>
      <w:bookmarkStart w:id="546" w:name="_Toc226965792"/>
      <w:r/>
      <w:bookmarkStart w:id="547" w:name="_Toc226337215"/>
      <w:r/>
      <w:bookmarkStart w:id="548" w:name="_Toc151193907"/>
      <w:r/>
      <w:bookmarkStart w:id="549" w:name="_Toc150509270"/>
      <w:r/>
      <w:bookmarkStart w:id="550" w:name="_Toc195842884"/>
      <w:r/>
      <w:bookmarkStart w:id="551" w:name="_Toc164229360"/>
      <w:r/>
      <w:bookmarkStart w:id="552" w:name="_Toc150480757"/>
      <w:r/>
      <w:bookmarkStart w:id="553" w:name="_Toc520356144"/>
      <w:r/>
      <w:bookmarkStart w:id="554" w:name="_Toc151193689"/>
      <w:r/>
      <w:bookmarkStart w:id="555" w:name="_Toc151193617"/>
      <w:r/>
      <w:bookmarkStart w:id="556" w:name="_Toc150774619"/>
      <w:r>
        <w:rPr>
          <w:b/>
          <w:color w:val="auto"/>
          <w:sz w:val="36"/>
          <w:szCs w:val="36"/>
          <w:highlight w:val="none"/>
        </w:rPr>
        <w:t xml:space="preserve">第三章   </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30"/>
      <w:r/>
      <w:bookmarkStart w:id="557" w:name="_Toc487900382"/>
      <w:r/>
      <w:r/>
    </w:p>
    <w:p>
      <w:pPr>
        <w:pStyle w:val="1031"/>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p>
    <w:p>
      <w:pPr>
        <w:jc w:val="left"/>
        <w:tabs>
          <w:tab w:val="left" w:pos="1080" w:leader="none"/>
        </w:tabs>
        <w:rPr>
          <w:b/>
          <w:color w:val="auto"/>
          <w:sz w:val="24"/>
          <w:highlight w:val="none"/>
        </w:rPr>
      </w:pPr>
      <w:r>
        <w:rPr>
          <w:b/>
          <w:color w:val="auto"/>
          <w:sz w:val="24"/>
          <w:highlight w:val="none"/>
        </w:rPr>
        <w:tab/>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numPr>
          <w:ilvl w:val="0"/>
          <w:numId w:val="10"/>
        </w:numPr>
        <w:ind w:left="900" w:hanging="900"/>
        <w:spacing w:line="360" w:lineRule="auto"/>
        <w:tabs>
          <w:tab w:val="left" w:pos="360" w:leader="none"/>
        </w:tabs>
        <w:rPr>
          <w:color w:val="auto"/>
          <w:sz w:val="24"/>
          <w:highlight w:val="none"/>
        </w:rPr>
        <w:outlineLvl w:val="1"/>
      </w:pPr>
      <w:r/>
      <w:bookmarkStart w:id="558" w:name="_Toc264969231"/>
      <w:r/>
      <w:bookmarkStart w:id="559" w:name="_Toc151193639"/>
      <w:r/>
      <w:bookmarkStart w:id="560" w:name="_Toc149720834"/>
      <w:r/>
      <w:bookmarkStart w:id="561" w:name="_Toc127151541"/>
      <w:r/>
      <w:bookmarkStart w:id="562" w:name="_Toc151193783"/>
      <w:r/>
      <w:bookmarkStart w:id="563" w:name="_Toc127151742"/>
      <w:r/>
      <w:bookmarkStart w:id="564" w:name="_Toc151190168"/>
      <w:r/>
      <w:bookmarkStart w:id="565" w:name="_Toc226965814"/>
      <w:r/>
      <w:bookmarkStart w:id="566" w:name="_Toc150509292"/>
      <w:r/>
      <w:bookmarkStart w:id="567" w:name="_Toc150480779"/>
      <w:r/>
      <w:bookmarkStart w:id="568" w:name="_Toc150774746"/>
      <w:r/>
      <w:bookmarkStart w:id="569" w:name="_Toc226337237"/>
      <w:r/>
      <w:bookmarkStart w:id="570" w:name="_Toc151193711"/>
      <w:r/>
      <w:bookmarkStart w:id="571" w:name="_Toc164608810"/>
      <w:r/>
      <w:bookmarkStart w:id="572" w:name="_Toc164351635"/>
      <w:r/>
      <w:bookmarkStart w:id="573" w:name="_Toc127161455"/>
      <w:r/>
      <w:bookmarkStart w:id="574" w:name="_Toc195842906"/>
      <w:r/>
      <w:bookmarkStart w:id="575" w:name="_Toc164229382"/>
      <w:r/>
      <w:bookmarkStart w:id="576" w:name="_Toc151193855"/>
      <w:r/>
      <w:bookmarkStart w:id="577" w:name="_Toc142311043"/>
      <w:r/>
      <w:bookmarkStart w:id="578" w:name="_Toc164229236"/>
      <w:r/>
      <w:bookmarkStart w:id="579" w:name="_Toc226309785"/>
      <w:r/>
      <w:bookmarkStart w:id="580" w:name="_Toc226965731"/>
      <w:r/>
      <w:bookmarkStart w:id="581" w:name="_Toc164608655"/>
      <w:r/>
      <w:bookmarkStart w:id="582" w:name="_Toc150774641"/>
      <w:r/>
      <w:bookmarkStart w:id="583" w:name="_Toc151193929"/>
      <w:r/>
      <w:bookmarkStart w:id="584" w:name="_Toc305158809"/>
      <w:r/>
      <w:bookmarkStart w:id="585" w:name="_Toc305158883"/>
      <w:r/>
      <w:bookmarkStart w:id="586" w:name="_Toc265228379"/>
      <w:r/>
      <w:bookmarkStart w:id="587" w:name="_Toc353873941"/>
      <w:r/>
      <w:bookmarkStart w:id="588" w:name="_Toc353825551"/>
      <w:r/>
      <w:bookmarkStart w:id="589" w:name="_Toc150480793"/>
      <w:r/>
      <w:bookmarkStart w:id="590" w:name="_Toc127151555"/>
      <w:r/>
      <w:bookmarkStart w:id="591" w:name="_Toc305158823"/>
      <w:r/>
      <w:bookmarkStart w:id="592" w:name="_Toc353873935"/>
      <w:r/>
      <w:bookmarkStart w:id="593" w:name="_Toc264969245"/>
      <w:r/>
      <w:bookmarkStart w:id="594" w:name="_Toc265228393"/>
      <w:r/>
      <w:bookmarkStart w:id="595" w:name="_Toc142311057"/>
      <w:r/>
      <w:bookmarkStart w:id="596" w:name="_Toc195842920"/>
      <w:r/>
      <w:bookmarkStart w:id="597" w:name="_Toc353825545"/>
      <w:r/>
      <w:bookmarkStart w:id="598" w:name="_Toc305158897"/>
      <w:r/>
      <w:bookmarkStart w:id="599" w:name="_Toc226337251"/>
      <w:r/>
      <w:bookmarkStart w:id="600" w:name="_Toc150774760"/>
      <w:r/>
      <w:bookmarkStart w:id="601" w:name="_Toc226965828"/>
      <w:r/>
      <w:bookmarkStart w:id="602" w:name="_Toc353873665"/>
      <w:r>
        <w:rPr>
          <w:color w:val="auto"/>
          <w:sz w:val="24"/>
          <w:highlight w:val="none"/>
        </w:rPr>
        <w:t xml:space="preserve">响应文件的</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color w:val="auto"/>
          <w:sz w:val="24"/>
          <w:highlight w:val="none"/>
        </w:rPr>
        <w:t xml:space="preserve">资格性检查和符合性审查</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highlight w:val="none"/>
        </w:rPr>
        <w:t xml:space="preserve">无效响应</w:t>
      </w:r>
      <w:r>
        <w:rPr>
          <w:color w:val="auto"/>
          <w:sz w:val="24"/>
          <w:highlight w:val="none"/>
        </w:rPr>
        <w:t xml:space="preserve">处理，磋商小组应当告知提交响应文件的供应商。</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《资格性检查要求》中对格式有要求的，除竞争性磋商文件另有规定外，均为“实质性格式”文件。</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104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1965"/>
        <w:gridCol w:w="4753"/>
        <w:gridCol w:w="2019"/>
      </w:tblGrid>
      <w:tr>
        <w:trPr>
          <w:cantSplit/>
          <w:trHeight w:val="20"/>
          <w:tblHeader/>
        </w:trPr>
        <w:tc>
          <w:tcPr>
            <w:tcW w:w="338" w:type="pct"/>
            <w:vAlign w:val="center"/>
            <w:textDirection w:val="lrTb"/>
            <w:noWrap w:val="false"/>
          </w:tcPr>
          <w:p>
            <w:pPr>
              <w:jc w:val="center"/>
              <w:tabs>
                <w:tab w:val="left" w:pos="1080" w:leader="none"/>
              </w:tabs>
              <w:rPr>
                <w:b/>
                <w:color w:val="auto"/>
                <w:sz w:val="24"/>
                <w:highlight w:val="none"/>
              </w:rPr>
            </w:pPr>
            <w:r/>
            <w:bookmarkStart w:id="603" w:name="_Hlt487972895"/>
            <w:r/>
            <w:bookmarkEnd w:id="603"/>
            <w:r>
              <w:rPr>
                <w:b/>
                <w:color w:val="auto"/>
                <w:sz w:val="24"/>
                <w:highlight w:val="none"/>
              </w:rPr>
              <w:t xml:space="preserve">序号</w:t>
            </w:r>
            <w:r/>
          </w:p>
        </w:tc>
        <w:tc>
          <w:tcPr>
            <w:tcW w:w="1048"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2535"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077"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35"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1-1</w:t>
            </w:r>
            <w:r/>
          </w:p>
        </w:tc>
        <w:tc>
          <w:tcPr>
            <w:tcW w:w="1048"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供应商资格声明函</w:t>
            </w:r>
            <w:r/>
          </w:p>
        </w:tc>
        <w:tc>
          <w:tcPr>
            <w:tcW w:w="2535" w:type="pct"/>
            <w:vAlign w:val="center"/>
            <w:textDirection w:val="lrTb"/>
            <w:noWrap w:val="false"/>
          </w:tcPr>
          <w:p>
            <w:pPr>
              <w:tabs>
                <w:tab w:val="left" w:pos="1080" w:leader="none"/>
              </w:tabs>
              <w:rPr>
                <w:color w:val="auto"/>
                <w:sz w:val="24"/>
                <w:highlight w:val="none"/>
              </w:rPr>
            </w:pPr>
            <w:r>
              <w:rPr>
                <w:color w:val="auto"/>
                <w:sz w:val="24"/>
                <w:highlight w:val="none"/>
              </w:rPr>
              <w:t xml:space="preserve">提供了符合</w:t>
            </w:r>
            <w:r>
              <w:rPr>
                <w:rFonts w:hint="eastAsia"/>
                <w:color w:val="auto"/>
                <w:sz w:val="24"/>
                <w:highlight w:val="none"/>
              </w:rPr>
              <w:t xml:space="preserve">采购</w:t>
            </w:r>
            <w:r>
              <w:rPr>
                <w:color w:val="auto"/>
                <w:sz w:val="24"/>
                <w:highlight w:val="none"/>
              </w:rPr>
              <w:t xml:space="preserve">文件要求的《</w:t>
            </w:r>
            <w:r>
              <w:rPr>
                <w:rFonts w:hint="eastAsia"/>
                <w:color w:val="auto"/>
                <w:sz w:val="24"/>
                <w:highlight w:val="none"/>
              </w:rPr>
              <w:t xml:space="preserve">供应商资格声明函</w:t>
            </w:r>
            <w:r>
              <w:rPr>
                <w:color w:val="auto"/>
                <w:sz w:val="24"/>
                <w:highlight w:val="none"/>
              </w:rPr>
              <w:t xml:space="preserve">》。</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w:t>
            </w:r>
            <w:r>
              <w:rPr>
                <w:rFonts w:hint="eastAsia"/>
                <w:color w:val="auto"/>
                <w:sz w:val="24"/>
                <w:highlight w:val="none"/>
              </w:rPr>
              <w:t xml:space="preserve">响应</w:t>
            </w:r>
            <w:r>
              <w:rPr>
                <w:color w:val="auto"/>
                <w:sz w:val="24"/>
                <w:highlight w:val="none"/>
              </w:rPr>
              <w:t xml:space="preserve">文件格式》</w:t>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w:t>
            </w:r>
            <w:r>
              <w:rPr>
                <w:rFonts w:hint="eastAsia"/>
                <w:color w:val="auto"/>
                <w:sz w:val="24"/>
                <w:highlight w:val="none"/>
              </w:rPr>
              <w:t xml:space="preserve">2</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供应商信用记录</w:t>
            </w:r>
            <w:r/>
          </w:p>
        </w:tc>
        <w:tc>
          <w:tcPr>
            <w:tcW w:w="2535" w:type="pct"/>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查询渠道：信用中国网站和中国政府采购网（www.creditchina.gov.cn、www.ccgp.gov.cn）；</w:t>
            </w:r>
            <w:r/>
          </w:p>
          <w:p>
            <w:pPr>
              <w:tabs>
                <w:tab w:val="left" w:pos="1080" w:leader="none"/>
              </w:tabs>
              <w:rPr>
                <w:color w:val="auto"/>
                <w:sz w:val="24"/>
                <w:highlight w:val="none"/>
              </w:rPr>
            </w:pPr>
            <w:r>
              <w:rPr>
                <w:color w:val="auto"/>
                <w:sz w:val="24"/>
                <w:highlight w:val="none"/>
              </w:rPr>
              <w:t xml:space="preserve">截止时点：提交响应文件截止时间以后、</w:t>
            </w:r>
            <w:r>
              <w:rPr>
                <w:rFonts w:hint="eastAsia"/>
                <w:color w:val="auto"/>
                <w:sz w:val="24"/>
                <w:highlight w:val="none"/>
              </w:rPr>
              <w:t xml:space="preserve">资格审查阶段采购人或采购代理机构</w:t>
            </w:r>
            <w:r>
              <w:rPr>
                <w:color w:val="auto"/>
                <w:sz w:val="24"/>
                <w:highlight w:val="none"/>
              </w:rPr>
              <w:t xml:space="preserve">的实际查询时间；</w:t>
            </w:r>
            <w:r/>
          </w:p>
          <w:p>
            <w:pPr>
              <w:tabs>
                <w:tab w:val="left" w:pos="10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t xml:space="preserve">无须供应商提供，由采购人查询。</w:t>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1-3</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35"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企业营业执照或事业单位法人证书或自然人身份证明文件</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2535"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shd w:val="clear" w:color="auto" w:fill="auto"/>
            <w:tcW w:w="338"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2-1</w:t>
            </w:r>
            <w:r/>
          </w:p>
        </w:tc>
        <w:tc>
          <w:tcPr>
            <w:shd w:val="clear" w:color="auto" w:fill="auto"/>
            <w:tcW w:w="1048"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p>
        </w:tc>
        <w:tc>
          <w:tcPr>
            <w:shd w:val="clear" w:color="auto" w:fill="auto"/>
            <w:tcW w:w="2535"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本项目不专门面向中小企业预留采购份额，供应商非必须提供；供应商如是属于本项目所属行业的小型、微型企业，残疾人福利性单位、监狱企业的情形的可提供此格式文件，未提供的将不享受有关政策。《中小企业声明函》由参加政府采购活动的供应商出具。</w:t>
            </w:r>
            <w:r/>
          </w:p>
        </w:tc>
        <w:tc>
          <w:tcPr>
            <w:shd w:val="clear" w:color="auto" w:fill="auto"/>
            <w:tcW w:w="1077"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rPr>
                <w:rFonts w:hint="eastAsia"/>
                <w:color w:val="auto"/>
                <w:sz w:val="24"/>
                <w:highlight w:val="none"/>
              </w:rPr>
              <w:t xml:space="preserve">2</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其它落实政府采购政策的资格要求</w:t>
            </w:r>
            <w:r/>
          </w:p>
        </w:tc>
        <w:tc>
          <w:tcPr>
            <w:tcW w:w="2535"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2535"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是否接受联合体响应</w:t>
            </w:r>
            <w:r/>
          </w:p>
        </w:tc>
        <w:tc>
          <w:tcPr>
            <w:tcW w:w="2535"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否</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3-2</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2535" w:type="pct"/>
            <w:vAlign w:val="center"/>
            <w:textDirection w:val="lrTb"/>
            <w:noWrap w:val="false"/>
          </w:tcPr>
          <w:p>
            <w:pPr>
              <w:spacing w:line="360" w:lineRule="auto"/>
              <w:rPr>
                <w:color w:val="auto"/>
                <w:sz w:val="24"/>
                <w:highlight w:val="none"/>
              </w:rPr>
            </w:pPr>
            <w:r>
              <w:rPr>
                <w:color w:val="auto"/>
                <w:sz w:val="24"/>
                <w:highlight w:val="none"/>
              </w:rPr>
              <w:t xml:space="preserve">具体要求见第一章《采购邀请》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bl>
    <w:p>
      <w:pPr>
        <w:jc w:val="left"/>
        <w:widowControl/>
        <w:rPr>
          <w:color w:val="auto"/>
          <w:sz w:val="24"/>
          <w:highlight w:val="none"/>
        </w:rPr>
      </w:pPr>
      <w:r>
        <w:rPr>
          <w:color w:val="auto"/>
          <w:sz w:val="24"/>
          <w:highlight w:val="none"/>
        </w:rPr>
        <w:br w:type="page" w:clear="all"/>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1040"/>
        <w:tblW w:w="47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1784"/>
        <w:gridCol w:w="6212"/>
      </w:tblGrid>
      <w:tr>
        <w:trPr>
          <w:jc w:val="center"/>
          <w:trHeight w:val="300"/>
        </w:trPr>
        <w:tc>
          <w:tcPr>
            <w:tcW w:w="485"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007"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507" w:type="pct"/>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485"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007" w:type="pct"/>
            <w:vAlign w:val="center"/>
            <w:textDirection w:val="lrTb"/>
            <w:noWrap w:val="false"/>
          </w:tcPr>
          <w:p>
            <w:pPr>
              <w:jc w:val="left"/>
              <w:widowControl/>
              <w:rPr>
                <w:color w:val="auto"/>
                <w:sz w:val="24"/>
                <w:highlight w:val="none"/>
              </w:rPr>
            </w:pPr>
            <w:r>
              <w:rPr>
                <w:rFonts w:hint="eastAsia"/>
                <w:color w:val="auto"/>
                <w:sz w:val="24"/>
                <w:highlight w:val="none"/>
              </w:rPr>
              <w:t xml:space="preserve">响应函、</w:t>
            </w:r>
            <w:r>
              <w:rPr>
                <w:rFonts w:hint="eastAsia"/>
                <w:color w:val="auto"/>
                <w:sz w:val="24"/>
                <w:highlight w:val="none"/>
              </w:rPr>
              <w:t xml:space="preserve">法人授权书和政府采购供应商信用承诺书</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按磋商文件要求提供</w:t>
            </w:r>
            <w:r>
              <w:rPr>
                <w:rFonts w:hint="eastAsia"/>
                <w:color w:val="auto"/>
                <w:sz w:val="24"/>
                <w:highlight w:val="none"/>
              </w:rPr>
              <w:t xml:space="preserve">响应函、</w:t>
            </w:r>
            <w:r>
              <w:rPr>
                <w:rFonts w:hint="eastAsia"/>
                <w:color w:val="auto"/>
                <w:sz w:val="24"/>
                <w:highlight w:val="none"/>
              </w:rPr>
              <w:t xml:space="preserve">法人授权书和政府采购供应商信用承诺书</w:t>
            </w:r>
            <w:r>
              <w:rPr>
                <w:color w:val="auto"/>
                <w:sz w:val="24"/>
                <w:highlight w:val="none"/>
              </w:rPr>
              <w:t xml:space="preserve">；</w:t>
            </w:r>
            <w:r/>
          </w:p>
        </w:tc>
      </w:tr>
      <w:tr>
        <w:trPr>
          <w:jc w:val="center"/>
          <w:trHeight w:val="685"/>
        </w:trPr>
        <w:tc>
          <w:tcPr>
            <w:tcW w:w="485"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响应完整性</w:t>
            </w:r>
            <w:r/>
          </w:p>
        </w:tc>
        <w:tc>
          <w:tcPr>
            <w:tcW w:w="3507" w:type="pct"/>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将一个采购包中的内容拆开响应；</w:t>
            </w:r>
            <w:r/>
          </w:p>
        </w:tc>
      </w:tr>
      <w:tr>
        <w:trPr>
          <w:jc w:val="center"/>
          <w:trHeight w:val="685"/>
        </w:trPr>
        <w:tc>
          <w:tcPr>
            <w:tcW w:w="485"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响应报价</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响应报价</w:t>
            </w:r>
            <w:r>
              <w:rPr>
                <w:rFonts w:hint="eastAsia"/>
                <w:color w:val="auto"/>
                <w:sz w:val="24"/>
                <w:highlight w:val="none"/>
              </w:rPr>
              <w:t xml:space="preserve">未</w:t>
            </w:r>
            <w:r>
              <w:rPr>
                <w:color w:val="auto"/>
                <w:sz w:val="24"/>
                <w:highlight w:val="none"/>
              </w:rPr>
              <w:t xml:space="preserve">超过磋商文件中规定的项目/采购包预算金额或者项目/采购包最高限价</w:t>
            </w:r>
            <w:r>
              <w:rPr>
                <w:color w:val="auto"/>
                <w:sz w:val="24"/>
                <w:highlight w:val="none"/>
              </w:rPr>
              <w:t xml:space="preserve">；</w:t>
            </w:r>
            <w:r/>
          </w:p>
        </w:tc>
      </w:tr>
      <w:tr>
        <w:trPr>
          <w:jc w:val="center"/>
          <w:trHeight w:val="685"/>
        </w:trPr>
        <w:tc>
          <w:tcPr>
            <w:tcW w:w="485"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rFonts w:hint="eastAsia"/>
                <w:color w:val="auto"/>
                <w:sz w:val="24"/>
                <w:highlight w:val="none"/>
              </w:rPr>
              <w:t xml:space="preserve">出现可选择性或可调整的报价（磋商文件另有规定的除外）</w:t>
            </w:r>
            <w:r>
              <w:rPr>
                <w:color w:val="auto"/>
                <w:sz w:val="24"/>
                <w:highlight w:val="none"/>
              </w:rPr>
              <w:t xml:space="preserve">；</w:t>
            </w:r>
            <w:r/>
          </w:p>
        </w:tc>
      </w:tr>
      <w:tr>
        <w:trPr>
          <w:jc w:val="center"/>
          <w:trHeight w:val="685"/>
        </w:trPr>
        <w:tc>
          <w:tcPr>
            <w:tcW w:w="485"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响应有效期</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响应文件中承诺的响应有效期</w:t>
            </w:r>
            <w:r>
              <w:rPr>
                <w:rFonts w:hint="eastAsia"/>
                <w:color w:val="auto"/>
                <w:sz w:val="24"/>
                <w:highlight w:val="none"/>
              </w:rPr>
              <w:t xml:space="preserve">满足</w:t>
            </w:r>
            <w:r>
              <w:rPr>
                <w:color w:val="auto"/>
                <w:sz w:val="24"/>
                <w:highlight w:val="none"/>
              </w:rPr>
              <w:t xml:space="preserve">磋商文件中载明的响应有效期的；</w:t>
            </w:r>
            <w:r/>
          </w:p>
        </w:tc>
      </w:tr>
      <w:tr>
        <w:trPr>
          <w:jc w:val="center"/>
          <w:trHeight w:val="685"/>
        </w:trPr>
        <w:tc>
          <w:tcPr>
            <w:tcW w:w="485"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按照磋商文件要求签署、加盖公章的；</w:t>
            </w:r>
            <w:r/>
          </w:p>
        </w:tc>
      </w:tr>
      <w:tr>
        <w:trPr>
          <w:jc w:val="center"/>
          <w:trHeight w:val="685"/>
        </w:trPr>
        <w:tc>
          <w:tcPr>
            <w:tcW w:w="485" w:type="pct"/>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007" w:type="pct"/>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3507" w:type="pct"/>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磋商文件</w:t>
            </w:r>
            <w:r>
              <w:rPr>
                <w:rFonts w:hint="eastAsia"/>
                <w:color w:val="auto"/>
                <w:sz w:val="24"/>
                <w:highlight w:val="none"/>
              </w:rPr>
              <w:t xml:space="preserve">要求提供；</w:t>
            </w:r>
            <w:r/>
          </w:p>
        </w:tc>
      </w:tr>
      <w:tr>
        <w:trPr>
          <w:jc w:val="center"/>
          <w:trHeight w:val="685"/>
        </w:trPr>
        <w:tc>
          <w:tcPr>
            <w:tcW w:w="485" w:type="pct"/>
            <w:vAlign w:val="center"/>
            <w:textDirection w:val="lrTb"/>
            <w:noWrap w:val="false"/>
          </w:tcPr>
          <w:p>
            <w:pPr>
              <w:jc w:val="center"/>
              <w:widowControl/>
              <w:rPr>
                <w:color w:val="auto"/>
                <w:sz w:val="24"/>
                <w:highlight w:val="none"/>
              </w:rPr>
            </w:pPr>
            <w:r>
              <w:rPr>
                <w:rFonts w:hint="eastAsia"/>
                <w:color w:val="auto"/>
                <w:sz w:val="24"/>
                <w:highlight w:val="none"/>
              </w:rPr>
              <w:t xml:space="preserve">8</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报价的修正</w:t>
            </w:r>
            <w:r/>
          </w:p>
        </w:tc>
        <w:tc>
          <w:tcPr>
            <w:tcW w:w="3507" w:type="pct"/>
            <w:vAlign w:val="center"/>
            <w:textDirection w:val="lrTb"/>
            <w:noWrap w:val="false"/>
          </w:tcPr>
          <w:p>
            <w:pPr>
              <w:jc w:val="left"/>
              <w:widowControl/>
              <w:rPr>
                <w:color w:val="auto"/>
                <w:sz w:val="24"/>
                <w:highlight w:val="none"/>
              </w:rPr>
            </w:pPr>
            <w:r>
              <w:rPr>
                <w:rFonts w:hint="eastAsia"/>
                <w:color w:val="auto"/>
                <w:sz w:val="24"/>
                <w:highlight w:val="none"/>
              </w:rPr>
              <w:t xml:space="preserve">响应文件报价出现前后不一致时，按《符合性审查要求》3.2.2-3.2.5项规定修正，供应商对修正后的报价予以确认；</w:t>
            </w:r>
            <w:r/>
          </w:p>
        </w:tc>
      </w:tr>
      <w:tr>
        <w:trPr>
          <w:jc w:val="center"/>
          <w:trHeight w:val="685"/>
        </w:trPr>
        <w:tc>
          <w:tcPr>
            <w:tcW w:w="859" w:type="dxa"/>
            <w:vAlign w:val="center"/>
            <w:textDirection w:val="lrTb"/>
            <w:noWrap w:val="false"/>
          </w:tcPr>
          <w:p>
            <w:pPr>
              <w:jc w:val="center"/>
              <w:widowControl/>
              <w:rPr>
                <w:rFonts w:hint="eastAsia"/>
                <w:color w:val="auto"/>
                <w:sz w:val="24"/>
                <w:highlight w:val="none"/>
              </w:rPr>
            </w:pPr>
            <w:r>
              <w:rPr>
                <w:rFonts w:hint="eastAsia"/>
                <w:color w:val="auto"/>
                <w:sz w:val="24"/>
                <w:highlight w:val="none"/>
                <w:lang w:val="en-US" w:eastAsia="zh-CN"/>
              </w:rPr>
              <w:t xml:space="preserve">9</w:t>
            </w:r>
            <w:r/>
          </w:p>
        </w:tc>
        <w:tc>
          <w:tcPr>
            <w:tcW w:w="1784" w:type="dxa"/>
            <w:vAlign w:val="center"/>
            <w:textDirection w:val="lrTb"/>
            <w:noWrap w:val="false"/>
          </w:tcPr>
          <w:p>
            <w:pPr>
              <w:jc w:val="left"/>
              <w:widowControl/>
              <w:rPr>
                <w:color w:val="auto"/>
                <w:sz w:val="24"/>
                <w:highlight w:val="none"/>
              </w:rPr>
            </w:pPr>
            <w:r>
              <w:rPr>
                <w:rFonts w:hint="eastAsia"/>
                <w:color w:val="auto"/>
                <w:sz w:val="24"/>
                <w:highlight w:val="none"/>
              </w:rPr>
              <w:t xml:space="preserve">报价合理性</w:t>
            </w:r>
            <w:r/>
          </w:p>
        </w:tc>
        <w:tc>
          <w:tcPr>
            <w:tcW w:w="6212" w:type="dxa"/>
            <w:vAlign w:val="center"/>
            <w:textDirection w:val="lrTb"/>
            <w:noWrap w:val="false"/>
          </w:tcPr>
          <w:p>
            <w:pPr>
              <w:jc w:val="left"/>
              <w:widowControl/>
              <w:rPr>
                <w:rFonts w:hint="eastAsia"/>
                <w:color w:val="auto"/>
                <w:sz w:val="24"/>
                <w:highlight w:val="none"/>
              </w:rPr>
            </w:pPr>
            <w:r>
              <w:rPr>
                <w:rFonts w:hint="eastAsia"/>
                <w:color w:val="auto"/>
                <w:sz w:val="24"/>
                <w:highlight w:val="none"/>
              </w:rPr>
              <w:t xml:space="preserve">报价合理，或</w:t>
            </w:r>
            <w:r>
              <w:rPr>
                <w:rFonts w:hint="eastAsia"/>
                <w:color w:val="auto"/>
                <w:sz w:val="24"/>
                <w:highlight w:val="none"/>
                <w:lang w:val="en-US" w:eastAsia="zh-CN"/>
              </w:rPr>
              <w:t xml:space="preserve">供应商</w:t>
            </w:r>
            <w:r>
              <w:rPr>
                <w:rFonts w:hint="eastAsia"/>
                <w:color w:val="auto"/>
                <w:sz w:val="24"/>
                <w:highlight w:val="none"/>
              </w:rPr>
              <w:t xml:space="preserve">的报价明显低于其他通过符合性审查</w:t>
            </w:r>
            <w:r>
              <w:rPr>
                <w:rFonts w:hint="eastAsia"/>
                <w:color w:val="auto"/>
                <w:sz w:val="24"/>
                <w:highlight w:val="none"/>
                <w:lang w:val="en-US" w:eastAsia="zh-CN"/>
              </w:rPr>
              <w:t xml:space="preserve">供应商</w:t>
            </w:r>
            <w:r>
              <w:rPr>
                <w:rFonts w:hint="eastAsia"/>
                <w:color w:val="auto"/>
                <w:sz w:val="24"/>
                <w:highlight w:val="none"/>
              </w:rPr>
              <w:t xml:space="preserve">的报价，有可能影响产品质量或者不能诚信履约的，能够应</w:t>
            </w:r>
            <w:r>
              <w:rPr>
                <w:rFonts w:hint="eastAsia"/>
                <w:color w:val="auto"/>
                <w:sz w:val="24"/>
                <w:highlight w:val="none"/>
                <w:lang w:val="en-US" w:eastAsia="zh-CN"/>
              </w:rPr>
              <w:t xml:space="preserve">磋商小组</w:t>
            </w:r>
            <w:r>
              <w:rPr>
                <w:rFonts w:hint="eastAsia"/>
                <w:color w:val="auto"/>
                <w:sz w:val="24"/>
                <w:highlight w:val="none"/>
              </w:rPr>
              <w:t xml:space="preserve">要求在规定时间内证明其报价合理性的；</w:t>
            </w:r>
            <w:r/>
          </w:p>
        </w:tc>
      </w:tr>
      <w:tr>
        <w:trPr>
          <w:jc w:val="center"/>
          <w:trHeight w:val="685"/>
        </w:trPr>
        <w:tc>
          <w:tcPr>
            <w:tcW w:w="859" w:type="dxa"/>
            <w:vAlign w:val="center"/>
            <w:textDirection w:val="lrTb"/>
            <w:noWrap w:val="false"/>
          </w:tcPr>
          <w:p>
            <w:pPr>
              <w:jc w:val="center"/>
              <w:widowControl/>
              <w:rPr>
                <w:color w:val="auto"/>
                <w:sz w:val="24"/>
                <w:highlight w:val="none"/>
              </w:rPr>
            </w:pPr>
            <w:r>
              <w:rPr>
                <w:rFonts w:hint="eastAsia"/>
                <w:color w:val="auto"/>
                <w:sz w:val="24"/>
                <w:highlight w:val="none"/>
                <w:lang w:val="en-US" w:eastAsia="zh-CN"/>
              </w:rPr>
              <w:t xml:space="preserve">10</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859" w:type="dxa"/>
            <w:vAlign w:val="center"/>
            <w:textDirection w:val="lrTb"/>
            <w:noWrap w:val="false"/>
          </w:tcPr>
          <w:p>
            <w:pPr>
              <w:jc w:val="center"/>
              <w:widowControl/>
              <w:rPr>
                <w:color w:val="auto"/>
                <w:sz w:val="24"/>
                <w:highlight w:val="none"/>
              </w:rPr>
            </w:pPr>
            <w:r>
              <w:rPr>
                <w:rFonts w:hint="eastAsia"/>
                <w:color w:val="auto"/>
                <w:sz w:val="24"/>
                <w:highlight w:val="none"/>
                <w:lang w:val="en-US" w:eastAsia="zh-CN"/>
              </w:rPr>
              <w:t xml:space="preserve">11</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串通响应</w:t>
            </w:r>
            <w:r/>
          </w:p>
        </w:tc>
        <w:tc>
          <w:tcPr>
            <w:tcW w:w="3507" w:type="pct"/>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不存在《政府采购货物和服务招标管理办法》视为供应商串通响应的情形：（一）不同供应商的响应文件由同一单位或者个人编制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；（二）不同供应商委托同一单位或者个人办理响应事宜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auto"/>
                <w:sz w:val="24"/>
                <w:highlight w:val="none"/>
              </w:rPr>
              <w:t xml:space="preserve">；</w:t>
            </w:r>
            <w:r/>
          </w:p>
        </w:tc>
      </w:tr>
      <w:tr>
        <w:trPr>
          <w:jc w:val="center"/>
          <w:trHeight w:val="685"/>
        </w:trPr>
        <w:tc>
          <w:tcPr>
            <w:tcW w:w="859" w:type="dxa"/>
            <w:vAlign w:val="center"/>
            <w:textDirection w:val="lrTb"/>
            <w:noWrap w:val="false"/>
          </w:tcPr>
          <w:p>
            <w:pPr>
              <w:jc w:val="center"/>
              <w:widowControl/>
              <w:rPr>
                <w:color w:val="auto"/>
                <w:sz w:val="24"/>
                <w:highlight w:val="none"/>
              </w:rPr>
            </w:pPr>
            <w:r>
              <w:rPr>
                <w:rFonts w:hint="eastAsia"/>
                <w:color w:val="auto"/>
                <w:sz w:val="24"/>
                <w:highlight w:val="none"/>
                <w:lang w:val="en-US" w:eastAsia="zh-CN"/>
              </w:rPr>
              <w:t xml:space="preserve">12</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859" w:type="dxa"/>
            <w:vAlign w:val="center"/>
            <w:textDirection w:val="lrTb"/>
            <w:noWrap w:val="false"/>
          </w:tcPr>
          <w:p>
            <w:pPr>
              <w:jc w:val="center"/>
              <w:widowControl/>
              <w:rPr>
                <w:color w:val="auto"/>
                <w:sz w:val="24"/>
                <w:highlight w:val="none"/>
              </w:rPr>
            </w:pPr>
            <w:r>
              <w:rPr>
                <w:rFonts w:hint="eastAsia"/>
                <w:color w:val="auto"/>
                <w:sz w:val="24"/>
                <w:highlight w:val="none"/>
                <w:lang w:val="en-US" w:eastAsia="zh-CN"/>
              </w:rPr>
              <w:t xml:space="preserve">13</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供应商、响应文件</w:t>
            </w:r>
            <w:r>
              <w:rPr>
                <w:rFonts w:hint="eastAsia"/>
                <w:color w:val="auto"/>
                <w:sz w:val="24"/>
                <w:highlight w:val="none"/>
              </w:rPr>
              <w:t xml:space="preserve">不存在</w:t>
            </w:r>
            <w:r>
              <w:rPr>
                <w:color w:val="auto"/>
                <w:sz w:val="24"/>
                <w:highlight w:val="none"/>
              </w:rPr>
              <w:t xml:space="preserve">不符合法律、法规和磋商文件规定的其他无效情形。</w:t>
            </w:r>
            <w:r/>
          </w:p>
        </w:tc>
      </w:tr>
      <w:tr>
        <w:trPr>
          <w:jc w:val="center"/>
          <w:trHeight w:val="685"/>
        </w:trPr>
        <w:tc>
          <w:tcPr>
            <w:tcW w:w="859" w:type="dxa"/>
            <w:vAlign w:val="center"/>
            <w:textDirection w:val="lrTb"/>
            <w:noWrap w:val="false"/>
          </w:tcPr>
          <w:p>
            <w:pPr>
              <w:jc w:val="center"/>
              <w:widowControl/>
              <w:rPr>
                <w:color w:val="auto"/>
                <w:sz w:val="24"/>
                <w:highlight w:val="none"/>
              </w:rPr>
            </w:pPr>
            <w:r>
              <w:rPr>
                <w:rFonts w:hint="eastAsia"/>
                <w:color w:val="auto"/>
                <w:sz w:val="24"/>
                <w:highlight w:val="none"/>
                <w:lang w:val="en-US" w:eastAsia="zh-CN"/>
              </w:rPr>
              <w:t xml:space="preserve">14</w:t>
            </w:r>
            <w:r/>
          </w:p>
        </w:tc>
        <w:tc>
          <w:tcPr>
            <w:tcW w:w="1007" w:type="pct"/>
            <w:vAlign w:val="center"/>
            <w:textDirection w:val="lrTb"/>
            <w:noWrap w:val="false"/>
          </w:tcPr>
          <w:p>
            <w:pPr>
              <w:jc w:val="left"/>
              <w:widowControl/>
              <w:rPr>
                <w:color w:val="auto"/>
                <w:sz w:val="24"/>
                <w:highlight w:val="none"/>
              </w:rPr>
            </w:pPr>
            <w:r>
              <w:rPr>
                <w:rFonts w:hint="eastAsia" w:ascii="宋体" w:hAnsi="宋体" w:cs="Segoe UI Symbol"/>
                <w:color w:val="auto"/>
                <w:sz w:val="24"/>
                <w:highlight w:val="none"/>
              </w:rPr>
              <w:t xml:space="preserve">实质性</w:t>
            </w:r>
            <w:r>
              <w:rPr>
                <w:rFonts w:ascii="宋体" w:hAnsi="宋体"/>
                <w:color w:val="auto"/>
                <w:sz w:val="24"/>
                <w:highlight w:val="none"/>
              </w:rPr>
              <w:t xml:space="preserve">条款</w:t>
            </w:r>
            <w:r/>
          </w:p>
        </w:tc>
        <w:tc>
          <w:tcPr>
            <w:tcW w:w="3507" w:type="pct"/>
            <w:vAlign w:val="center"/>
            <w:textDirection w:val="lrTb"/>
            <w:noWrap w:val="false"/>
          </w:tcPr>
          <w:p>
            <w:pPr>
              <w:jc w:val="left"/>
              <w:widowControl/>
              <w:rPr>
                <w:rFonts w:hint="eastAsia" w:eastAsia="宋体"/>
                <w:color w:val="auto"/>
                <w:sz w:val="24"/>
                <w:highlight w:val="none"/>
                <w:lang w:eastAsia="zh-CN"/>
              </w:rPr>
            </w:pPr>
            <w:r>
              <w:rPr>
                <w:rFonts w:hint="eastAsia"/>
                <w:color w:val="auto"/>
                <w:sz w:val="24"/>
                <w:highlight w:val="none"/>
              </w:rPr>
              <w:t xml:space="preserve">响应文件满足磋商文件第四章《采购需求》中实质性条款（斜体且有下划线部分的、或者加“★”号的、或者以文字说明属于实质性要求的内容）要求的，在下列表单逐项提供相关证明材料</w:t>
            </w:r>
            <w:r>
              <w:rPr>
                <w:rFonts w:hint="eastAsia"/>
                <w:color w:val="auto"/>
                <w:sz w:val="24"/>
                <w:highlight w:val="none"/>
                <w:lang w:eastAsia="zh-CN"/>
              </w:rPr>
              <w:t xml:space="preserve">。</w:t>
            </w:r>
            <w:bookmarkEnd w:id="587"/>
            <w:r/>
            <w:bookmarkEnd w:id="588"/>
            <w:r/>
            <w:r/>
          </w:p>
        </w:tc>
      </w:tr>
    </w:tbl>
    <w:p>
      <w:pPr>
        <w:numPr>
          <w:ilvl w:val="0"/>
          <w:numId w:val="10"/>
        </w:numPr>
        <w:ind w:left="900" w:hanging="900"/>
        <w:spacing w:line="360" w:lineRule="auto"/>
        <w:tabs>
          <w:tab w:val="left" w:pos="360" w:leader="none"/>
        </w:tabs>
        <w:rPr>
          <w:color w:val="auto"/>
          <w:sz w:val="24"/>
          <w:highlight w:val="none"/>
        </w:rPr>
        <w:outlineLvl w:val="1"/>
      </w:pPr>
      <w:r>
        <w:rPr>
          <w:color w:val="auto"/>
          <w:sz w:val="24"/>
          <w:highlight w:val="none"/>
        </w:rPr>
        <w:t xml:space="preserve">磋商、响应文件有关事项的澄清、说明或者更正和最终报价</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磋商小组所有成员应当集中与单一供应商分别进行磋商，并给予所有参加磋商的供应商平等的磋商机会。</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对磋商文件作出的实质性变动是磋商文件的有效组成部分，磋商小组应当及时</w:t>
      </w:r>
      <w:r>
        <w:rPr>
          <w:rFonts w:hint="eastAsia"/>
          <w:color w:val="auto"/>
          <w:sz w:val="24"/>
          <w:highlight w:val="none"/>
        </w:rPr>
        <w:t xml:space="preserve">通过苏采云系统</w:t>
      </w:r>
      <w:r>
        <w:rPr>
          <w:color w:val="auto"/>
          <w:sz w:val="24"/>
          <w:highlight w:val="none"/>
        </w:rPr>
        <w:t xml:space="preserve">以书面形式同时通知所有参加磋商的供应商。</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响应文件的澄清、说明或者更正</w:t>
      </w:r>
      <w:r>
        <w:rPr>
          <w:rFonts w:hint="eastAsia"/>
          <w:color w:val="auto"/>
          <w:sz w:val="24"/>
          <w:highlight w:val="none"/>
        </w:rPr>
        <w:t xml:space="preserve">：</w:t>
      </w:r>
      <w:r/>
    </w:p>
    <w:p>
      <w:pPr>
        <w:ind w:left="1080"/>
        <w:spacing w:line="360" w:lineRule="auto"/>
        <w:tabs>
          <w:tab w:val="left" w:pos="1980" w:leader="none"/>
        </w:tabs>
        <w:rPr>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的澄清、说明或者补正应当采用书面形式，并加盖公章</w:t>
      </w:r>
      <w:r>
        <w:rPr>
          <w:rFonts w:hint="eastAsia"/>
          <w:color w:val="auto"/>
          <w:sz w:val="24"/>
          <w:highlight w:val="none"/>
        </w:rPr>
        <w:t xml:space="preserve">或授权代表</w:t>
      </w:r>
      <w:r>
        <w:rPr>
          <w:color w:val="auto"/>
          <w:sz w:val="24"/>
          <w:highlight w:val="none"/>
        </w:rPr>
        <w:t xml:space="preserve">本人签字</w:t>
      </w:r>
      <w:r>
        <w:rPr>
          <w:color w:val="auto"/>
          <w:sz w:val="24"/>
          <w:highlight w:val="none"/>
        </w:rPr>
        <w:t xml:space="preserve">。</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10"/>
        </w:numPr>
        <w:ind w:left="1468" w:hanging="900"/>
        <w:spacing w:line="360" w:lineRule="auto"/>
        <w:tabs>
          <w:tab w:val="left" w:pos="1080" w:leader="none"/>
          <w:tab w:val="left" w:pos="1872" w:leader="none"/>
        </w:tabs>
        <w:rPr>
          <w:b/>
          <w:color w:val="auto"/>
          <w:sz w:val="24"/>
          <w:highlight w:val="none"/>
        </w:rPr>
      </w:pPr>
      <w:r>
        <w:rPr>
          <w:b/>
          <w:color w:val="auto"/>
          <w:sz w:val="24"/>
          <w:highlight w:val="none"/>
        </w:rPr>
        <w:t xml:space="preserve">磋商结束后，磋商小组将要求所有实质性响应的供应商在规定时间内通过</w:t>
      </w:r>
      <w:r>
        <w:rPr>
          <w:rFonts w:hint="eastAsia"/>
          <w:b/>
          <w:color w:val="auto"/>
          <w:sz w:val="24"/>
          <w:highlight w:val="none"/>
        </w:rPr>
        <w:t xml:space="preserve">苏采云</w:t>
      </w:r>
      <w:r>
        <w:rPr>
          <w:b/>
          <w:color w:val="auto"/>
          <w:sz w:val="24"/>
          <w:highlight w:val="none"/>
        </w:rPr>
        <w:t xml:space="preserve">平台系统提交最终报价。</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磋商文件能够详细列明采购标的的技术、服务要求的，磋商结束后，磋商小组应当要求所有实质</w:t>
      </w:r>
      <w:r>
        <w:rPr>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最终报价是供应商响应文件的有效组成部分。</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已提交响应文件的供应商，在提交最终报价之前，可以根据磋商情况退出磋商。</w:t>
      </w:r>
      <w:r/>
    </w:p>
    <w:p>
      <w:pPr>
        <w:numPr>
          <w:ilvl w:val="1"/>
          <w:numId w:val="10"/>
        </w:numPr>
        <w:ind w:left="1468" w:hanging="900"/>
        <w:spacing w:line="360" w:lineRule="auto"/>
        <w:tabs>
          <w:tab w:val="left" w:pos="1080" w:leader="none"/>
          <w:tab w:val="left" w:pos="1872" w:leader="none"/>
        </w:tabs>
        <w:rPr>
          <w:rFonts w:hint="eastAsia"/>
          <w:color w:val="auto"/>
          <w:sz w:val="24"/>
          <w:highlight w:val="none"/>
        </w:rPr>
      </w:pPr>
      <w:r>
        <w:rPr>
          <w:rFonts w:hint="eastAsia"/>
          <w:color w:val="auto"/>
          <w:sz w:val="24"/>
          <w:highlight w:val="none"/>
        </w:rPr>
        <w:t xml:space="preserve">评审过程中出现下列情形之一的，磋商小组应当启动异常低价响应审查程序：</w:t>
      </w:r>
      <w:r/>
    </w:p>
    <w:p>
      <w:pPr>
        <w:numPr>
          <w:ilvl w:val="2"/>
          <w:numId w:val="10"/>
        </w:numPr>
        <w:ind w:left="1980" w:hanging="900"/>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响应报价低于全部通过符合性审查供应商响应报价平均值50%的，即响应报价＜全部通过符合性审查供应商响应报价平均值×50%；</w:t>
      </w:r>
      <w:r/>
    </w:p>
    <w:p>
      <w:pPr>
        <w:numPr>
          <w:ilvl w:val="2"/>
          <w:numId w:val="10"/>
        </w:numPr>
        <w:ind w:left="1980" w:hanging="900"/>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响应报价低于通过符合性审查的次低报价供应商响应报价50%的，即响应报价＜通过符合性审查的次低报价供应商响应报价×50%；</w:t>
      </w:r>
      <w:r/>
    </w:p>
    <w:p>
      <w:pPr>
        <w:numPr>
          <w:ilvl w:val="2"/>
          <w:numId w:val="10"/>
        </w:numPr>
        <w:ind w:left="1980" w:hanging="900"/>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响应报价低于采购项目最高限价45%的，即响应报价＜采购项目最高限价×45%；</w:t>
      </w:r>
      <w:r/>
    </w:p>
    <w:p>
      <w:pPr>
        <w:numPr>
          <w:ilvl w:val="2"/>
          <w:numId w:val="10"/>
        </w:numPr>
        <w:ind w:left="1980" w:hanging="900"/>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磋商小组基于专业判断，认为供应商报价过低，有可能影响产品质量或者不能诚信履约的其他情形。</w:t>
      </w:r>
      <w:r/>
    </w:p>
    <w:p>
      <w:pPr>
        <w:numPr>
          <w:ilvl w:val="1"/>
          <w:numId w:val="10"/>
        </w:numPr>
        <w:ind w:left="1468" w:hanging="900"/>
        <w:spacing w:line="360" w:lineRule="auto"/>
        <w:tabs>
          <w:tab w:val="left" w:pos="1080" w:leader="none"/>
          <w:tab w:val="left" w:pos="1872" w:leader="none"/>
        </w:tabs>
        <w:rPr>
          <w:rFonts w:hint="eastAsia"/>
          <w:color w:val="auto"/>
          <w:sz w:val="24"/>
          <w:highlight w:val="none"/>
        </w:rPr>
      </w:pPr>
      <w:r>
        <w:rPr>
          <w:rFonts w:hint="eastAsia"/>
          <w:color w:val="auto"/>
          <w:sz w:val="24"/>
          <w:highlight w:val="none"/>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0"/>
        </w:numPr>
        <w:ind w:left="1468" w:hanging="900"/>
        <w:spacing w:line="360" w:lineRule="auto"/>
        <w:tabs>
          <w:tab w:val="left" w:pos="1080" w:leader="none"/>
          <w:tab w:val="left" w:pos="1872" w:leader="none"/>
        </w:tabs>
        <w:rPr>
          <w:rFonts w:hint="eastAsia"/>
          <w:color w:val="auto"/>
          <w:sz w:val="24"/>
          <w:highlight w:val="none"/>
        </w:rPr>
      </w:pPr>
      <w:r>
        <w:rPr>
          <w:rFonts w:hint="eastAsia"/>
          <w:color w:val="auto"/>
          <w:sz w:val="24"/>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0"/>
        </w:numPr>
        <w:ind w:left="1468" w:hanging="900"/>
        <w:spacing w:line="360" w:lineRule="auto"/>
        <w:tabs>
          <w:tab w:val="left" w:pos="1080" w:leader="none"/>
          <w:tab w:val="left" w:pos="1872" w:leader="none"/>
        </w:tabs>
        <w:rPr>
          <w:rFonts w:hint="eastAsia"/>
          <w:color w:val="auto"/>
          <w:sz w:val="24"/>
          <w:highlight w:val="none"/>
        </w:rPr>
      </w:pPr>
      <w:r>
        <w:rPr>
          <w:rFonts w:hint="eastAsia"/>
          <w:color w:val="auto"/>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0"/>
        </w:numPr>
        <w:ind w:left="1468" w:hanging="900"/>
        <w:spacing w:line="360" w:lineRule="auto"/>
        <w:tabs>
          <w:tab w:val="left" w:pos="1080" w:leader="none"/>
          <w:tab w:val="left" w:pos="1872" w:leader="none"/>
        </w:tabs>
        <w:rPr>
          <w:rFonts w:hint="eastAsia"/>
          <w:color w:val="auto"/>
          <w:sz w:val="24"/>
          <w:highlight w:val="none"/>
        </w:rPr>
      </w:pPr>
      <w:r>
        <w:rPr>
          <w:rFonts w:hint="eastAsia"/>
          <w:color w:val="auto"/>
          <w:sz w:val="24"/>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10"/>
        </w:numPr>
        <w:ind w:left="900" w:hanging="900"/>
        <w:spacing w:line="360" w:lineRule="auto"/>
        <w:tabs>
          <w:tab w:val="left" w:pos="360" w:leader="none"/>
        </w:tabs>
        <w:rPr>
          <w:color w:val="auto"/>
          <w:sz w:val="24"/>
          <w:highlight w:val="none"/>
        </w:rPr>
        <w:outlineLvl w:val="1"/>
      </w:pPr>
      <w:r>
        <w:rPr>
          <w:color w:val="auto"/>
          <w:sz w:val="24"/>
          <w:highlight w:val="none"/>
        </w:rPr>
        <w:t xml:space="preserve">最终报价的算术修正及政策调整</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最终报价须包含竞争性磋商文件全部内容，如</w:t>
      </w:r>
      <w:r>
        <w:rPr>
          <w:rFonts w:hint="eastAsia"/>
          <w:color w:val="auto"/>
          <w:sz w:val="24"/>
          <w:highlight w:val="none"/>
        </w:rPr>
        <w:t xml:space="preserve">最后</w:t>
      </w:r>
      <w:r>
        <w:rPr>
          <w:color w:val="auto"/>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highlight w:val="none"/>
        </w:rPr>
        <w:t xml:space="preserve">响应无效</w:t>
      </w:r>
      <w:r>
        <w:rPr>
          <w:color w:val="auto"/>
          <w:sz w:val="24"/>
          <w:highlight w:val="none"/>
        </w:rPr>
        <w:t xml:space="preserve">。</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最终报价出现前后不一致的，按照下列规定修正：</w:t>
      </w:r>
      <w:r/>
    </w:p>
    <w:p>
      <w:pPr>
        <w:numPr>
          <w:ilvl w:val="2"/>
          <w:numId w:val="10"/>
        </w:numPr>
        <w:ind w:left="1980" w:hanging="900"/>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rFonts w:hint="eastAsia"/>
          <w:color w:val="auto"/>
          <w:sz w:val="24"/>
          <w:highlight w:val="none"/>
        </w:rPr>
        <w:t xml:space="preserve">□</w:t>
      </w:r>
      <w:r>
        <w:rPr>
          <w:color w:val="auto"/>
          <w:sz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无，按下述3.2.2-3.2.5项规定修正。</w:t>
      </w:r>
      <w:r/>
    </w:p>
    <w:p>
      <w:pPr>
        <w:numPr>
          <w:ilvl w:val="2"/>
          <w:numId w:val="10"/>
        </w:numPr>
        <w:ind w:left="1980" w:hanging="900"/>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0"/>
        </w:numPr>
        <w:ind w:left="1980" w:hanging="900"/>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单价金额小数点或者百分比有明显错位的，以最终报价一览表的总价为准，并修改单价；</w:t>
      </w:r>
      <w:r/>
    </w:p>
    <w:p>
      <w:pPr>
        <w:numPr>
          <w:ilvl w:val="2"/>
          <w:numId w:val="10"/>
        </w:numPr>
        <w:ind w:left="1980" w:hanging="900"/>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0"/>
        </w:numPr>
        <w:ind w:left="1980" w:hanging="900"/>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lang w:val="en-US" w:eastAsia="zh-CN"/>
        </w:rPr>
        <w:t xml:space="preserve">   </w:t>
      </w:r>
      <w:r>
        <w:rPr>
          <w:color w:val="auto"/>
          <w:sz w:val="24"/>
          <w:highlight w:val="none"/>
        </w:rPr>
        <w:t xml:space="preserve">同时出现两种以上不一致的，按照前款规定的顺序修正。修正后的报价经供应商书面确认后产生约束力，供应商不确认的，</w:t>
      </w:r>
      <w:r>
        <w:rPr>
          <w:b/>
          <w:color w:val="auto"/>
          <w:sz w:val="24"/>
          <w:highlight w:val="none"/>
        </w:rPr>
        <w:t xml:space="preserve">其响应无效</w:t>
      </w:r>
      <w:r>
        <w:rPr>
          <w:color w:val="auto"/>
          <w:sz w:val="24"/>
          <w:highlight w:val="none"/>
        </w:rPr>
        <w:t xml:space="preserve">。</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落实政府采购政策的价格调整：只有符合第二章《供应商须知》4.2</w:t>
      </w:r>
      <w:r>
        <w:rPr>
          <w:rFonts w:hint="eastAsia"/>
          <w:color w:val="auto"/>
          <w:sz w:val="24"/>
          <w:highlight w:val="none"/>
          <w:lang w:eastAsia="zh-CN"/>
        </w:rPr>
        <w:t xml:space="preserve">、</w:t>
      </w:r>
      <w:r>
        <w:rPr>
          <w:rFonts w:hint="eastAsia"/>
          <w:color w:val="auto"/>
          <w:sz w:val="24"/>
          <w:highlight w:val="none"/>
          <w:lang w:val="en-US" w:eastAsia="zh-CN"/>
        </w:rPr>
        <w:t xml:space="preserve">4.9</w:t>
      </w:r>
      <w:r>
        <w:rPr>
          <w:color w:val="auto"/>
          <w:sz w:val="24"/>
          <w:highlight w:val="none"/>
        </w:rPr>
        <w:t xml:space="preserve">条规定情形的，可以享受中小企业扶持政策，用扣除后的价格参加评审；否则，评审时价格不予扣除。</w:t>
      </w:r>
      <w:r/>
    </w:p>
    <w:p>
      <w:pPr>
        <w:numPr>
          <w:ilvl w:val="2"/>
          <w:numId w:val="10"/>
        </w:numPr>
        <w:ind w:left="1980" w:hanging="900"/>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小微企业价格扣除</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对于未预留份额专门面向中小企业采购的采购项目，以及预留份额项目中的非预留部分采购包，对</w:t>
      </w:r>
      <w:r>
        <w:rPr>
          <w:rFonts w:hint="eastAsia"/>
          <w:b/>
          <w:bCs/>
          <w:color w:val="auto"/>
          <w:sz w:val="24"/>
          <w:highlight w:val="none"/>
        </w:rPr>
        <w:t xml:space="preserve">小微企业</w:t>
      </w:r>
      <w:r>
        <w:rPr>
          <w:rFonts w:hint="eastAsia"/>
          <w:color w:val="auto"/>
          <w:sz w:val="24"/>
          <w:highlight w:val="none"/>
        </w:rPr>
        <w:t xml:space="preserve">报价给予20%的扣除，用扣除后的价格参加评审。</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对于未预留份额专门面向中小企业采购的采购项目，以及预留份额项目中的非预留部分采购包，且接受大中型企业与</w:t>
      </w:r>
      <w:r>
        <w:rPr>
          <w:rFonts w:hint="eastAsia"/>
          <w:b/>
          <w:bCs/>
          <w:color w:val="auto"/>
          <w:sz w:val="24"/>
          <w:highlight w:val="none"/>
        </w:rPr>
        <w:t xml:space="preserve">小微企业</w:t>
      </w:r>
      <w:r>
        <w:rPr>
          <w:rFonts w:hint="eastAsia"/>
          <w:color w:val="auto"/>
          <w:sz w:val="24"/>
          <w:highlight w:val="none"/>
        </w:rPr>
        <w:t xml:space="preserve">组成联合体或者允许大中型企业向一家或者多家</w:t>
      </w:r>
      <w:r>
        <w:rPr>
          <w:rFonts w:hint="eastAsia"/>
          <w:b/>
          <w:bCs/>
          <w:color w:val="auto"/>
          <w:sz w:val="24"/>
          <w:highlight w:val="none"/>
        </w:rPr>
        <w:t xml:space="preserve">小微企业</w:t>
      </w:r>
      <w:r>
        <w:rPr>
          <w:rFonts w:hint="eastAsia"/>
          <w:color w:val="auto"/>
          <w:sz w:val="24"/>
          <w:highlight w:val="none"/>
        </w:rPr>
        <w:t xml:space="preserve">分包的采购项目，对于联合协议或者分包意向协议约定</w:t>
      </w:r>
      <w:r>
        <w:rPr>
          <w:rFonts w:hint="eastAsia"/>
          <w:b/>
          <w:bCs/>
          <w:color w:val="auto"/>
          <w:sz w:val="24"/>
          <w:highlight w:val="none"/>
        </w:rPr>
        <w:t xml:space="preserve">小微企业</w:t>
      </w:r>
      <w:r>
        <w:rPr>
          <w:rFonts w:hint="eastAsia"/>
          <w:color w:val="auto"/>
          <w:sz w:val="24"/>
          <w:highlight w:val="none"/>
        </w:rPr>
        <w:t xml:space="preserve">的合同份额占到合同总金额 30%以上的联合体或者大中型企业的报价给予3%的扣除，用扣除后的价格参加评审。</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组成联合体或者接受分包的小微企业与联合体内其他企业、分包企业之间存在直接控股、管理关系的，不享受价格扣除优惠政策。</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价格扣除比例对小型企业和微型企业同等对待，不作区分。</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中小企业参加政府采购活动，应当按照竞争性磋商文件给定的格式出具《中小企业声明函》，否则不得享受相关中小企业扶持政策。</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残疾人福利性单位按竞争性磋商文件要求提供了《残疾人福利性单位声明函》（见附件）的，视同小微企业。</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若供应商同时属于小型或微型企业、监狱企业、残疾人福利性单位中的两种及以上，将不重复享受小微企业价格扣减的优惠政策。</w:t>
      </w:r>
      <w:r/>
    </w:p>
    <w:p>
      <w:pPr>
        <w:numPr>
          <w:ilvl w:val="2"/>
          <w:numId w:val="10"/>
        </w:numPr>
        <w:ind w:left="1980" w:hanging="900"/>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 采购本国产品的支持政策</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 供应商需按照招标文件的要求提供《关于符合本国产品标准的声明函》（以下简称《声明函》），如不提供将不享受本国产品价格评审优惠。</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0"/>
        </w:numPr>
        <w:ind w:left="1980" w:hanging="900"/>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其他为落实政府采购政策实施的优先采购：</w:t>
      </w:r>
      <w:r>
        <w:rPr>
          <w:rFonts w:hint="eastAsia"/>
          <w:color w:val="auto"/>
          <w:sz w:val="24"/>
          <w:highlight w:val="none"/>
          <w:u w:val="single"/>
          <w:lang w:val="en-US" w:eastAsia="zh-CN"/>
        </w:rPr>
        <w:t xml:space="preserve"> </w:t>
      </w:r>
      <w:r>
        <w:rPr>
          <w:rFonts w:hint="eastAsia"/>
          <w:color w:val="auto"/>
          <w:sz w:val="24"/>
          <w:highlight w:val="none"/>
          <w:u w:val="single"/>
        </w:rPr>
        <w:t xml:space="preserve">/</w:t>
      </w:r>
      <w:r>
        <w:rPr>
          <w:rFonts w:hint="eastAsia"/>
          <w:color w:val="auto"/>
          <w:sz w:val="24"/>
          <w:highlight w:val="none"/>
        </w:rPr>
        <w:t xml:space="preserve">。</w:t>
      </w:r>
      <w:r/>
    </w:p>
    <w:p>
      <w:pPr>
        <w:numPr>
          <w:ilvl w:val="0"/>
          <w:numId w:val="10"/>
        </w:numPr>
        <w:ind w:left="900" w:hanging="900"/>
        <w:spacing w:line="360" w:lineRule="auto"/>
        <w:tabs>
          <w:tab w:val="left" w:pos="360" w:leader="none"/>
        </w:tabs>
        <w:rPr>
          <w:color w:val="auto"/>
          <w:sz w:val="24"/>
          <w:highlight w:val="none"/>
        </w:rPr>
        <w:outlineLvl w:val="1"/>
      </w:pPr>
      <w:r>
        <w:rPr>
          <w:color w:val="auto"/>
          <w:sz w:val="24"/>
          <w:highlight w:val="none"/>
        </w:rPr>
        <w:t xml:space="preserve">磋商环节及提交最终报价后如出现以下情况的，供应商的</w:t>
      </w:r>
      <w:r>
        <w:rPr>
          <w:b/>
          <w:color w:val="auto"/>
          <w:sz w:val="24"/>
          <w:highlight w:val="none"/>
        </w:rPr>
        <w:t xml:space="preserve">响应文件无效</w:t>
      </w:r>
      <w:r>
        <w:rPr>
          <w:color w:val="auto"/>
          <w:sz w:val="24"/>
          <w:highlight w:val="none"/>
        </w:rPr>
        <w:t xml:space="preserve">：</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供应商对实质性变动不予确认的；</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不满足磋商文件</w:t>
      </w:r>
      <w:r>
        <w:rPr>
          <w:rFonts w:ascii="Segoe UI Symbol" w:hAnsi="Segoe UI Symbol" w:cs="Segoe UI Symbol"/>
          <w:color w:val="auto"/>
          <w:sz w:val="24"/>
          <w:highlight w:val="none"/>
        </w:rPr>
        <w:t xml:space="preserve">★</w:t>
      </w:r>
      <w:r>
        <w:rPr>
          <w:color w:val="auto"/>
          <w:sz w:val="24"/>
          <w:highlight w:val="none"/>
        </w:rPr>
        <w:t xml:space="preserve">号条款或磋商文件技术指标超出磋商文件</w:t>
      </w:r>
      <w:r>
        <w:rPr>
          <w:rFonts w:hint="eastAsia"/>
          <w:color w:val="auto"/>
          <w:sz w:val="24"/>
          <w:highlight w:val="none"/>
        </w:rPr>
        <w:t xml:space="preserve">《</w:t>
      </w:r>
      <w:r>
        <w:rPr>
          <w:color w:val="auto"/>
          <w:sz w:val="24"/>
          <w:highlight w:val="none"/>
        </w:rPr>
        <w:t xml:space="preserve">采购需求</w:t>
      </w:r>
      <w:r>
        <w:rPr>
          <w:rFonts w:hint="eastAsia"/>
          <w:color w:val="auto"/>
          <w:sz w:val="24"/>
          <w:highlight w:val="none"/>
        </w:rPr>
        <w:t xml:space="preserve">》</w:t>
      </w:r>
      <w:r>
        <w:rPr>
          <w:color w:val="auto"/>
          <w:sz w:val="24"/>
          <w:highlight w:val="none"/>
        </w:rPr>
        <w:t xml:space="preserve">中主要技术参数允许偏差的最大范围的（如有）；</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未按照磋商小组规定的时间、逾期提交最终报价的；</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如供应商的最终报价超过竞争性磋商文件中规定的项目/采购包预算金额或者项目/采购包最高限价的；</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响应文件中出现可选择性或可调整的报价的（竞争性磋商文件另有规定的除外）；</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最终报价出现前后不一致，供应商对修正后的报价不予确认的；</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其他：</w:t>
      </w:r>
      <w:r>
        <w:rPr>
          <w:rFonts w:hint="eastAsia"/>
          <w:color w:val="auto"/>
          <w:sz w:val="24"/>
          <w:highlight w:val="none"/>
          <w:u w:val="single"/>
        </w:rPr>
        <w:t xml:space="preserve">  /  </w:t>
      </w:r>
      <w:r>
        <w:rPr>
          <w:color w:val="auto"/>
          <w:sz w:val="24"/>
          <w:highlight w:val="none"/>
        </w:rPr>
        <w:t xml:space="preserve">。</w:t>
      </w:r>
      <w:r/>
    </w:p>
    <w:p>
      <w:pPr>
        <w:numPr>
          <w:ilvl w:val="0"/>
          <w:numId w:val="10"/>
        </w:numPr>
        <w:ind w:left="900" w:hanging="900"/>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竞争性磋商文件中没有规定的评审标准不得作为评审依据。</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w:t>
      </w:r>
      <w:r>
        <w:rPr>
          <w:rFonts w:hint="eastAsia"/>
          <w:color w:val="auto"/>
          <w:sz w:val="24"/>
          <w:highlight w:val="none"/>
          <w:u w:val="single"/>
        </w:rPr>
        <w:t xml:space="preserve"> 无 </w:t>
      </w:r>
      <w:r>
        <w:rPr>
          <w:color w:val="auto"/>
          <w:sz w:val="24"/>
          <w:highlight w:val="none"/>
        </w:rPr>
        <w:t xml:space="preserve">。</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关于无线局域网认证产品政府采购清单中的产品，优先采购的具体规定（如涉及）</w:t>
      </w:r>
      <w:r>
        <w:rPr>
          <w:rFonts w:hint="eastAsia"/>
          <w:color w:val="auto"/>
          <w:sz w:val="24"/>
          <w:highlight w:val="none"/>
          <w:u w:val="single"/>
        </w:rPr>
        <w:t xml:space="preserve">无</w:t>
      </w:r>
      <w:r>
        <w:rPr>
          <w:color w:val="auto"/>
          <w:sz w:val="24"/>
          <w:highlight w:val="none"/>
        </w:rPr>
        <w:t xml:space="preserve">。</w:t>
      </w:r>
      <w:r/>
    </w:p>
    <w:p>
      <w:pPr>
        <w:numPr>
          <w:ilvl w:val="0"/>
          <w:numId w:val="10"/>
        </w:numPr>
        <w:ind w:left="900" w:hanging="900"/>
        <w:spacing w:line="360" w:lineRule="auto"/>
        <w:tabs>
          <w:tab w:val="left" w:pos="360" w:leader="none"/>
        </w:tabs>
        <w:rPr>
          <w:color w:val="auto"/>
          <w:sz w:val="24"/>
          <w:highlight w:val="none"/>
        </w:rPr>
        <w:outlineLvl w:val="1"/>
      </w:pPr>
      <w:r>
        <w:rPr>
          <w:color w:val="auto"/>
          <w:sz w:val="24"/>
          <w:highlight w:val="none"/>
        </w:rPr>
        <w:t xml:space="preserve">确定</w:t>
      </w:r>
      <w:bookmarkStart w:id="604" w:name="_Toc305158814"/>
      <w:r/>
      <w:bookmarkStart w:id="605" w:name="_Toc151193934"/>
      <w:r/>
      <w:bookmarkStart w:id="606" w:name="_Toc127151747"/>
      <w:r/>
      <w:bookmarkStart w:id="607" w:name="_Toc226309790"/>
      <w:r/>
      <w:bookmarkStart w:id="608" w:name="_Toc149720839"/>
      <w:r/>
      <w:bookmarkStart w:id="609" w:name="_Toc164608815"/>
      <w:r/>
      <w:bookmarkStart w:id="610" w:name="_Toc226965736"/>
      <w:r/>
      <w:bookmarkStart w:id="611" w:name="_Toc151193644"/>
      <w:r/>
      <w:bookmarkStart w:id="612" w:name="_Toc150480784"/>
      <w:r/>
      <w:bookmarkStart w:id="613" w:name="_Toc142311048"/>
      <w:r/>
      <w:bookmarkStart w:id="614" w:name="_Toc151193788"/>
      <w:r/>
      <w:bookmarkStart w:id="615" w:name="_Toc520356170"/>
      <w:r/>
      <w:bookmarkStart w:id="616" w:name="_Toc195842911"/>
      <w:r/>
      <w:bookmarkStart w:id="617" w:name="_Toc226337242"/>
      <w:r/>
      <w:bookmarkStart w:id="618" w:name="_Toc164351640"/>
      <w:r/>
      <w:bookmarkStart w:id="619" w:name="_Toc150509297"/>
      <w:r/>
      <w:bookmarkStart w:id="620" w:name="_Toc164229241"/>
      <w:r/>
      <w:bookmarkStart w:id="621" w:name="_Toc264969236"/>
      <w:r/>
      <w:bookmarkStart w:id="622" w:name="_Toc151190173"/>
      <w:r/>
      <w:bookmarkStart w:id="623" w:name="_Toc164229387"/>
      <w:r/>
      <w:bookmarkStart w:id="624" w:name="_Ref467307010"/>
      <w:r/>
      <w:bookmarkStart w:id="625" w:name="_Toc164608660"/>
      <w:r/>
      <w:bookmarkStart w:id="626" w:name="_Toc150774751"/>
      <w:r/>
      <w:bookmarkStart w:id="627" w:name="_Toc150774646"/>
      <w:r/>
      <w:bookmarkStart w:id="628" w:name="_Toc127161460"/>
      <w:r/>
      <w:bookmarkStart w:id="629" w:name="_Toc151193716"/>
      <w:r/>
      <w:bookmarkStart w:id="630" w:name="_Toc127151546"/>
      <w:r/>
      <w:bookmarkStart w:id="631" w:name="_Toc226965819"/>
      <w:r/>
      <w:bookmarkStart w:id="632" w:name="_Toc265228384"/>
      <w:r/>
      <w:bookmarkStart w:id="633" w:name="_Toc305158888"/>
      <w:r/>
      <w:bookmarkStart w:id="634" w:name="_Toc151193860"/>
      <w:r>
        <w:rPr>
          <w:color w:val="auto"/>
          <w:sz w:val="24"/>
          <w:highlight w:val="none"/>
        </w:rPr>
        <w:t xml:space="preserve">成交候选人名单</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szCs w:val="20"/>
          <w:highlight w:val="none"/>
        </w:rPr>
        <w:t xml:space="preserve">磋商小组根据上述供应商排序，依次推荐排序前</w:t>
      </w:r>
      <w:r>
        <w:rPr>
          <w:rFonts w:hint="eastAsia"/>
          <w:color w:val="auto"/>
          <w:sz w:val="24"/>
          <w:highlight w:val="none"/>
        </w:rPr>
        <w:t xml:space="preserve">3</w:t>
      </w:r>
      <w:r>
        <w:rPr>
          <w:color w:val="auto"/>
          <w:sz w:val="24"/>
          <w:highlight w:val="none"/>
        </w:rPr>
        <w:t xml:space="preserve">名</w:t>
      </w:r>
      <w:r>
        <w:rPr>
          <w:color w:val="auto"/>
          <w:sz w:val="24"/>
          <w:szCs w:val="20"/>
          <w:highlight w:val="none"/>
        </w:rPr>
        <w:t xml:space="preserve">的供应商为</w:t>
      </w:r>
      <w:r>
        <w:rPr>
          <w:color w:val="auto"/>
          <w:sz w:val="24"/>
          <w:szCs w:val="21"/>
          <w:highlight w:val="none"/>
        </w:rPr>
        <w:t xml:space="preserve">成交候选供应商</w:t>
      </w:r>
      <w:r>
        <w:rPr>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磋商小组要对评分汇总情况进行复核，特别是对排名第一的、报价最低的、响应文件被认定为无效的情形进行重点复核。</w:t>
      </w:r>
      <w:r/>
    </w:p>
    <w:p>
      <w:pPr>
        <w:numPr>
          <w:ilvl w:val="0"/>
          <w:numId w:val="10"/>
        </w:numPr>
        <w:ind w:left="900" w:hanging="900"/>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0"/>
        </w:numPr>
        <w:ind w:left="1468" w:hanging="900"/>
        <w:jc w:val="left"/>
        <w:spacing w:line="360" w:lineRule="auto"/>
        <w:widowControl/>
        <w:tabs>
          <w:tab w:val="left" w:pos="1080" w:leader="none"/>
          <w:tab w:val="left" w:pos="1872" w:leader="none"/>
        </w:tabs>
        <w:rPr>
          <w:color w:val="auto"/>
          <w:sz w:val="24"/>
          <w:highlight w:val="none"/>
        </w:rPr>
      </w:pPr>
      <w:r>
        <w:rPr>
          <w:color w:val="auto"/>
          <w:sz w:val="24"/>
          <w:highlight w:val="none"/>
        </w:rPr>
        <w:t xml:space="preserve">磋商小组在评审过程中发现供应商有行贿、提供虚假材料或者串通等违法行为时，有向采购人、采购代理机构或者有关部门报告的职责。</w:t>
      </w:r>
      <w:r/>
    </w:p>
    <w:p>
      <w:pPr>
        <w:pStyle w:val="1047"/>
        <w:rPr>
          <w:color w:val="auto"/>
          <w:highlight w:val="none"/>
        </w:rPr>
      </w:pPr>
      <w:r>
        <w:rPr>
          <w:color w:val="auto"/>
          <w:highlight w:val="none"/>
        </w:rPr>
        <w:br w:type="page" w:clear="all"/>
      </w:r>
      <w:r/>
    </w:p>
    <w:p>
      <w:pPr>
        <w:pStyle w:val="1031"/>
        <w:numPr>
          <w:ilvl w:val="0"/>
          <w:numId w:val="11"/>
        </w:numPr>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评</w:t>
      </w:r>
      <w:r>
        <w:rPr>
          <w:rFonts w:hint="eastAsia" w:ascii="Times New Roman" w:hAnsi="Times New Roman" w:eastAsia="宋体"/>
          <w:color w:val="auto"/>
          <w:sz w:val="24"/>
          <w:szCs w:val="24"/>
          <w:highlight w:val="none"/>
        </w:rPr>
        <w:t xml:space="preserve">审</w:t>
      </w:r>
      <w:r>
        <w:rPr>
          <w:rFonts w:ascii="Times New Roman" w:hAnsi="Times New Roman" w:eastAsia="宋体"/>
          <w:color w:val="auto"/>
          <w:sz w:val="24"/>
          <w:szCs w:val="24"/>
          <w:highlight w:val="none"/>
        </w:rPr>
        <w:t xml:space="preserve">标准</w:t>
      </w:r>
      <w:r/>
    </w:p>
    <w:tbl>
      <w:tblPr>
        <w:tblStyle w:val="1040"/>
        <w:tblW w:w="9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18"/>
        <w:gridCol w:w="732"/>
        <w:gridCol w:w="4512"/>
        <w:gridCol w:w="2031"/>
      </w:tblGrid>
      <w:tr>
        <w:trPr>
          <w:jc w:val="center"/>
          <w:trHeight w:val="567"/>
          <w:tblHeader/>
        </w:trPr>
        <w:tc>
          <w:tcPr>
            <w:tcW w:w="817" w:type="dxa"/>
            <w:vAlign w:val="center"/>
            <w:textDirection w:val="lrTb"/>
            <w:noWrap w:val="false"/>
          </w:tcPr>
          <w:p>
            <w:pPr>
              <w:ind w:firstLine="28"/>
              <w:jc w:val="center"/>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highlight w:val="none"/>
              </w:rPr>
              <w:t xml:space="preserve">序号</w:t>
            </w:r>
            <w:r/>
          </w:p>
        </w:tc>
        <w:tc>
          <w:tcPr>
            <w:tcW w:w="1418" w:type="dxa"/>
            <w:vAlign w:val="center"/>
            <w:textDirection w:val="lrTb"/>
            <w:noWrap w:val="false"/>
          </w:tcPr>
          <w:p>
            <w:pPr>
              <w:ind w:firstLine="28"/>
              <w:jc w:val="center"/>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highlight w:val="none"/>
              </w:rPr>
              <w:t xml:space="preserve">评分因素</w:t>
            </w:r>
            <w:r/>
          </w:p>
        </w:tc>
        <w:tc>
          <w:tcPr>
            <w:tcW w:w="732" w:type="dxa"/>
            <w:vAlign w:val="center"/>
            <w:textDirection w:val="lrTb"/>
            <w:noWrap w:val="false"/>
          </w:tcPr>
          <w:p>
            <w:pPr>
              <w:ind w:firstLine="28"/>
              <w:jc w:val="center"/>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highlight w:val="none"/>
              </w:rPr>
              <w:t xml:space="preserve">分值</w:t>
            </w:r>
            <w:r/>
          </w:p>
        </w:tc>
        <w:tc>
          <w:tcPr>
            <w:tcW w:w="4512" w:type="dxa"/>
            <w:vAlign w:val="center"/>
            <w:textDirection w:val="lrTb"/>
            <w:noWrap w:val="false"/>
          </w:tcPr>
          <w:p>
            <w:pPr>
              <w:ind w:firstLine="28"/>
              <w:jc w:val="center"/>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highlight w:val="none"/>
              </w:rPr>
              <w:t xml:space="preserve">评分标准</w:t>
            </w:r>
            <w:r/>
          </w:p>
        </w:tc>
        <w:tc>
          <w:tcPr>
            <w:tcW w:w="2031" w:type="dxa"/>
            <w:vAlign w:val="center"/>
            <w:textDirection w:val="lrTb"/>
            <w:noWrap w:val="false"/>
          </w:tcPr>
          <w:p>
            <w:pPr>
              <w:pStyle w:val="1278"/>
              <w:spacing w:before="0" w:after="0"/>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rPr>
              <w:t xml:space="preserve">说明</w:t>
            </w:r>
            <w:r/>
          </w:p>
        </w:tc>
      </w:tr>
      <w:tr>
        <w:trPr>
          <w:jc w:val="center"/>
          <w:trHeight w:val="567"/>
        </w:trPr>
        <w:tc>
          <w:tcPr>
            <w:gridSpan w:val="5"/>
            <w:tcW w:w="95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b/>
                <w:color w:val="auto"/>
                <w:sz w:val="24"/>
                <w:highlight w:val="none"/>
              </w:rPr>
              <w:t xml:space="preserve">一、价格分（10分）</w:t>
            </w:r>
            <w:r/>
          </w:p>
        </w:tc>
      </w:tr>
      <w:tr>
        <w:trPr>
          <w:jc w:val="center"/>
          <w:trHeight w:val="2138"/>
        </w:trPr>
        <w:tc>
          <w:tcPr>
            <w:tcW w:w="817"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1</w:t>
            </w:r>
            <w:r/>
          </w:p>
        </w:tc>
        <w:tc>
          <w:tcPr>
            <w:tcW w:w="1418" w:type="dxa"/>
            <w:vAlign w:val="center"/>
            <w:textDirection w:val="lrTb"/>
            <w:noWrap w:val="false"/>
          </w:tcPr>
          <w:p>
            <w:pPr>
              <w:ind w:firstLine="28"/>
              <w:jc w:val="center"/>
              <w:spacing w:line="360" w:lineRule="auto"/>
              <w:rPr>
                <w:rFonts w:hint="eastAsia" w:ascii="宋体" w:hAnsi="宋体" w:eastAsia="宋体" w:cs="宋体"/>
                <w:b w:val="0"/>
                <w:bCs w:val="0"/>
                <w:color w:val="auto"/>
                <w:sz w:val="24"/>
                <w:szCs w:val="24"/>
                <w:highlight w:val="none"/>
              </w:rPr>
            </w:pPr>
            <w:r>
              <w:rPr>
                <w:rFonts w:hint="eastAsia" w:ascii="宋体" w:hAnsi="宋体" w:cs="宋体"/>
                <w:color w:val="auto"/>
                <w:sz w:val="24"/>
                <w:highlight w:val="none"/>
              </w:rPr>
              <w:t xml:space="preserve">价格分</w:t>
            </w:r>
            <w:r/>
          </w:p>
        </w:tc>
        <w:tc>
          <w:tcPr>
            <w:tcW w:w="732" w:type="dxa"/>
            <w:vAlign w:val="center"/>
            <w:textDirection w:val="lrTb"/>
            <w:noWrap w:val="false"/>
          </w:tcPr>
          <w:p>
            <w:pPr>
              <w:ind w:firstLine="28"/>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highlight w:val="none"/>
              </w:rPr>
              <w:t xml:space="preserve">10</w:t>
            </w:r>
            <w:r/>
          </w:p>
        </w:tc>
        <w:tc>
          <w:tcPr>
            <w:tcW w:w="4512" w:type="dxa"/>
            <w:vAlign w:val="center"/>
            <w:textDirection w:val="lrTb"/>
            <w:noWrap w:val="false"/>
          </w:tcPr>
          <w:p>
            <w:pPr>
              <w:spacing w:line="360" w:lineRule="exact"/>
              <w:rPr>
                <w:rFonts w:hint="eastAsia" w:ascii="宋体" w:hAnsi="宋体" w:eastAsia="宋体" w:cs="宋体"/>
                <w:color w:val="auto"/>
                <w:spacing w:val="-6"/>
                <w:sz w:val="24"/>
                <w:szCs w:val="24"/>
                <w:highlight w:val="none"/>
              </w:rPr>
            </w:pPr>
            <w:r>
              <w:rPr>
                <w:rFonts w:hint="eastAsia" w:ascii="宋体" w:hAnsi="宋体" w:cs="宋体"/>
                <w:color w:val="auto"/>
                <w:spacing w:val="-6"/>
                <w:sz w:val="24"/>
                <w:highlight w:val="none"/>
              </w:rPr>
              <w:t xml:space="preserve">价格分采用低价优先法计算，即满足采购文件要求且投标报价最低的投标报价为磋商基准价，其价格分为满分10分。其他投标供应商的价格分统一按照下列公式计算：投标报价得分 =磋商基准价／最后磋商报价×10%×100。</w:t>
            </w:r>
            <w:r/>
          </w:p>
        </w:tc>
        <w:tc>
          <w:tcPr>
            <w:tcW w:w="2031" w:type="dxa"/>
            <w:vAlign w:val="center"/>
            <w:textDirection w:val="lrTb"/>
            <w:noWrap w:val="false"/>
          </w:tcPr>
          <w:p>
            <w:pPr>
              <w:spacing w:line="360" w:lineRule="exact"/>
              <w:rPr>
                <w:rFonts w:hint="eastAsia" w:ascii="宋体" w:hAnsi="宋体" w:eastAsia="宋体" w:cs="宋体"/>
                <w:color w:val="auto"/>
                <w:spacing w:val="-6"/>
                <w:sz w:val="24"/>
                <w:szCs w:val="24"/>
                <w:highlight w:val="none"/>
              </w:rPr>
            </w:pPr>
            <w:r>
              <w:rPr>
                <w:rFonts w:hint="eastAsia" w:ascii="宋体" w:hAnsi="宋体" w:cs="宋体"/>
                <w:color w:val="auto"/>
                <w:spacing w:val="-6"/>
                <w:sz w:val="24"/>
                <w:highlight w:val="none"/>
              </w:rPr>
              <w:t xml:space="preserve">此处最终报价指经过报价修正，及因落实政府采购政策进行价格调整后的最终报价。</w:t>
            </w:r>
            <w:r/>
          </w:p>
        </w:tc>
      </w:tr>
      <w:tr>
        <w:trPr>
          <w:jc w:val="center"/>
          <w:trHeight w:val="587"/>
        </w:trPr>
        <w:tc>
          <w:tcPr>
            <w:gridSpan w:val="5"/>
            <w:tcW w:w="9510" w:type="dxa"/>
            <w:vAlign w:val="center"/>
            <w:textDirection w:val="lrTb"/>
            <w:noWrap w:val="false"/>
          </w:tcPr>
          <w:p>
            <w:pPr>
              <w:ind w:left="-38"/>
              <w:spacing w:line="360" w:lineRule="auto"/>
              <w:rPr>
                <w:rFonts w:hint="eastAsia" w:ascii="宋体" w:hAnsi="宋体" w:eastAsia="宋体" w:cs="宋体"/>
                <w:b w:val="0"/>
                <w:bCs w:val="0"/>
                <w:color w:val="auto"/>
                <w:sz w:val="24"/>
                <w:szCs w:val="24"/>
                <w:highlight w:val="none"/>
              </w:rPr>
            </w:pPr>
            <w:r>
              <w:rPr>
                <w:rFonts w:hint="eastAsia" w:ascii="宋体" w:hAnsi="宋体" w:cs="宋体"/>
                <w:b/>
                <w:bCs/>
                <w:color w:val="auto"/>
                <w:sz w:val="24"/>
                <w:highlight w:val="none"/>
              </w:rPr>
              <w:t xml:space="preserve">二、技术分（41分）</w:t>
            </w:r>
            <w:r/>
          </w:p>
        </w:tc>
      </w:tr>
      <w:tr>
        <w:trPr>
          <w:jc w:val="center"/>
          <w:trHeight w:val="567"/>
        </w:trPr>
        <w:tc>
          <w:tcPr>
            <w:tcW w:w="817" w:type="dxa"/>
            <w:vAlign w:val="center"/>
            <w:textDirection w:val="lrTb"/>
            <w:noWrap w:val="false"/>
          </w:tcPr>
          <w:p>
            <w:pPr>
              <w:jc w:val="center"/>
              <w:spacing w:line="360" w:lineRule="auto"/>
              <w:widowControl/>
              <w:tabs>
                <w:tab w:val="left" w:pos="12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2.1</w:t>
            </w:r>
            <w:r/>
          </w:p>
        </w:tc>
        <w:tc>
          <w:tcPr>
            <w:shd w:val="clear" w:color="auto" w:fill="auto"/>
            <w:tcW w:w="14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项目技术方案</w:t>
            </w:r>
            <w:r/>
          </w:p>
        </w:tc>
        <w:tc>
          <w:tcPr>
            <w:shd w:val="clear" w:color="auto" w:fill="auto"/>
            <w:tcW w:w="732" w:type="dxa"/>
            <w:vAlign w:val="center"/>
            <w:textDirection w:val="lrTb"/>
            <w:noWrap w:val="false"/>
          </w:tcPr>
          <w:p>
            <w:pPr>
              <w:ind w:firstLine="28"/>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8</w:t>
            </w:r>
            <w:r/>
          </w:p>
        </w:tc>
        <w:tc>
          <w:tcPr>
            <w:shd w:val="clear" w:color="auto" w:fill="auto"/>
            <w:tcW w:w="4512" w:type="dxa"/>
            <w:vAlign w:val="center"/>
            <w:textDirection w:val="lrTb"/>
            <w:noWrap w:val="false"/>
          </w:tcPr>
          <w:p>
            <w:pPr>
              <w:rPr>
                <w:rStyle w:val="1301"/>
                <w:rFonts w:cs="宋体"/>
                <w:color w:val="auto"/>
                <w:highlight w:val="none"/>
              </w:rPr>
            </w:pPr>
            <w:r>
              <w:rPr>
                <w:rStyle w:val="1301"/>
                <w:rFonts w:hint="eastAsia" w:cs="宋体"/>
                <w:color w:val="auto"/>
                <w:highlight w:val="none"/>
              </w:rPr>
              <w:t xml:space="preserve">供应商结合现场踏勘情况提供详细的项目技术方案，详细阐述不限于各个主要系统的架构阐述、功能设计、方案优势、深化设计图纸（包括但不限于系统图、监控点位布局图、装修设计图及3D效果图）等内容，是否体现前瞻性，合理性和可行性等，根据方案科学、严密、合理性综合评分。</w:t>
            </w:r>
            <w:r/>
          </w:p>
          <w:p>
            <w:pPr>
              <w:rPr>
                <w:rStyle w:val="1301"/>
                <w:rFonts w:cs="宋体"/>
                <w:color w:val="auto"/>
                <w:highlight w:val="none"/>
              </w:rPr>
            </w:pPr>
            <w:r>
              <w:rPr>
                <w:rStyle w:val="1301"/>
                <w:rFonts w:hint="eastAsia" w:cs="宋体"/>
                <w:color w:val="auto"/>
                <w:highlight w:val="none"/>
              </w:rPr>
              <w:t xml:space="preserve">整体方案思路清晰、内容完整，针对性强的，得8分；</w:t>
            </w:r>
            <w:r/>
          </w:p>
          <w:p>
            <w:pPr>
              <w:rPr>
                <w:rStyle w:val="1301"/>
                <w:rFonts w:cs="宋体"/>
                <w:color w:val="auto"/>
                <w:highlight w:val="none"/>
              </w:rPr>
            </w:pPr>
            <w:r>
              <w:rPr>
                <w:rStyle w:val="1301"/>
                <w:rFonts w:hint="eastAsia" w:cs="宋体"/>
                <w:color w:val="auto"/>
                <w:highlight w:val="none"/>
              </w:rPr>
              <w:t xml:space="preserve">整体方案较为清晰，内容较为完整，描述较为合理的，得6分；</w:t>
            </w:r>
            <w:r/>
          </w:p>
          <w:p>
            <w:pPr>
              <w:rPr>
                <w:rStyle w:val="1301"/>
                <w:rFonts w:cs="宋体"/>
                <w:color w:val="auto"/>
                <w:highlight w:val="none"/>
              </w:rPr>
            </w:pPr>
            <w:r>
              <w:rPr>
                <w:rStyle w:val="1301"/>
                <w:rFonts w:hint="eastAsia" w:cs="宋体"/>
                <w:color w:val="auto"/>
                <w:highlight w:val="none"/>
              </w:rPr>
              <w:t xml:space="preserve">整体方案基本清晰，内容基本完整，描述基本合理的，得4分；</w:t>
            </w:r>
            <w:r/>
          </w:p>
          <w:p>
            <w:pPr>
              <w:rPr>
                <w:rStyle w:val="1301"/>
                <w:rFonts w:cs="宋体"/>
                <w:color w:val="auto"/>
                <w:highlight w:val="none"/>
              </w:rPr>
            </w:pPr>
            <w:r>
              <w:rPr>
                <w:rStyle w:val="1301"/>
                <w:rFonts w:hint="eastAsia" w:cs="宋体"/>
                <w:color w:val="auto"/>
                <w:highlight w:val="none"/>
              </w:rPr>
              <w:t xml:space="preserve">整体方案内容有缺失，描述较差的，得2分；</w:t>
            </w:r>
            <w:r/>
          </w:p>
          <w:p>
            <w:pPr>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未提供的不得分。</w:t>
            </w:r>
            <w:r/>
          </w:p>
        </w:tc>
        <w:tc>
          <w:tcPr>
            <w:tcW w:w="2031" w:type="dxa"/>
            <w:vAlign w:val="center"/>
            <w:textDirection w:val="lrTb"/>
            <w:noWrap w:val="false"/>
          </w:tcPr>
          <w:p>
            <w:pPr>
              <w:jc w:val="left"/>
              <w:rPr>
                <w:rStyle w:val="1301"/>
                <w:rFonts w:hint="eastAsia" w:ascii="宋体" w:hAnsi="宋体" w:eastAsia="宋体" w:cs="宋体"/>
                <w:color w:val="auto"/>
                <w:highlight w:val="none"/>
              </w:rPr>
            </w:pPr>
            <w:r>
              <w:rPr>
                <w:rStyle w:val="1301"/>
                <w:rFonts w:hint="eastAsia" w:ascii="宋体" w:hAnsi="宋体" w:eastAsia="宋体" w:cs="宋体"/>
                <w:color w:val="auto"/>
                <w:highlight w:val="none"/>
              </w:rPr>
              <w:t xml:space="preserve">须提供现场踏勘回执单（格式见附件），否则不得分。</w:t>
            </w:r>
            <w:r/>
          </w:p>
        </w:tc>
      </w:tr>
      <w:tr>
        <w:trPr>
          <w:jc w:val="center"/>
          <w:trHeight w:val="567"/>
        </w:trPr>
        <w:tc>
          <w:tcPr>
            <w:tcW w:w="817" w:type="dxa"/>
            <w:vAlign w:val="center"/>
            <w:textDirection w:val="lrTb"/>
            <w:noWrap w:val="false"/>
          </w:tcPr>
          <w:p>
            <w:pPr>
              <w:jc w:val="center"/>
              <w:spacing w:line="360" w:lineRule="auto"/>
              <w:widowControl/>
              <w:tabs>
                <w:tab w:val="left" w:pos="12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2.2</w:t>
            </w:r>
            <w:r/>
          </w:p>
        </w:tc>
        <w:tc>
          <w:tcPr>
            <w:shd w:val="clear" w:color="auto" w:fill="auto"/>
            <w:tcW w:w="14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项目实施方案</w:t>
            </w:r>
            <w:r/>
          </w:p>
        </w:tc>
        <w:tc>
          <w:tcPr>
            <w:shd w:val="clear" w:color="auto" w:fill="auto"/>
            <w:tcW w:w="732" w:type="dxa"/>
            <w:vAlign w:val="center"/>
            <w:textDirection w:val="lrTb"/>
            <w:noWrap w:val="false"/>
          </w:tcPr>
          <w:p>
            <w:pPr>
              <w:ind w:firstLine="28"/>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8</w:t>
            </w:r>
            <w:r/>
          </w:p>
        </w:tc>
        <w:tc>
          <w:tcPr>
            <w:shd w:val="clear" w:color="auto" w:fill="auto"/>
            <w:tcW w:w="4512" w:type="dxa"/>
            <w:vAlign w:val="center"/>
            <w:textDirection w:val="lrTb"/>
            <w:noWrap w:val="false"/>
          </w:tcPr>
          <w:p>
            <w:pPr>
              <w:jc w:val="left"/>
              <w:rPr>
                <w:rStyle w:val="1301"/>
                <w:rFonts w:cs="宋体"/>
                <w:color w:val="auto"/>
                <w:highlight w:val="none"/>
              </w:rPr>
            </w:pPr>
            <w:r>
              <w:rPr>
                <w:rStyle w:val="1301"/>
                <w:rFonts w:hint="eastAsia" w:cs="宋体"/>
                <w:color w:val="auto"/>
                <w:highlight w:val="none"/>
              </w:rPr>
              <w:t xml:space="preserve">供应商应根据本项目的实际需求及自身实际情况结合现场踏勘情况编制相应的项目管理方案，方案内容包括但不限于项目管理体系、人员团队配备、进度计划安排、项目实施风险控制、质量管理保障等方面，根据方案科学、严密、合理性综合评分。</w:t>
            </w:r>
            <w:r/>
          </w:p>
          <w:p>
            <w:pPr>
              <w:jc w:val="left"/>
              <w:rPr>
                <w:rStyle w:val="1301"/>
                <w:rFonts w:cs="宋体"/>
                <w:color w:val="auto"/>
                <w:highlight w:val="none"/>
              </w:rPr>
            </w:pPr>
            <w:r>
              <w:rPr>
                <w:rStyle w:val="1301"/>
                <w:rFonts w:hint="eastAsia" w:cs="宋体"/>
                <w:color w:val="auto"/>
                <w:highlight w:val="none"/>
              </w:rPr>
              <w:t xml:space="preserve">组织实施方案描述全面、涵盖上述全部内容、无缺漏、条理清晰的得8分；</w:t>
            </w:r>
            <w:r/>
          </w:p>
          <w:p>
            <w:pPr>
              <w:jc w:val="left"/>
              <w:rPr>
                <w:rStyle w:val="1301"/>
                <w:rFonts w:cs="宋体"/>
                <w:color w:val="auto"/>
                <w:highlight w:val="none"/>
              </w:rPr>
            </w:pPr>
            <w:r>
              <w:rPr>
                <w:rStyle w:val="1301"/>
                <w:rFonts w:hint="eastAsia" w:cs="宋体"/>
                <w:color w:val="auto"/>
                <w:highlight w:val="none"/>
              </w:rPr>
              <w:t xml:space="preserve">组织实施方案较全面、涵盖上述内容，方案措施描述较全的得6分；</w:t>
            </w:r>
            <w:r/>
          </w:p>
          <w:p>
            <w:pPr>
              <w:jc w:val="left"/>
              <w:rPr>
                <w:rStyle w:val="1301"/>
                <w:rFonts w:cs="宋体"/>
                <w:color w:val="auto"/>
                <w:highlight w:val="none"/>
              </w:rPr>
            </w:pPr>
            <w:r>
              <w:rPr>
                <w:rStyle w:val="1301"/>
                <w:rFonts w:hint="eastAsia" w:cs="宋体"/>
                <w:color w:val="auto"/>
                <w:highlight w:val="none"/>
              </w:rPr>
              <w:t xml:space="preserve">组织实施方案基本全面、基本涵盖上述内容，方案措施描述一般的得4分；</w:t>
            </w:r>
            <w:r/>
          </w:p>
          <w:p>
            <w:pPr>
              <w:jc w:val="left"/>
              <w:rPr>
                <w:rStyle w:val="1301"/>
                <w:rFonts w:cs="宋体"/>
                <w:color w:val="auto"/>
                <w:highlight w:val="none"/>
              </w:rPr>
            </w:pPr>
            <w:r>
              <w:rPr>
                <w:rStyle w:val="1301"/>
                <w:rFonts w:hint="eastAsia" w:cs="宋体"/>
                <w:color w:val="auto"/>
                <w:highlight w:val="none"/>
              </w:rPr>
              <w:t xml:space="preserve">组织实施方案内容有缺失，有一定的方案措施描述的得2分；</w:t>
            </w:r>
            <w:r/>
          </w:p>
          <w:p>
            <w:pPr>
              <w:jc w:val="left"/>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未提供不得分。</w:t>
            </w:r>
            <w:r/>
          </w:p>
        </w:tc>
        <w:tc>
          <w:tcPr>
            <w:tcW w:w="2031" w:type="dxa"/>
            <w:vAlign w:val="center"/>
            <w:textDirection w:val="lrTb"/>
            <w:noWrap w:val="false"/>
          </w:tcPr>
          <w:p>
            <w:pPr>
              <w:jc w:val="left"/>
              <w:rPr>
                <w:rStyle w:val="1301"/>
                <w:rFonts w:hint="eastAsia" w:ascii="宋体" w:hAnsi="宋体" w:eastAsia="宋体" w:cs="宋体"/>
                <w:color w:val="auto"/>
                <w:highlight w:val="none"/>
              </w:rPr>
            </w:pPr>
            <w:r>
              <w:rPr>
                <w:rStyle w:val="1301"/>
                <w:rFonts w:hint="eastAsia" w:ascii="宋体" w:hAnsi="宋体" w:eastAsia="宋体" w:cs="宋体"/>
                <w:color w:val="auto"/>
                <w:highlight w:val="none"/>
              </w:rPr>
              <w:t xml:space="preserve">须提供现场踏勘回执单（格式见附件），否则不得分。</w:t>
            </w:r>
            <w:r/>
          </w:p>
        </w:tc>
      </w:tr>
      <w:tr>
        <w:trPr>
          <w:jc w:val="center"/>
          <w:trHeight w:val="567"/>
        </w:trPr>
        <w:tc>
          <w:tcPr>
            <w:tcW w:w="817" w:type="dxa"/>
            <w:vAlign w:val="center"/>
            <w:textDirection w:val="lrTb"/>
            <w:noWrap w:val="false"/>
          </w:tcPr>
          <w:p>
            <w:pPr>
              <w:jc w:val="center"/>
              <w:spacing w:line="360" w:lineRule="auto"/>
              <w:widowControl/>
              <w:tabs>
                <w:tab w:val="left" w:pos="12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2.3</w:t>
            </w:r>
            <w:r/>
          </w:p>
        </w:tc>
        <w:tc>
          <w:tcPr>
            <w:shd w:val="clear" w:color="auto" w:fill="auto"/>
            <w:tcW w:w="14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售后服务方案</w:t>
            </w:r>
            <w:r/>
          </w:p>
        </w:tc>
        <w:tc>
          <w:tcPr>
            <w:shd w:val="clear" w:color="auto" w:fill="auto"/>
            <w:tcW w:w="732" w:type="dxa"/>
            <w:vAlign w:val="center"/>
            <w:textDirection w:val="lrTb"/>
            <w:noWrap w:val="false"/>
          </w:tcPr>
          <w:p>
            <w:pPr>
              <w:ind w:firstLine="28"/>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7</w:t>
            </w:r>
            <w:r/>
          </w:p>
        </w:tc>
        <w:tc>
          <w:tcPr>
            <w:shd w:val="clear" w:color="auto" w:fill="auto"/>
            <w:tcW w:w="4512" w:type="dxa"/>
            <w:vAlign w:val="center"/>
            <w:textDirection w:val="lrTb"/>
            <w:noWrap w:val="false"/>
          </w:tcPr>
          <w:p>
            <w:pPr>
              <w:jc w:val="left"/>
              <w:rPr>
                <w:rStyle w:val="1301"/>
                <w:rFonts w:cs="宋体"/>
                <w:color w:val="auto"/>
                <w:highlight w:val="none"/>
              </w:rPr>
            </w:pPr>
            <w:r>
              <w:rPr>
                <w:rStyle w:val="1301"/>
                <w:rFonts w:hint="eastAsia" w:cs="宋体"/>
                <w:color w:val="auto"/>
                <w:highlight w:val="none"/>
              </w:rPr>
              <w:t xml:space="preserve">供应商应根据本项目的实际需求及自身实际情况编制相应的项目管理方案，方案内容包括但不限于项目管理体系、人员团队配备、进度计划安排、项目实施风险控制、质量管理保障等方面，根据方案科学、严密、合理性综合评分。</w:t>
            </w:r>
            <w:r/>
          </w:p>
          <w:p>
            <w:pPr>
              <w:jc w:val="left"/>
              <w:rPr>
                <w:rStyle w:val="1301"/>
                <w:rFonts w:cs="宋体"/>
                <w:color w:val="auto"/>
                <w:highlight w:val="none"/>
              </w:rPr>
            </w:pPr>
            <w:r>
              <w:rPr>
                <w:rStyle w:val="1301"/>
                <w:rFonts w:hint="eastAsia" w:cs="宋体"/>
                <w:color w:val="auto"/>
                <w:highlight w:val="none"/>
              </w:rPr>
              <w:t xml:space="preserve">组织实施方案描述全面、涵盖上述全部内容、无缺漏、条理清晰的得7分；</w:t>
            </w:r>
            <w:r/>
          </w:p>
          <w:p>
            <w:pPr>
              <w:jc w:val="left"/>
              <w:rPr>
                <w:rStyle w:val="1301"/>
                <w:rFonts w:cs="宋体"/>
                <w:color w:val="auto"/>
                <w:highlight w:val="none"/>
              </w:rPr>
            </w:pPr>
            <w:r>
              <w:rPr>
                <w:rStyle w:val="1301"/>
                <w:rFonts w:hint="eastAsia" w:cs="宋体"/>
                <w:color w:val="auto"/>
                <w:highlight w:val="none"/>
              </w:rPr>
              <w:t xml:space="preserve">组织实施方案较全面、涵盖上述内容，方案措施描述较全的得5分；</w:t>
            </w:r>
            <w:r/>
          </w:p>
          <w:p>
            <w:pPr>
              <w:jc w:val="left"/>
              <w:rPr>
                <w:rStyle w:val="1301"/>
                <w:rFonts w:cs="宋体"/>
                <w:color w:val="auto"/>
                <w:highlight w:val="none"/>
              </w:rPr>
            </w:pPr>
            <w:r>
              <w:rPr>
                <w:rStyle w:val="1301"/>
                <w:rFonts w:hint="eastAsia" w:cs="宋体"/>
                <w:color w:val="auto"/>
                <w:highlight w:val="none"/>
              </w:rPr>
              <w:t xml:space="preserve">组织实施方案基本全面、基本涵盖上述内容，方案措施描述一般的得3分；</w:t>
            </w:r>
            <w:r/>
          </w:p>
          <w:p>
            <w:pPr>
              <w:jc w:val="left"/>
              <w:rPr>
                <w:rStyle w:val="1301"/>
                <w:rFonts w:cs="宋体"/>
                <w:color w:val="auto"/>
                <w:highlight w:val="none"/>
              </w:rPr>
            </w:pPr>
            <w:r>
              <w:rPr>
                <w:rStyle w:val="1301"/>
                <w:rFonts w:hint="eastAsia" w:cs="宋体"/>
                <w:color w:val="auto"/>
                <w:highlight w:val="none"/>
              </w:rPr>
              <w:t xml:space="preserve">组织实施方案内容有缺失，有一定的方案措施描述的得1分；</w:t>
            </w:r>
            <w:r/>
          </w:p>
          <w:p>
            <w:pPr>
              <w:jc w:val="left"/>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未提供不得分。</w:t>
            </w:r>
            <w:r/>
          </w:p>
        </w:tc>
        <w:tc>
          <w:tcPr>
            <w:tcW w:w="2031" w:type="dxa"/>
            <w:vAlign w:val="center"/>
            <w:textDirection w:val="lrTb"/>
            <w:noWrap w:val="false"/>
          </w:tcPr>
          <w:p>
            <w:pPr>
              <w:ind w:left="-38"/>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90"/>
        </w:trPr>
        <w:tc>
          <w:tcPr>
            <w:tcW w:w="817" w:type="dxa"/>
            <w:vAlign w:val="center"/>
            <w:textDirection w:val="lrTb"/>
            <w:noWrap w:val="false"/>
          </w:tcPr>
          <w:p>
            <w:pPr>
              <w:jc w:val="center"/>
              <w:spacing w:line="360" w:lineRule="auto"/>
              <w:widowControl/>
              <w:tabs>
                <w:tab w:val="left" w:pos="120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2.4</w:t>
            </w:r>
            <w:r/>
          </w:p>
        </w:tc>
        <w:tc>
          <w:tcPr>
            <w:shd w:val="clear" w:color="auto" w:fill="auto"/>
            <w:tcW w:w="1418" w:type="dxa"/>
            <w:vAlign w:val="center"/>
            <w:textDirection w:val="lrTb"/>
            <w:noWrap w:val="false"/>
          </w:tcPr>
          <w:p>
            <w:pPr>
              <w:pStyle w:val="1306"/>
              <w:jc w:val="center"/>
              <w:spacing w:before="0" w:beforeAutospacing="0" w:after="0" w:afterAutospacing="0" w:line="360" w:lineRule="exact"/>
              <w:widowControl w:val="off"/>
              <w:rPr>
                <w:rFonts w:hint="eastAsia" w:ascii="宋体" w:hAnsi="宋体" w:eastAsia="宋体" w:cs="宋体"/>
                <w:bCs/>
                <w:color w:val="auto"/>
                <w:spacing w:val="-3"/>
                <w:sz w:val="24"/>
                <w:szCs w:val="24"/>
                <w:highlight w:val="none"/>
                <w:lang w:val="en-US" w:eastAsia="zh-CN" w:bidi="ar-SA"/>
              </w:rPr>
            </w:pPr>
            <w:r>
              <w:rPr>
                <w:rFonts w:hint="eastAsia"/>
                <w:color w:val="auto"/>
                <w:highlight w:val="none"/>
                <w:lang w:bidi="ar"/>
              </w:rPr>
              <w:t xml:space="preserve">培训方案</w:t>
            </w:r>
            <w:r/>
          </w:p>
        </w:tc>
        <w:tc>
          <w:tcPr>
            <w:shd w:val="clear" w:color="auto" w:fill="auto"/>
            <w:tcW w:w="732" w:type="dxa"/>
            <w:vAlign w:val="center"/>
            <w:textDirection w:val="lrTb"/>
            <w:noWrap w:val="false"/>
          </w:tcPr>
          <w:p>
            <w:pPr>
              <w:ind w:firstLine="28"/>
              <w:jc w:val="center"/>
              <w:rPr>
                <w:rFonts w:hint="eastAsia" w:ascii="宋体" w:hAnsi="宋体" w:eastAsia="宋体" w:cs="宋体"/>
                <w:bCs/>
                <w:color w:val="auto"/>
                <w:spacing w:val="-3"/>
                <w:sz w:val="24"/>
                <w:szCs w:val="24"/>
                <w:highlight w:val="none"/>
                <w:lang w:val="en-US" w:eastAsia="zh-CN" w:bidi="ar-SA"/>
              </w:rPr>
            </w:pPr>
            <w:r>
              <w:rPr>
                <w:rFonts w:hint="eastAsia" w:ascii="宋体" w:hAnsi="宋体" w:cs="宋体"/>
                <w:color w:val="auto"/>
                <w:sz w:val="24"/>
                <w:highlight w:val="none"/>
                <w:lang w:bidi="ar"/>
              </w:rPr>
              <w:t xml:space="preserve">6</w:t>
            </w:r>
            <w:r/>
          </w:p>
        </w:tc>
        <w:tc>
          <w:tcPr>
            <w:shd w:val="clear" w:color="auto" w:fill="auto"/>
            <w:tcW w:w="4512" w:type="dxa"/>
            <w:vAlign w:val="center"/>
            <w:textDirection w:val="lrTb"/>
            <w:noWrap w:val="false"/>
          </w:tcPr>
          <w:p>
            <w:pPr>
              <w:pStyle w:val="1306"/>
              <w:spacing w:before="0" w:beforeAutospacing="0" w:after="0" w:afterAutospacing="0" w:line="360" w:lineRule="exact"/>
              <w:widowControl w:val="off"/>
              <w:rPr>
                <w:color w:val="auto"/>
                <w:highlight w:val="none"/>
              </w:rPr>
            </w:pPr>
            <w:r>
              <w:rPr>
                <w:rFonts w:hint="eastAsia"/>
                <w:color w:val="auto"/>
                <w:highlight w:val="none"/>
                <w:lang w:bidi="ar"/>
              </w:rPr>
              <w:t xml:space="preserve">供应商培训方案情况比较：包括培训步骤、培训计划、培训记录表等。</w:t>
            </w:r>
            <w:r/>
          </w:p>
          <w:p>
            <w:pPr>
              <w:spacing w:line="300" w:lineRule="exact"/>
              <w:rPr>
                <w:rFonts w:ascii="宋体" w:hAnsi="宋体" w:cs="宋体"/>
                <w:color w:val="auto"/>
                <w:sz w:val="24"/>
                <w:highlight w:val="none"/>
              </w:rPr>
            </w:pPr>
            <w:r>
              <w:rPr>
                <w:rFonts w:hint="eastAsia" w:ascii="宋体" w:hAnsi="宋体" w:cs="宋体"/>
                <w:color w:val="auto"/>
                <w:sz w:val="24"/>
                <w:highlight w:val="none"/>
                <w:lang w:bidi="ar"/>
              </w:rPr>
              <w:t xml:space="preserve">培训方案详细具体，可行性高，完全满足项目需求的得6分；</w:t>
            </w:r>
            <w:r/>
          </w:p>
          <w:p>
            <w:pPr>
              <w:spacing w:line="3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培训方案较为详细具体，可行性较高，较满足项目需求的得4分；</w:t>
            </w:r>
            <w:r/>
          </w:p>
          <w:p>
            <w:pPr>
              <w:spacing w:line="3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培训方案基本详细具体，可行性一般，基本满足项目需求的得2分；</w:t>
            </w:r>
            <w:r/>
          </w:p>
          <w:p>
            <w:pPr>
              <w:spacing w:line="3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培训方案不够详细具体，可行性较低，不能很好地满足项目需求的得1分；</w:t>
            </w:r>
            <w:r/>
          </w:p>
          <w:p>
            <w:pPr>
              <w:pStyle w:val="1306"/>
              <w:spacing w:before="0" w:beforeAutospacing="0" w:after="0" w:afterAutospacing="0" w:line="360" w:lineRule="exact"/>
              <w:widowControl w:val="off"/>
              <w:rPr>
                <w:rFonts w:hint="eastAsia" w:ascii="宋体" w:hAnsi="宋体" w:eastAsia="宋体" w:cs="宋体"/>
                <w:bCs/>
                <w:color w:val="auto"/>
                <w:sz w:val="24"/>
                <w:szCs w:val="24"/>
                <w:highlight w:val="none"/>
                <w:lang w:val="en-US" w:eastAsia="zh-CN" w:bidi="ar-SA"/>
              </w:rPr>
            </w:pPr>
            <w:r>
              <w:rPr>
                <w:rFonts w:hint="eastAsia"/>
                <w:color w:val="auto"/>
                <w:highlight w:val="none"/>
                <w:lang w:bidi="ar"/>
              </w:rPr>
              <w:t xml:space="preserve">不提供不得分。</w:t>
            </w:r>
            <w:r/>
          </w:p>
        </w:tc>
        <w:tc>
          <w:tcPr>
            <w:tcW w:w="2031" w:type="dxa"/>
            <w:vAlign w:val="center"/>
            <w:textDirection w:val="lrTb"/>
            <w:noWrap w:val="false"/>
          </w:tcPr>
          <w:p>
            <w:pPr>
              <w:ind w:left="-38"/>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90"/>
        </w:trPr>
        <w:tc>
          <w:tcPr>
            <w:tcW w:w="817" w:type="dxa"/>
            <w:vAlign w:val="center"/>
            <w:textDirection w:val="lrTb"/>
            <w:noWrap w:val="false"/>
          </w:tcPr>
          <w:p>
            <w:pPr>
              <w:jc w:val="center"/>
              <w:spacing w:line="360" w:lineRule="auto"/>
              <w:widowControl/>
              <w:tabs>
                <w:tab w:val="left" w:pos="120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2.5</w:t>
            </w:r>
            <w:r/>
          </w:p>
        </w:tc>
        <w:tc>
          <w:tcPr>
            <w:shd w:val="clear" w:color="auto" w:fill="auto"/>
            <w:tcW w:w="1418" w:type="dxa"/>
            <w:vAlign w:val="center"/>
            <w:textDirection w:val="lrTb"/>
            <w:noWrap w:val="false"/>
          </w:tcPr>
          <w:p>
            <w:pPr>
              <w:ind w:firstLine="28"/>
              <w:jc w:val="center"/>
              <w:rPr>
                <w:rFonts w:hint="eastAsia"/>
                <w:color w:val="auto"/>
                <w:highlight w:val="none"/>
                <w:lang w:bidi="ar"/>
              </w:rPr>
            </w:pPr>
            <w:r>
              <w:rPr>
                <w:rFonts w:hint="eastAsia" w:ascii="宋体" w:hAnsi="宋体" w:cs="等线"/>
                <w:color w:val="auto"/>
                <w:sz w:val="24"/>
                <w:highlight w:val="none"/>
              </w:rPr>
              <w:t xml:space="preserve">对本项目的重点、难点分析及应对措施 </w:t>
            </w:r>
            <w:r/>
          </w:p>
        </w:tc>
        <w:tc>
          <w:tcPr>
            <w:shd w:val="clear" w:color="auto" w:fill="auto"/>
            <w:tcW w:w="732" w:type="dxa"/>
            <w:vAlign w:val="center"/>
            <w:textDirection w:val="lrTb"/>
            <w:noWrap w:val="false"/>
          </w:tcPr>
          <w:p>
            <w:pPr>
              <w:ind w:firstLine="28"/>
              <w:jc w:val="center"/>
              <w:rPr>
                <w:rFonts w:hint="eastAsia" w:ascii="宋体" w:hAnsi="宋体" w:cs="宋体"/>
                <w:color w:val="auto"/>
                <w:sz w:val="24"/>
                <w:highlight w:val="none"/>
                <w:lang w:val="en-US" w:eastAsia="zh-CN" w:bidi="ar"/>
              </w:rPr>
            </w:pPr>
            <w:r>
              <w:rPr>
                <w:rFonts w:hint="eastAsia" w:ascii="宋体" w:hAnsi="宋体" w:cs="等线"/>
                <w:color w:val="auto"/>
                <w:sz w:val="24"/>
                <w:highlight w:val="none"/>
              </w:rPr>
              <w:t xml:space="preserve">6</w:t>
            </w:r>
            <w:r/>
          </w:p>
        </w:tc>
        <w:tc>
          <w:tcPr>
            <w:shd w:val="clear" w:color="auto" w:fill="auto"/>
            <w:tcW w:w="4512" w:type="dxa"/>
            <w:vAlign w:val="top"/>
            <w:textDirection w:val="lrTb"/>
            <w:noWrap w:val="false"/>
          </w:tcPr>
          <w:p>
            <w:pPr>
              <w:spacing w:line="360" w:lineRule="exact"/>
              <w:rPr>
                <w:rFonts w:ascii="宋体" w:hAnsi="宋体" w:cs="宋体"/>
                <w:bCs/>
                <w:color w:val="auto"/>
                <w:spacing w:val="-6"/>
                <w:sz w:val="24"/>
                <w:highlight w:val="none"/>
              </w:rPr>
            </w:pPr>
            <w:r>
              <w:rPr>
                <w:rFonts w:hint="eastAsia" w:ascii="宋体" w:hAnsi="宋体" w:cs="宋体"/>
                <w:bCs/>
                <w:color w:val="auto"/>
                <w:spacing w:val="-6"/>
                <w:sz w:val="24"/>
                <w:highlight w:val="none"/>
              </w:rPr>
              <w:t xml:space="preserve">对本项目的重点、难点分析及应对措施进行评分：</w:t>
            </w:r>
            <w:r>
              <w:rPr>
                <w:rFonts w:ascii="宋体" w:hAnsi="宋体" w:cs="宋体"/>
                <w:bCs/>
                <w:color w:val="auto"/>
                <w:spacing w:val="-6"/>
                <w:sz w:val="24"/>
                <w:highlight w:val="none"/>
              </w:rPr>
              <w:t xml:space="preserve"> </w:t>
            </w:r>
            <w:r/>
          </w:p>
          <w:p>
            <w:pPr>
              <w:spacing w:line="36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重点切入准确、内容阐述精细，难点分析精准，应对措施科学、合理，操作性强，得6分；</w:t>
            </w:r>
            <w:r/>
          </w:p>
          <w:p>
            <w:pPr>
              <w:spacing w:line="36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重点切入较为准确，内容阐述完整，难点分析到位，应对措施较为科学合理，操作性较强得4分；</w:t>
            </w:r>
            <w:r/>
          </w:p>
          <w:p>
            <w:pPr>
              <w:spacing w:line="36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重点切入基本准确，内容阐述基本完整，难点分析基本到位，应对措施基本科学合理，操作性一般得2分；</w:t>
            </w:r>
            <w:r/>
          </w:p>
          <w:p>
            <w:pPr>
              <w:rPr>
                <w:rFonts w:ascii="宋体" w:hAnsi="宋体" w:cs="宋体"/>
                <w:color w:val="auto"/>
                <w:spacing w:val="-6"/>
                <w:sz w:val="24"/>
                <w:highlight w:val="none"/>
              </w:rPr>
            </w:pPr>
            <w:r>
              <w:rPr>
                <w:rFonts w:hint="eastAsia" w:ascii="宋体" w:hAnsi="宋体" w:cs="宋体"/>
                <w:color w:val="auto"/>
                <w:spacing w:val="-6"/>
                <w:sz w:val="24"/>
                <w:highlight w:val="none"/>
              </w:rPr>
              <w:t xml:space="preserve">重点内容切入稍有偏差，内容阐述简单，难点分析不够合理，应对措施操作性较差得1分；</w:t>
            </w:r>
            <w:r/>
          </w:p>
          <w:p>
            <w:pPr>
              <w:widowControl/>
              <w:rPr>
                <w:rFonts w:hint="eastAsia"/>
                <w:color w:val="auto"/>
                <w:highlight w:val="none"/>
                <w:lang w:bidi="ar"/>
              </w:rPr>
            </w:pPr>
            <w:r>
              <w:rPr>
                <w:rFonts w:hint="eastAsia" w:ascii="宋体" w:hAnsi="宋体" w:cs="宋体"/>
                <w:color w:val="auto"/>
                <w:spacing w:val="-6"/>
                <w:sz w:val="24"/>
                <w:highlight w:val="none"/>
              </w:rPr>
              <w:t xml:space="preserve">未提供不得分。</w:t>
            </w:r>
            <w:r/>
          </w:p>
        </w:tc>
        <w:tc>
          <w:tcPr>
            <w:tcW w:w="2031" w:type="dxa"/>
            <w:vAlign w:val="center"/>
            <w:textDirection w:val="lrTb"/>
            <w:noWrap w:val="false"/>
          </w:tcPr>
          <w:p>
            <w:pPr>
              <w:ind w:left="-38"/>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67"/>
        </w:trPr>
        <w:tc>
          <w:tcPr>
            <w:tcW w:w="817" w:type="dxa"/>
            <w:vAlign w:val="center"/>
            <w:textDirection w:val="lrTb"/>
            <w:noWrap w:val="false"/>
          </w:tcPr>
          <w:p>
            <w:pPr>
              <w:jc w:val="center"/>
              <w:spacing w:line="360" w:lineRule="auto"/>
              <w:widowControl/>
              <w:tabs>
                <w:tab w:val="left" w:pos="12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2.6</w:t>
            </w:r>
            <w:r/>
          </w:p>
        </w:tc>
        <w:tc>
          <w:tcPr>
            <w:shd w:val="clear" w:color="auto" w:fill="auto"/>
            <w:tcW w:w="1418" w:type="dxa"/>
            <w:vAlign w:val="center"/>
            <w:textDirection w:val="lrTb"/>
            <w:noWrap w:val="false"/>
          </w:tcPr>
          <w:p>
            <w:pPr>
              <w:ind w:firstLine="28"/>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应急方案</w:t>
            </w:r>
            <w:r/>
          </w:p>
        </w:tc>
        <w:tc>
          <w:tcPr>
            <w:shd w:val="clear" w:color="auto" w:fill="auto"/>
            <w:tcW w:w="732" w:type="dxa"/>
            <w:vAlign w:val="center"/>
            <w:textDirection w:val="lrTb"/>
            <w:noWrap w:val="false"/>
          </w:tcPr>
          <w:p>
            <w:pPr>
              <w:ind w:firstLine="28"/>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6</w:t>
            </w:r>
            <w:r/>
          </w:p>
        </w:tc>
        <w:tc>
          <w:tcPr>
            <w:shd w:val="clear" w:color="auto" w:fill="auto"/>
            <w:tcW w:w="4512" w:type="dxa"/>
            <w:vAlign w:val="top"/>
            <w:textDirection w:val="lrTb"/>
            <w:noWrap w:val="false"/>
          </w:tcPr>
          <w:p>
            <w:pPr>
              <w:spacing w:line="360" w:lineRule="exact"/>
              <w:rPr>
                <w:rFonts w:ascii="宋体" w:hAnsi="宋体" w:cs="宋体"/>
                <w:bCs/>
                <w:color w:val="auto"/>
                <w:spacing w:val="-6"/>
                <w:sz w:val="24"/>
                <w:highlight w:val="none"/>
              </w:rPr>
            </w:pPr>
            <w:r>
              <w:rPr>
                <w:rFonts w:hint="eastAsia" w:ascii="宋体" w:hAnsi="宋体" w:cs="宋体"/>
                <w:bCs/>
                <w:color w:val="auto"/>
                <w:spacing w:val="-6"/>
                <w:sz w:val="24"/>
                <w:highlight w:val="none"/>
              </w:rPr>
              <w:t xml:space="preserve">供应商提供针对本项目的应急方案，由评委综合比较进行评分：</w:t>
            </w:r>
            <w:r/>
          </w:p>
          <w:p>
            <w:pPr>
              <w:spacing w:line="360" w:lineRule="exact"/>
              <w:rPr>
                <w:rFonts w:ascii="宋体" w:hAnsi="宋体" w:cs="宋体"/>
                <w:bCs/>
                <w:color w:val="auto"/>
                <w:spacing w:val="-6"/>
                <w:sz w:val="24"/>
                <w:highlight w:val="none"/>
              </w:rPr>
            </w:pPr>
            <w:r>
              <w:rPr>
                <w:rFonts w:hint="eastAsia" w:ascii="宋体" w:hAnsi="宋体" w:cs="宋体"/>
                <w:bCs/>
                <w:color w:val="auto"/>
                <w:spacing w:val="-6"/>
                <w:sz w:val="24"/>
                <w:highlight w:val="none"/>
              </w:rPr>
              <w:t xml:space="preserve">应急方案完整全面，可操作性强，明确职责、措施有力得6分；</w:t>
            </w:r>
            <w:r/>
          </w:p>
          <w:p>
            <w:pPr>
              <w:spacing w:line="360" w:lineRule="exact"/>
              <w:rPr>
                <w:rFonts w:ascii="宋体" w:hAnsi="宋体" w:cs="宋体"/>
                <w:bCs/>
                <w:color w:val="auto"/>
                <w:spacing w:val="-6"/>
                <w:sz w:val="24"/>
                <w:highlight w:val="none"/>
              </w:rPr>
            </w:pPr>
            <w:r>
              <w:rPr>
                <w:rFonts w:hint="eastAsia" w:ascii="宋体" w:hAnsi="宋体" w:cs="宋体"/>
                <w:bCs/>
                <w:color w:val="auto"/>
                <w:spacing w:val="-6"/>
                <w:sz w:val="24"/>
                <w:highlight w:val="none"/>
              </w:rPr>
              <w:t xml:space="preserve">应急方案完整较全面，可操作性较强，职责较为明确、措施较为有力得4分；</w:t>
            </w:r>
            <w:r/>
          </w:p>
          <w:p>
            <w:pPr>
              <w:spacing w:line="360" w:lineRule="exact"/>
              <w:rPr>
                <w:rFonts w:ascii="宋体" w:hAnsi="宋体" w:cs="宋体"/>
                <w:bCs/>
                <w:color w:val="auto"/>
                <w:spacing w:val="-6"/>
                <w:sz w:val="24"/>
                <w:highlight w:val="none"/>
              </w:rPr>
            </w:pPr>
            <w:r>
              <w:rPr>
                <w:rFonts w:hint="eastAsia" w:ascii="宋体" w:hAnsi="宋体" w:cs="宋体"/>
                <w:bCs/>
                <w:color w:val="auto"/>
                <w:spacing w:val="-6"/>
                <w:sz w:val="24"/>
                <w:highlight w:val="none"/>
              </w:rPr>
              <w:t xml:space="preserve">应急方案内容完整性全面性一般，可操作性一般，职责划分模糊，应急措施有欠缺得2分；</w:t>
            </w:r>
            <w:r/>
          </w:p>
          <w:p>
            <w:pPr>
              <w:spacing w:line="360" w:lineRule="exact"/>
              <w:rPr>
                <w:rFonts w:ascii="宋体" w:hAnsi="宋体" w:cs="宋体"/>
                <w:bCs/>
                <w:color w:val="auto"/>
                <w:spacing w:val="-6"/>
                <w:sz w:val="24"/>
                <w:highlight w:val="none"/>
              </w:rPr>
            </w:pPr>
            <w:r>
              <w:rPr>
                <w:rFonts w:hint="eastAsia" w:ascii="宋体" w:hAnsi="宋体" w:cs="宋体"/>
                <w:bCs/>
                <w:color w:val="auto"/>
                <w:spacing w:val="-6"/>
                <w:sz w:val="24"/>
                <w:highlight w:val="none"/>
              </w:rPr>
              <w:t xml:space="preserve">应急方案内容缺乏可操作性的得1分；</w:t>
            </w:r>
            <w:r/>
          </w:p>
          <w:p>
            <w:pPr>
              <w:spacing w:line="360" w:lineRule="exact"/>
              <w:rPr>
                <w:rFonts w:hint="eastAsia" w:ascii="宋体" w:hAnsi="宋体" w:eastAsia="宋体" w:cs="宋体"/>
                <w:bCs/>
                <w:color w:val="auto"/>
                <w:spacing w:val="-6"/>
                <w:sz w:val="24"/>
                <w:szCs w:val="24"/>
                <w:highlight w:val="none"/>
                <w:lang w:val="en-US" w:eastAsia="zh-CN"/>
              </w:rPr>
            </w:pPr>
            <w:r>
              <w:rPr>
                <w:rFonts w:hint="eastAsia" w:ascii="宋体" w:hAnsi="宋体" w:cs="宋体"/>
                <w:bCs/>
                <w:color w:val="auto"/>
                <w:spacing w:val="-6"/>
                <w:sz w:val="24"/>
                <w:highlight w:val="none"/>
              </w:rPr>
              <w:t xml:space="preserve">未提供不得分。</w:t>
            </w:r>
            <w:r/>
          </w:p>
        </w:tc>
        <w:tc>
          <w:tcPr>
            <w:tcW w:w="2031" w:type="dxa"/>
            <w:vAlign w:val="center"/>
            <w:textDirection w:val="lrTb"/>
            <w:noWrap w:val="false"/>
          </w:tcPr>
          <w:p>
            <w:pPr>
              <w:ind w:left="-38"/>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84"/>
        </w:trPr>
        <w:tc>
          <w:tcPr>
            <w:gridSpan w:val="5"/>
            <w:shd w:val="clear" w:color="auto" w:fill="auto"/>
            <w:tcW w:w="9510" w:type="dxa"/>
            <w:vAlign w:val="center"/>
            <w:textDirection w:val="lrTb"/>
            <w:noWrap w:val="false"/>
          </w:tcPr>
          <w:p>
            <w:pPr>
              <w:ind w:left="-38"/>
              <w:jc w:val="left"/>
              <w:spacing w:line="360" w:lineRule="auto"/>
              <w:rPr>
                <w:rFonts w:hint="eastAsia" w:ascii="宋体" w:hAnsi="宋体" w:eastAsia="宋体" w:cs="宋体"/>
                <w:b w:val="0"/>
                <w:bCs w:val="0"/>
                <w:color w:val="auto"/>
                <w:sz w:val="24"/>
                <w:szCs w:val="24"/>
                <w:highlight w:val="none"/>
              </w:rPr>
            </w:pPr>
            <w:r>
              <w:rPr>
                <w:rFonts w:hint="eastAsia" w:ascii="宋体" w:hAnsi="宋体" w:cs="宋体"/>
                <w:b/>
                <w:bCs/>
                <w:color w:val="auto"/>
                <w:sz w:val="24"/>
                <w:highlight w:val="none"/>
              </w:rPr>
              <w:t xml:space="preserve">三、商务分（49分）</w:t>
            </w:r>
            <w:r/>
          </w:p>
        </w:tc>
      </w:tr>
      <w:tr>
        <w:trPr>
          <w:jc w:val="center"/>
          <w:trHeight w:val="274"/>
        </w:trPr>
        <w:tc>
          <w:tcPr>
            <w:shd w:val="clear" w:color="auto" w:fill="auto"/>
            <w:tcW w:w="817" w:type="dxa"/>
            <w:vAlign w:val="center"/>
            <w:textDirection w:val="lrTb"/>
            <w:noWrap w:val="false"/>
          </w:tcPr>
          <w:p>
            <w:pPr>
              <w:jc w:val="center"/>
              <w:spacing w:line="360" w:lineRule="auto"/>
              <w:widowControl/>
              <w:tabs>
                <w:tab w:val="left" w:pos="1200" w:leader="none"/>
              </w:tabs>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3.1</w:t>
            </w:r>
            <w:r/>
          </w:p>
        </w:tc>
        <w:tc>
          <w:tcPr>
            <w:shd w:val="clear" w:color="auto" w:fill="auto"/>
            <w:tcW w:w="14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技术参数响应</w:t>
            </w:r>
            <w:r/>
          </w:p>
        </w:tc>
        <w:tc>
          <w:tcPr>
            <w:shd w:val="clear" w:color="auto" w:fill="auto"/>
            <w:tcW w:w="732" w:type="dxa"/>
            <w:vAlign w:val="center"/>
            <w:textDirection w:val="lrTb"/>
            <w:noWrap w:val="false"/>
          </w:tcPr>
          <w:p>
            <w:pPr>
              <w:ind w:firstLine="28"/>
              <w:jc w:val="center"/>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highlight w:val="none"/>
              </w:rPr>
              <w:t xml:space="preserve">20</w:t>
            </w:r>
            <w:r/>
          </w:p>
        </w:tc>
        <w:tc>
          <w:tcPr>
            <w:shd w:val="clear" w:color="auto" w:fill="auto"/>
            <w:tcW w:w="4512"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根据供应商采购需求偏离表中对本采购文件中产品技术指标（参数）的响应程度打分，所投产品全部满足采购文件技术参数要求得20分。</w:t>
            </w:r>
            <w:r>
              <w:rPr>
                <w:rStyle w:val="1301"/>
                <w:rFonts w:hint="eastAsia" w:cs="宋体"/>
                <w:color w:val="auto"/>
                <w:highlight w:val="none"/>
              </w:rPr>
              <w:br/>
            </w:r>
            <w:r>
              <w:rPr>
                <w:rStyle w:val="1301"/>
                <w:rFonts w:hint="eastAsia" w:cs="宋体"/>
                <w:color w:val="auto"/>
                <w:highlight w:val="none"/>
              </w:rPr>
              <w:t xml:space="preserve">本采购文件中2</w:t>
            </w:r>
            <w:r>
              <w:rPr>
                <w:rStyle w:val="1301"/>
                <w:rFonts w:cs="宋体"/>
                <w:color w:val="auto"/>
                <w:highlight w:val="none"/>
              </w:rPr>
              <w:t xml:space="preserve">0</w:t>
            </w:r>
            <w:r>
              <w:rPr>
                <w:rStyle w:val="1301"/>
                <w:rFonts w:hint="eastAsia" w:cs="宋体"/>
                <w:color w:val="auto"/>
                <w:highlight w:val="none"/>
              </w:rPr>
              <w:t xml:space="preserve">个“▲号”指标，每出现一项负偏离扣</w:t>
            </w:r>
            <w:r>
              <w:rPr>
                <w:rStyle w:val="1301"/>
                <w:rFonts w:cs="宋体"/>
                <w:color w:val="auto"/>
                <w:highlight w:val="none"/>
              </w:rPr>
              <w:t xml:space="preserve">1</w:t>
            </w:r>
            <w:r>
              <w:rPr>
                <w:rStyle w:val="1301"/>
                <w:rFonts w:hint="eastAsia" w:cs="宋体"/>
                <w:color w:val="auto"/>
                <w:highlight w:val="none"/>
              </w:rPr>
              <w:t xml:space="preserve">分，扣完为止。</w:t>
            </w:r>
            <w:r/>
          </w:p>
        </w:tc>
        <w:tc>
          <w:tcPr>
            <w:shd w:val="clear" w:color="auto" w:fill="auto"/>
            <w:tcW w:w="2031" w:type="dxa"/>
            <w:vAlign w:val="center"/>
            <w:textDirection w:val="lrTb"/>
            <w:noWrap w:val="false"/>
          </w:tcPr>
          <w:p>
            <w:pPr>
              <w:jc w:val="left"/>
              <w:rPr>
                <w:rStyle w:val="1301"/>
                <w:rFonts w:hint="eastAsia" w:ascii="宋体" w:hAnsi="宋体" w:eastAsia="宋体" w:cs="宋体"/>
                <w:color w:val="auto"/>
                <w:sz w:val="24"/>
                <w:szCs w:val="24"/>
                <w:highlight w:val="none"/>
                <w:lang w:val="en-US" w:eastAsia="zh-CN"/>
              </w:rPr>
            </w:pPr>
            <w:r>
              <w:rPr>
                <w:rStyle w:val="1301"/>
                <w:rFonts w:hint="eastAsia" w:cs="宋体"/>
                <w:color w:val="auto"/>
                <w:highlight w:val="none"/>
              </w:rPr>
              <w:t xml:space="preserve">技术要求中带▲的项目，响应文件内提供相关证明材料并加盖供应商公章；不提供证明材料或证明材料不符合要求均不得分。</w:t>
            </w:r>
            <w:r/>
          </w:p>
        </w:tc>
      </w:tr>
      <w:tr>
        <w:trPr>
          <w:jc w:val="center"/>
          <w:trHeight w:val="567"/>
        </w:trPr>
        <w:tc>
          <w:tcPr>
            <w:shd w:val="clear" w:color="auto" w:fill="auto"/>
            <w:tcW w:w="817" w:type="dxa"/>
            <w:vAlign w:val="center"/>
            <w:textDirection w:val="lrTb"/>
            <w:noWrap w:val="false"/>
          </w:tcPr>
          <w:p>
            <w:pPr>
              <w:jc w:val="center"/>
              <w:spacing w:line="360" w:lineRule="auto"/>
              <w:widowControl/>
              <w:tabs>
                <w:tab w:val="left" w:pos="12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3.2</w:t>
            </w:r>
            <w:r/>
          </w:p>
        </w:tc>
        <w:tc>
          <w:tcPr>
            <w:shd w:val="clear" w:color="auto" w:fill="auto"/>
            <w:tcW w:w="14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平台演示</w:t>
            </w:r>
            <w:r/>
          </w:p>
        </w:tc>
        <w:tc>
          <w:tcPr>
            <w:shd w:val="clear" w:color="auto" w:fill="auto"/>
            <w:tcW w:w="732" w:type="dxa"/>
            <w:vAlign w:val="center"/>
            <w:textDirection w:val="lrTb"/>
            <w:noWrap w:val="false"/>
          </w:tcPr>
          <w:p>
            <w:pPr>
              <w:ind w:firstLine="28"/>
              <w:jc w:val="cente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highlight w:val="none"/>
              </w:rPr>
              <w:t xml:space="preserve">15</w:t>
            </w:r>
            <w:r/>
          </w:p>
        </w:tc>
        <w:tc>
          <w:tcPr>
            <w:shd w:val="clear" w:color="auto" w:fill="auto"/>
            <w:tcW w:w="4512"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采购文件中带“◆”号的为关键响应指标项，共5项，须提供功能演示视频证明满足相关功能每条提供真实系统功能演示视频，完全满足要求的，得3分；提供真实系统功能演示视频，不能完全满足要求或其他证明形式的，不得分。本项最高15分。</w:t>
            </w:r>
            <w:r/>
          </w:p>
        </w:tc>
        <w:tc>
          <w:tcPr>
            <w:shd w:val="clear" w:color="auto" w:fill="auto"/>
            <w:tcW w:w="2031" w:type="dxa"/>
            <w:vAlign w:val="center"/>
            <w:textDirection w:val="lrTb"/>
            <w:noWrap w:val="false"/>
          </w:tcPr>
          <w:p>
            <w:pPr>
              <w:jc w:val="left"/>
              <w:rPr>
                <w:rStyle w:val="1301"/>
                <w:rFonts w:cs="宋体"/>
                <w:color w:val="auto"/>
                <w:highlight w:val="none"/>
              </w:rPr>
            </w:pPr>
            <w:r>
              <w:rPr>
                <w:rStyle w:val="1301"/>
                <w:rFonts w:hint="eastAsia" w:cs="宋体"/>
                <w:color w:val="auto"/>
                <w:highlight w:val="none"/>
              </w:rPr>
              <w:t xml:space="preserve">未提供视频文件或因供应商自身原因视频文件无法打开或视频画面不清晰无法辨认的或素材或提供的视频内容与演示要求不符的演示项目不得分。</w:t>
            </w:r>
            <w:r/>
          </w:p>
          <w:p>
            <w:pPr>
              <w:jc w:val="left"/>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本项目为不见面开标，无需人员现场演示，供应商或所投产品研发企业需按照</w:t>
            </w:r>
            <w:r>
              <w:rPr>
                <w:rFonts w:hint="eastAsia" w:ascii="宋体" w:hAnsi="宋体" w:cs="宋体"/>
                <w:color w:val="auto"/>
                <w:sz w:val="24"/>
                <w:highlight w:val="none"/>
              </w:rPr>
              <w:t xml:space="preserve">采购</w:t>
            </w:r>
            <w:r>
              <w:rPr>
                <w:rStyle w:val="1301"/>
                <w:rFonts w:hint="eastAsia" w:cs="宋体"/>
                <w:color w:val="auto"/>
                <w:highlight w:val="none"/>
              </w:rPr>
              <w:t xml:space="preserve">文件规定的演示内容制作演示视频文件，视频文件的格式为*.mp4或*.avi，供应商须将视频文件分段压缩为*.zip文件上传（单个文件不得大于50M，所有文件总共不得大于300M）。演示时间：视频时长总计应控制在15分钟内。</w:t>
            </w:r>
            <w:r/>
          </w:p>
        </w:tc>
      </w:tr>
      <w:tr>
        <w:trPr>
          <w:jc w:val="center"/>
          <w:trHeight w:val="567"/>
        </w:trPr>
        <w:tc>
          <w:tcPr>
            <w:shd w:val="clear" w:color="auto" w:fill="auto"/>
            <w:tcW w:w="817" w:type="dxa"/>
            <w:vAlign w:val="center"/>
            <w:textDirection w:val="lrTb"/>
            <w:noWrap w:val="false"/>
          </w:tcPr>
          <w:p>
            <w:pPr>
              <w:jc w:val="center"/>
              <w:spacing w:line="360" w:lineRule="auto"/>
              <w:widowControl/>
              <w:tabs>
                <w:tab w:val="left" w:pos="12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3.3</w:t>
            </w:r>
            <w:r/>
          </w:p>
        </w:tc>
        <w:tc>
          <w:tcPr>
            <w:shd w:val="clear" w:color="auto" w:fill="auto"/>
            <w:tcW w:w="14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类似项目业绩</w:t>
            </w:r>
            <w:r/>
          </w:p>
        </w:tc>
        <w:tc>
          <w:tcPr>
            <w:shd w:val="clear" w:color="auto" w:fill="auto"/>
            <w:tcW w:w="732" w:type="dxa"/>
            <w:vAlign w:val="center"/>
            <w:textDirection w:val="lrTb"/>
            <w:noWrap w:val="false"/>
          </w:tcPr>
          <w:p>
            <w:pPr>
              <w:ind w:firstLine="28"/>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3</w:t>
            </w:r>
            <w:r/>
          </w:p>
        </w:tc>
        <w:tc>
          <w:tcPr>
            <w:shd w:val="clear" w:color="auto" w:fill="auto"/>
            <w:tcW w:w="4512"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供应商自2023年1月1日以来承接过类似的智慧校园智能化项目业绩的，有一个得1分，最高得3分。</w:t>
            </w:r>
            <w:r/>
          </w:p>
        </w:tc>
        <w:tc>
          <w:tcPr>
            <w:shd w:val="clear" w:color="auto" w:fill="auto"/>
            <w:tcW w:w="2031" w:type="dxa"/>
            <w:vAlign w:val="center"/>
            <w:textDirection w:val="lrTb"/>
            <w:noWrap w:val="false"/>
          </w:tcPr>
          <w:p>
            <w:pPr>
              <w:jc w:val="left"/>
              <w:rPr>
                <w:rStyle w:val="1301"/>
                <w:rFonts w:hint="eastAsia" w:ascii="宋体" w:hAnsi="宋体" w:eastAsia="宋体" w:cs="宋体"/>
                <w:color w:val="auto"/>
                <w:sz w:val="24"/>
                <w:szCs w:val="24"/>
                <w:highlight w:val="none"/>
                <w:lang w:val="en-US" w:eastAsia="zh-CN"/>
              </w:rPr>
            </w:pPr>
            <w:r>
              <w:rPr>
                <w:rStyle w:val="1301"/>
                <w:rFonts w:hint="eastAsia" w:cs="宋体"/>
                <w:color w:val="auto"/>
                <w:highlight w:val="none"/>
              </w:rPr>
              <w:t xml:space="preserve">须提供中标（或成交）通知书及合同</w:t>
            </w:r>
            <w:r>
              <w:rPr>
                <w:rStyle w:val="1301"/>
                <w:rFonts w:hint="eastAsia" w:cs="宋体"/>
                <w:color w:val="auto"/>
                <w:highlight w:val="none"/>
                <w:lang w:val="en-US" w:eastAsia="zh-CN"/>
              </w:rPr>
              <w:t xml:space="preserve">扫描</w:t>
            </w:r>
            <w:r>
              <w:rPr>
                <w:rStyle w:val="1301"/>
                <w:rFonts w:hint="eastAsia" w:cs="宋体"/>
                <w:color w:val="auto"/>
                <w:highlight w:val="none"/>
              </w:rPr>
              <w:t xml:space="preserve">件并加盖供应商公章，否则不得分。</w:t>
            </w:r>
            <w:r/>
          </w:p>
        </w:tc>
      </w:tr>
      <w:tr>
        <w:trPr>
          <w:jc w:val="center"/>
          <w:trHeight w:val="567"/>
        </w:trPr>
        <w:tc>
          <w:tcPr>
            <w:shd w:val="clear" w:color="auto" w:fill="auto"/>
            <w:tcW w:w="817" w:type="dxa"/>
            <w:vAlign w:val="center"/>
            <w:textDirection w:val="lrTb"/>
            <w:noWrap w:val="false"/>
          </w:tcPr>
          <w:p>
            <w:pPr>
              <w:jc w:val="center"/>
              <w:spacing w:line="360" w:lineRule="auto"/>
              <w:widowControl/>
              <w:tabs>
                <w:tab w:val="left" w:pos="12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3.4</w:t>
            </w:r>
            <w:r/>
          </w:p>
        </w:tc>
        <w:tc>
          <w:tcPr>
            <w:shd w:val="clear" w:color="auto" w:fill="auto"/>
            <w:tcW w:w="14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企业资质</w:t>
            </w:r>
            <w:r/>
          </w:p>
        </w:tc>
        <w:tc>
          <w:tcPr>
            <w:shd w:val="clear" w:color="auto" w:fill="auto"/>
            <w:tcW w:w="732" w:type="dxa"/>
            <w:vAlign w:val="center"/>
            <w:textDirection w:val="lrTb"/>
            <w:noWrap w:val="false"/>
          </w:tcPr>
          <w:p>
            <w:pPr>
              <w:ind w:firstLine="28"/>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5</w:t>
            </w:r>
            <w:r/>
          </w:p>
        </w:tc>
        <w:tc>
          <w:tcPr>
            <w:shd w:val="clear" w:color="auto" w:fill="auto"/>
            <w:tcW w:w="4512" w:type="dxa"/>
            <w:vAlign w:val="center"/>
            <w:textDirection w:val="lrTb"/>
            <w:noWrap w:val="false"/>
          </w:tcPr>
          <w:p>
            <w:pPr>
              <w:jc w:val="left"/>
              <w:rPr>
                <w:rStyle w:val="1301"/>
                <w:rFonts w:cs="宋体"/>
                <w:color w:val="auto"/>
                <w:highlight w:val="none"/>
              </w:rPr>
            </w:pPr>
            <w:r>
              <w:rPr>
                <w:rStyle w:val="1301"/>
                <w:rFonts w:hint="eastAsia" w:cs="宋体"/>
                <w:color w:val="auto"/>
                <w:highlight w:val="none"/>
              </w:rPr>
              <w:t xml:space="preserve">供应商须提供有效期内的以下资质证书：</w:t>
            </w:r>
            <w:r/>
          </w:p>
          <w:p>
            <w:pPr>
              <w:jc w:val="left"/>
              <w:rPr>
                <w:rStyle w:val="1301"/>
                <w:rFonts w:cs="宋体"/>
                <w:color w:val="auto"/>
                <w:highlight w:val="none"/>
              </w:rPr>
            </w:pPr>
            <w:r>
              <w:rPr>
                <w:rStyle w:val="1301"/>
                <w:rFonts w:hint="eastAsia" w:cs="宋体"/>
                <w:color w:val="auto"/>
                <w:highlight w:val="none"/>
              </w:rPr>
              <w:t xml:space="preserve">1.ISO20000信息技术服务管理体系认证证书，得1分；</w:t>
            </w:r>
            <w:r/>
          </w:p>
          <w:p>
            <w:pPr>
              <w:jc w:val="left"/>
              <w:rPr>
                <w:rStyle w:val="1301"/>
                <w:rFonts w:cs="宋体"/>
                <w:color w:val="auto"/>
                <w:highlight w:val="none"/>
              </w:rPr>
            </w:pPr>
            <w:r>
              <w:rPr>
                <w:rStyle w:val="1301"/>
                <w:rFonts w:hint="eastAsia" w:cs="宋体"/>
                <w:color w:val="auto"/>
                <w:highlight w:val="none"/>
              </w:rPr>
              <w:t xml:space="preserve">2.ISO27001信息安全管理体系认证证书，得1分；</w:t>
            </w:r>
            <w:r/>
          </w:p>
          <w:p>
            <w:pPr>
              <w:jc w:val="left"/>
              <w:rPr>
                <w:rStyle w:val="1301"/>
                <w:rFonts w:cs="宋体"/>
                <w:color w:val="auto"/>
                <w:highlight w:val="none"/>
              </w:rPr>
            </w:pPr>
            <w:r>
              <w:rPr>
                <w:rStyle w:val="1301"/>
                <w:rFonts w:hint="eastAsia" w:cs="宋体"/>
                <w:color w:val="auto"/>
                <w:highlight w:val="none"/>
              </w:rPr>
              <w:t xml:space="preserve">3.ISO27040数据存储安全管理体系认证证书，得1分；</w:t>
            </w:r>
            <w:r/>
          </w:p>
          <w:p>
            <w:pPr>
              <w:jc w:val="left"/>
              <w:rPr>
                <w:rStyle w:val="1301"/>
                <w:rFonts w:cs="宋体"/>
                <w:color w:val="auto"/>
                <w:highlight w:val="none"/>
              </w:rPr>
            </w:pPr>
            <w:r>
              <w:rPr>
                <w:rStyle w:val="1301"/>
                <w:rFonts w:hint="eastAsia" w:cs="宋体"/>
                <w:color w:val="auto"/>
                <w:highlight w:val="none"/>
              </w:rPr>
              <w:t xml:space="preserve">4.ISO42001人工智能管理体系认证证书，得1分；</w:t>
            </w:r>
            <w:r/>
          </w:p>
          <w:p>
            <w:pPr>
              <w:jc w:val="left"/>
              <w:rPr>
                <w:rStyle w:val="1301"/>
                <w:rFonts w:cs="宋体"/>
                <w:color w:val="auto"/>
                <w:highlight w:val="none"/>
              </w:rPr>
            </w:pPr>
            <w:r>
              <w:rPr>
                <w:rStyle w:val="1301"/>
                <w:rFonts w:hint="eastAsia" w:cs="宋体"/>
                <w:color w:val="auto"/>
                <w:highlight w:val="none"/>
              </w:rPr>
              <w:t xml:space="preserve">5.信息系统安全集成服务资质认证证书，得1分；</w:t>
            </w:r>
            <w:r/>
          </w:p>
          <w:p>
            <w:pPr>
              <w:pStyle w:val="1047"/>
              <w:rPr>
                <w:rFonts w:hint="default"/>
                <w:color w:val="auto"/>
                <w:highlight w:val="none"/>
                <w:lang w:val="en-US" w:eastAsia="zh-CN"/>
              </w:rPr>
            </w:pPr>
            <w:r>
              <w:rPr>
                <w:rStyle w:val="1301"/>
                <w:rFonts w:hint="eastAsia" w:cs="宋体"/>
                <w:color w:val="auto"/>
                <w:highlight w:val="none"/>
              </w:rPr>
              <w:t xml:space="preserve">本项最高得5分。</w:t>
            </w:r>
            <w:r/>
          </w:p>
        </w:tc>
        <w:tc>
          <w:tcPr>
            <w:shd w:val="clear" w:color="auto" w:fill="auto"/>
            <w:tcW w:w="2031" w:type="dxa"/>
            <w:vAlign w:val="center"/>
            <w:textDirection w:val="lrTb"/>
            <w:noWrap w:val="false"/>
          </w:tcPr>
          <w:p>
            <w:pPr>
              <w:jc w:val="left"/>
              <w:rPr>
                <w:rStyle w:val="1301"/>
                <w:rFonts w:hint="eastAsia" w:ascii="宋体" w:hAnsi="宋体" w:eastAsia="宋体" w:cs="宋体"/>
                <w:color w:val="auto"/>
                <w:sz w:val="24"/>
                <w:szCs w:val="24"/>
                <w:highlight w:val="none"/>
                <w:lang w:val="en-US" w:eastAsia="zh-CN"/>
              </w:rPr>
            </w:pPr>
            <w:r>
              <w:rPr>
                <w:rStyle w:val="1301"/>
                <w:rFonts w:hint="eastAsia" w:cs="宋体"/>
                <w:color w:val="auto"/>
                <w:highlight w:val="none"/>
              </w:rPr>
              <w:t xml:space="preserve">提供有效证书扫描件并加盖供应商公章，未提供不得分。</w:t>
            </w:r>
            <w:r/>
          </w:p>
        </w:tc>
      </w:tr>
      <w:tr>
        <w:trPr>
          <w:jc w:val="center"/>
          <w:trHeight w:val="567"/>
        </w:trPr>
        <w:tc>
          <w:tcPr>
            <w:shd w:val="clear" w:color="auto" w:fill="auto"/>
            <w:tcW w:w="817" w:type="dxa"/>
            <w:vAlign w:val="center"/>
            <w:textDirection w:val="lrTb"/>
            <w:noWrap w:val="false"/>
          </w:tcPr>
          <w:p>
            <w:pPr>
              <w:jc w:val="center"/>
              <w:spacing w:line="360" w:lineRule="auto"/>
              <w:widowControl/>
              <w:tabs>
                <w:tab w:val="left" w:pos="12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3.5</w:t>
            </w:r>
            <w:r/>
          </w:p>
        </w:tc>
        <w:tc>
          <w:tcPr>
            <w:shd w:val="clear" w:color="auto" w:fill="auto"/>
            <w:tcW w:w="14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项目经理</w:t>
            </w:r>
            <w:r/>
          </w:p>
        </w:tc>
        <w:tc>
          <w:tcPr>
            <w:shd w:val="clear" w:color="auto" w:fill="auto"/>
            <w:tcW w:w="732" w:type="dxa"/>
            <w:vAlign w:val="center"/>
            <w:textDirection w:val="lrTb"/>
            <w:noWrap w:val="false"/>
          </w:tcPr>
          <w:p>
            <w:pPr>
              <w:ind w:firstLine="28"/>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2</w:t>
            </w:r>
            <w:r/>
          </w:p>
        </w:tc>
        <w:tc>
          <w:tcPr>
            <w:shd w:val="clear" w:color="auto" w:fill="auto"/>
            <w:tcW w:w="4512"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Style w:val="1301"/>
                <w:rFonts w:hint="eastAsia" w:cs="宋体"/>
                <w:color w:val="auto"/>
                <w:sz w:val="24"/>
                <w:szCs w:val="24"/>
                <w:highlight w:val="none"/>
              </w:rPr>
              <w:t xml:space="preserve">供应商须配备项目经理1名，具有二级</w:t>
            </w:r>
            <w:r>
              <w:rPr>
                <w:rFonts w:hint="eastAsia"/>
                <w:color w:val="auto"/>
                <w:sz w:val="24"/>
                <w:szCs w:val="24"/>
                <w:highlight w:val="none"/>
              </w:rPr>
              <w:t xml:space="preserve">及以上</w:t>
            </w:r>
            <w:r>
              <w:rPr>
                <w:rStyle w:val="1301"/>
                <w:rFonts w:hint="eastAsia" w:cs="宋体"/>
                <w:color w:val="auto"/>
                <w:sz w:val="24"/>
                <w:szCs w:val="24"/>
                <w:highlight w:val="none"/>
              </w:rPr>
              <w:t xml:space="preserve">注册建造师(机电工程)、信息系统项目管理师、系统集成项目管理师、网络信息安全管理员高级</w:t>
            </w:r>
            <w:r>
              <w:rPr>
                <w:rStyle w:val="1301"/>
                <w:rFonts w:hint="eastAsia" w:cs="宋体"/>
                <w:color w:val="auto"/>
                <w:sz w:val="24"/>
                <w:szCs w:val="24"/>
                <w:highlight w:val="none"/>
                <w:lang w:val="en-US" w:eastAsia="zh-CN"/>
              </w:rPr>
              <w:t xml:space="preserve">及以上</w:t>
            </w:r>
            <w:r>
              <w:rPr>
                <w:rStyle w:val="1301"/>
                <w:rFonts w:hint="eastAsia" w:cs="宋体"/>
                <w:color w:val="auto"/>
                <w:sz w:val="24"/>
                <w:szCs w:val="24"/>
                <w:highlight w:val="none"/>
              </w:rPr>
              <w:t xml:space="preserve">证书的，有1项得0.5分，本项最高得2分。</w:t>
            </w:r>
            <w:r/>
          </w:p>
        </w:tc>
        <w:tc>
          <w:tcPr>
            <w:shd w:val="clear" w:color="auto" w:fill="auto"/>
            <w:tcW w:w="2031" w:type="dxa"/>
            <w:vAlign w:val="center"/>
            <w:textDirection w:val="lrTb"/>
            <w:noWrap w:val="false"/>
          </w:tcPr>
          <w:p>
            <w:pPr>
              <w:jc w:val="left"/>
              <w:rPr>
                <w:rStyle w:val="1301"/>
                <w:rFonts w:hint="eastAsia" w:ascii="宋体" w:hAnsi="宋体" w:eastAsia="宋体" w:cs="宋体"/>
                <w:color w:val="auto"/>
                <w:sz w:val="24"/>
                <w:szCs w:val="24"/>
                <w:highlight w:val="none"/>
                <w:lang w:val="en-US" w:eastAsia="zh-CN"/>
              </w:rPr>
            </w:pPr>
            <w:r>
              <w:rPr>
                <w:rStyle w:val="1301"/>
                <w:rFonts w:hint="eastAsia" w:cs="宋体"/>
                <w:color w:val="auto"/>
                <w:highlight w:val="none"/>
              </w:rPr>
              <w:t xml:space="preserve">须为投标单位正式员工，提供供应商为其缴纳的近三个月中任意一个月的社保证明和相应证书扫描件，以上证明材料均需加盖供应商公章，未提供不得分。</w:t>
            </w:r>
            <w:r/>
          </w:p>
        </w:tc>
      </w:tr>
      <w:tr>
        <w:trPr>
          <w:jc w:val="center"/>
          <w:trHeight w:val="567"/>
        </w:trPr>
        <w:tc>
          <w:tcPr>
            <w:shd w:val="clear" w:color="auto" w:fill="auto"/>
            <w:tcW w:w="817" w:type="dxa"/>
            <w:vAlign w:val="center"/>
            <w:textDirection w:val="lrTb"/>
            <w:noWrap w:val="false"/>
          </w:tcPr>
          <w:p>
            <w:pPr>
              <w:jc w:val="center"/>
              <w:spacing w:line="360" w:lineRule="auto"/>
              <w:widowControl/>
              <w:tabs>
                <w:tab w:val="left" w:pos="12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3.6</w:t>
            </w:r>
            <w:r/>
          </w:p>
        </w:tc>
        <w:tc>
          <w:tcPr>
            <w:shd w:val="clear" w:color="auto" w:fill="auto"/>
            <w:tcW w:w="14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技术团队</w:t>
            </w:r>
            <w:r/>
          </w:p>
        </w:tc>
        <w:tc>
          <w:tcPr>
            <w:shd w:val="clear" w:color="auto" w:fill="auto"/>
            <w:tcW w:w="732" w:type="dxa"/>
            <w:vAlign w:val="center"/>
            <w:textDirection w:val="lrTb"/>
            <w:noWrap w:val="false"/>
          </w:tcPr>
          <w:p>
            <w:pPr>
              <w:ind w:firstLine="28"/>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2</w:t>
            </w:r>
            <w:r/>
          </w:p>
        </w:tc>
        <w:tc>
          <w:tcPr>
            <w:shd w:val="clear" w:color="auto" w:fill="auto"/>
            <w:tcW w:w="4512"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供应商须配备技术团队，人员具有信息系统项目管理师、系统架构设计师、系统分析师、信息安全保障人员CISAW证书的，有1项</w:t>
            </w:r>
            <w:r>
              <w:rPr>
                <w:rStyle w:val="1301"/>
                <w:rFonts w:hint="eastAsia" w:cs="宋体"/>
                <w:color w:val="auto"/>
                <w:highlight w:val="none"/>
                <w:lang w:val="en-US" w:eastAsia="zh-CN"/>
              </w:rPr>
              <w:t xml:space="preserve">证书</w:t>
            </w:r>
            <w:r>
              <w:rPr>
                <w:rStyle w:val="1301"/>
                <w:rFonts w:hint="eastAsia" w:cs="宋体"/>
                <w:color w:val="auto"/>
                <w:highlight w:val="none"/>
              </w:rPr>
              <w:t xml:space="preserve">得0.5分，本项最高得2分。</w:t>
            </w:r>
            <w:r/>
          </w:p>
        </w:tc>
        <w:tc>
          <w:tcPr>
            <w:shd w:val="clear" w:color="auto" w:fill="auto"/>
            <w:tcW w:w="2031" w:type="dxa"/>
            <w:vAlign w:val="center"/>
            <w:textDirection w:val="lrTb"/>
            <w:noWrap w:val="false"/>
          </w:tcPr>
          <w:p>
            <w:pPr>
              <w:jc w:val="left"/>
              <w:rPr>
                <w:rStyle w:val="1301"/>
                <w:rFonts w:hint="eastAsia" w:ascii="宋体" w:hAnsi="宋体" w:eastAsia="宋体" w:cs="宋体"/>
                <w:color w:val="auto"/>
                <w:sz w:val="24"/>
                <w:szCs w:val="24"/>
                <w:highlight w:val="none"/>
                <w:lang w:val="en-US" w:eastAsia="zh-CN"/>
              </w:rPr>
            </w:pPr>
            <w:r>
              <w:rPr>
                <w:rStyle w:val="1301"/>
                <w:rFonts w:hint="eastAsia" w:cs="宋体"/>
                <w:color w:val="auto"/>
                <w:highlight w:val="none"/>
              </w:rPr>
              <w:t xml:space="preserve">须为投标单位正式员工，提供供应商为其缴纳的近三个月中任意一个月的社保证明和相应证书扫描件，以上证明材料均需加盖供应商公章，未提供不得分。</w:t>
            </w:r>
            <w:r/>
          </w:p>
        </w:tc>
      </w:tr>
      <w:tr>
        <w:trPr>
          <w:jc w:val="center"/>
          <w:trHeight w:val="567"/>
        </w:trPr>
        <w:tc>
          <w:tcPr>
            <w:shd w:val="clear" w:color="auto" w:fill="auto"/>
            <w:tcW w:w="817" w:type="dxa"/>
            <w:vAlign w:val="center"/>
            <w:textDirection w:val="lrTb"/>
            <w:noWrap w:val="false"/>
          </w:tcPr>
          <w:p>
            <w:pPr>
              <w:jc w:val="center"/>
              <w:spacing w:line="360" w:lineRule="auto"/>
              <w:widowControl/>
              <w:tabs>
                <w:tab w:val="left" w:pos="12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3.7</w:t>
            </w:r>
            <w:r/>
          </w:p>
        </w:tc>
        <w:tc>
          <w:tcPr>
            <w:shd w:val="clear" w:color="auto" w:fill="auto"/>
            <w:tcW w:w="14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售后团队</w:t>
            </w:r>
            <w:r/>
          </w:p>
        </w:tc>
        <w:tc>
          <w:tcPr>
            <w:shd w:val="clear" w:color="auto" w:fill="auto"/>
            <w:tcW w:w="732" w:type="dxa"/>
            <w:vAlign w:val="center"/>
            <w:textDirection w:val="lrTb"/>
            <w:noWrap w:val="false"/>
          </w:tcPr>
          <w:p>
            <w:pPr>
              <w:ind w:firstLine="28"/>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2</w:t>
            </w:r>
            <w:r/>
          </w:p>
        </w:tc>
        <w:tc>
          <w:tcPr>
            <w:shd w:val="clear" w:color="auto" w:fill="auto"/>
            <w:tcW w:w="4512"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Style w:val="1301"/>
                <w:rFonts w:hint="eastAsia" w:cs="宋体"/>
                <w:color w:val="auto"/>
                <w:highlight w:val="none"/>
              </w:rPr>
              <w:t xml:space="preserve">供应商须配备售后团队，人员具有特种作业操作证（低压电工）、</w:t>
            </w:r>
            <w:r>
              <w:rPr>
                <w:rStyle w:val="1301"/>
                <w:rFonts w:hint="eastAsia" w:cs="宋体"/>
                <w:color w:val="auto"/>
                <w:highlight w:val="none"/>
                <w:lang w:val="en-US" w:eastAsia="zh-CN"/>
              </w:rPr>
              <w:t xml:space="preserve">CCSC</w:t>
            </w:r>
            <w:r>
              <w:rPr>
                <w:rStyle w:val="1301"/>
                <w:rFonts w:hint="eastAsia" w:cs="宋体"/>
                <w:color w:val="auto"/>
                <w:highlight w:val="none"/>
              </w:rPr>
              <w:t xml:space="preserve">网络安全技术（I级）、安防系统工程师</w:t>
            </w:r>
            <w:r>
              <w:rPr>
                <w:rStyle w:val="1301"/>
                <w:rFonts w:hint="eastAsia" w:cs="宋体"/>
                <w:color w:val="auto"/>
                <w:highlight w:val="none"/>
                <w:lang w:val="en-US" w:eastAsia="zh-CN"/>
              </w:rPr>
              <w:t xml:space="preserve">中级及以上</w:t>
            </w:r>
            <w:r>
              <w:rPr>
                <w:rStyle w:val="1301"/>
                <w:rFonts w:hint="eastAsia" w:cs="宋体"/>
                <w:color w:val="auto"/>
                <w:highlight w:val="none"/>
              </w:rPr>
              <w:t xml:space="preserve">、售后服务管理师</w:t>
            </w:r>
            <w:r>
              <w:rPr>
                <w:rStyle w:val="1301"/>
                <w:rFonts w:hint="eastAsia" w:cs="宋体"/>
                <w:color w:val="auto"/>
                <w:highlight w:val="none"/>
                <w:lang w:val="en-US" w:eastAsia="zh-CN"/>
              </w:rPr>
              <w:t xml:space="preserve">中级及以上</w:t>
            </w:r>
            <w:r>
              <w:rPr>
                <w:rStyle w:val="1301"/>
                <w:rFonts w:hint="eastAsia" w:cs="宋体"/>
                <w:color w:val="auto"/>
                <w:highlight w:val="none"/>
              </w:rPr>
              <w:t xml:space="preserve">证书的，有1项</w:t>
            </w:r>
            <w:r>
              <w:rPr>
                <w:rStyle w:val="1301"/>
                <w:rFonts w:hint="eastAsia" w:cs="宋体"/>
                <w:color w:val="auto"/>
                <w:highlight w:val="none"/>
                <w:lang w:val="en-US" w:eastAsia="zh-CN"/>
              </w:rPr>
              <w:t xml:space="preserve">证书</w:t>
            </w:r>
            <w:r>
              <w:rPr>
                <w:rStyle w:val="1301"/>
                <w:rFonts w:hint="eastAsia" w:cs="宋体"/>
                <w:color w:val="auto"/>
                <w:highlight w:val="none"/>
              </w:rPr>
              <w:t xml:space="preserve">得0.5分，本项最高得2分。</w:t>
            </w:r>
            <w:r/>
          </w:p>
        </w:tc>
        <w:tc>
          <w:tcPr>
            <w:shd w:val="clear" w:color="auto" w:fill="auto"/>
            <w:tcW w:w="2031" w:type="dxa"/>
            <w:vAlign w:val="center"/>
            <w:textDirection w:val="lrTb"/>
            <w:noWrap w:val="false"/>
          </w:tcPr>
          <w:p>
            <w:pPr>
              <w:jc w:val="left"/>
              <w:rPr>
                <w:rStyle w:val="1301"/>
                <w:rFonts w:hint="eastAsia" w:ascii="宋体" w:hAnsi="宋体" w:eastAsia="宋体" w:cs="宋体"/>
                <w:color w:val="auto"/>
                <w:sz w:val="24"/>
                <w:szCs w:val="24"/>
                <w:highlight w:val="none"/>
                <w:lang w:val="en-US" w:eastAsia="zh-CN"/>
              </w:rPr>
            </w:pPr>
            <w:r>
              <w:rPr>
                <w:rStyle w:val="1301"/>
                <w:rFonts w:hint="eastAsia" w:cs="宋体"/>
                <w:color w:val="auto"/>
                <w:highlight w:val="none"/>
              </w:rPr>
              <w:t xml:space="preserve">须为投标单位正式员工，提供供应商为其缴纳的近三个月中任意一个月的社保证明和相应证书扫描件，以上证明材料均需加盖供应商公章，未提供不得分。</w:t>
            </w:r>
            <w:r/>
          </w:p>
        </w:tc>
      </w:tr>
      <w:tr>
        <w:trPr>
          <w:jc w:val="center"/>
          <w:trHeight w:val="567"/>
        </w:trPr>
        <w:tc>
          <w:tcPr>
            <w:gridSpan w:val="2"/>
            <w:tcW w:w="2235"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合计</w:t>
            </w:r>
            <w:r/>
          </w:p>
        </w:tc>
        <w:tc>
          <w:tcPr>
            <w:tcW w:w="732"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100</w:t>
            </w:r>
            <w:r/>
          </w:p>
        </w:tc>
        <w:tc>
          <w:tcPr>
            <w:gridSpan w:val="2"/>
            <w:tcW w:w="654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312" w:lineRule="auto"/>
        <w:tabs>
          <w:tab w:val="left" w:pos="5940" w:leader="none"/>
        </w:tabs>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注：1、评分细则中要求提供的证明文件及资料等在投标文件中提供扫描件，过时不予接收。</w:t>
      </w:r>
      <w:r/>
    </w:p>
    <w:p>
      <w:pPr>
        <w:ind w:firstLine="480"/>
        <w:jc w:val="left"/>
        <w:spacing w:line="312" w:lineRule="auto"/>
        <w:tabs>
          <w:tab w:val="left" w:pos="5940" w:leader="none"/>
        </w:tabs>
        <w:rPr>
          <w:rFonts w:ascii="宋体" w:hAnsi="宋体" w:cs="宋体"/>
          <w:bCs/>
          <w:color w:val="auto"/>
          <w:sz w:val="24"/>
          <w:highlight w:val="none"/>
        </w:rPr>
      </w:pPr>
      <w:r>
        <w:rPr>
          <w:rFonts w:hint="eastAsia" w:ascii="宋体" w:hAnsi="宋体" w:cs="宋体"/>
          <w:bCs/>
          <w:color w:val="auto"/>
          <w:sz w:val="24"/>
          <w:highlight w:val="none"/>
        </w:rPr>
        <w:t xml:space="preserve">2、评标时，未能按以上要求提供相应证明的，不作为评标依据，不得分。</w:t>
      </w:r>
      <w:r/>
    </w:p>
    <w:p>
      <w:pPr>
        <w:ind w:firstLine="480"/>
        <w:jc w:val="left"/>
        <w:spacing w:line="312" w:lineRule="auto"/>
        <w:tabs>
          <w:tab w:val="left" w:pos="5940" w:leader="none"/>
        </w:tabs>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auto"/>
        <w:rPr>
          <w:b/>
          <w:bCs/>
          <w:color w:val="auto"/>
          <w:sz w:val="36"/>
          <w:szCs w:val="36"/>
          <w:highlight w:val="none"/>
        </w:rPr>
        <w:outlineLvl w:val="0"/>
      </w:pPr>
      <w:r>
        <w:rPr>
          <w:b/>
          <w:color w:val="auto"/>
          <w:sz w:val="36"/>
          <w:szCs w:val="36"/>
          <w:highlight w:val="none"/>
        </w:rPr>
        <w:br w:type="page" w:clear="all"/>
      </w:r>
      <w:bookmarkStart w:id="635" w:name="_Toc193985581"/>
      <w:r>
        <w:rPr>
          <w:b/>
          <w:color w:val="auto"/>
          <w:sz w:val="36"/>
          <w:szCs w:val="36"/>
          <w:highlight w:val="none"/>
        </w:rPr>
        <w:t xml:space="preserve">第四章   采购需求</w:t>
      </w:r>
      <w:bookmarkEnd w:id="635"/>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bookmarkStart w:id="636" w:name="_Toc193985582"/>
      <w:r>
        <w:rPr>
          <w:rFonts w:hint="eastAsia" w:ascii="宋体" w:hAnsi="宋体"/>
          <w:b/>
          <w:bCs/>
          <w:color w:val="auto"/>
          <w:sz w:val="24"/>
          <w:highlight w:val="none"/>
        </w:rPr>
        <w:t xml:space="preserve">一、</w:t>
      </w:r>
      <w:r>
        <w:rPr>
          <w:rFonts w:hint="eastAsia" w:ascii="宋体" w:hAnsi="宋体" w:cs="宋体"/>
          <w:b/>
          <w:color w:val="auto"/>
          <w:sz w:val="24"/>
          <w:highlight w:val="none"/>
        </w:rPr>
        <w:t xml:space="preserve">采购标的</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1.项目名称：</w:t>
      </w:r>
      <w:r>
        <w:rPr>
          <w:rFonts w:hint="eastAsia" w:ascii="宋体" w:hAnsi="宋体"/>
          <w:color w:val="auto"/>
          <w:sz w:val="24"/>
          <w:highlight w:val="none"/>
        </w:rPr>
        <w:t xml:space="preserve">江苏省常州技师学院消防控制中心及监控网络改造提升服务项目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2.预算金额：</w:t>
      </w: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lang w:val="en-US" w:eastAsia="zh-CN"/>
        </w:rPr>
        <w:t xml:space="preserve">83</w:t>
      </w:r>
      <w:r>
        <w:rPr>
          <w:rFonts w:hint="eastAsia" w:ascii="宋体" w:hAnsi="宋体" w:cs="宋体"/>
          <w:color w:val="auto"/>
          <w:sz w:val="24"/>
          <w:highlight w:val="none"/>
        </w:rPr>
        <w:t xml:space="preserve">万元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3.最高限价：1</w:t>
      </w:r>
      <w:r>
        <w:rPr>
          <w:rFonts w:ascii="宋体" w:hAnsi="宋体" w:cs="宋体"/>
          <w:color w:val="auto"/>
          <w:sz w:val="24"/>
          <w:highlight w:val="none"/>
        </w:rPr>
        <w:t xml:space="preserve">78</w:t>
      </w: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万元</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4.采购需求（简介）：</w:t>
      </w:r>
      <w:r>
        <w:rPr>
          <w:rFonts w:hint="eastAsia" w:asciiTheme="minorEastAsia" w:hAnsiTheme="minorEastAsia" w:eastAsiaTheme="minorEastAsia"/>
          <w:color w:val="auto"/>
          <w:sz w:val="24"/>
          <w:highlight w:val="none"/>
        </w:rPr>
        <w:t xml:space="preserve">本项目是江苏省常州技师学院消防控制中心及监控网络改造提升服务项目。因常州市人事考试工作需要，计划对江苏省常州技师学院考点相关设施进行改造翻新。原消控中心建于2012年，目前消控中心及配套设施已老旧，无法满足日常使用需求，现计划对消控中心显示系统、边缘计算盒子、消防模块、交通模块、治安模块、智能安防平台、消控室装修及教学楼专用局域网、监控系统、统一授时等进行提升服务。</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5.合同履行期限：</w:t>
      </w:r>
      <w:r>
        <w:rPr>
          <w:rFonts w:hint="eastAsia" w:ascii="宋体" w:hAnsi="宋体" w:cs="宋体"/>
          <w:color w:val="auto"/>
          <w:sz w:val="24"/>
          <w:highlight w:val="none"/>
          <w:lang w:eastAsia="zh-CN"/>
        </w:rPr>
        <w:t xml:space="preserve">自合同签订生效之日起50日内完成项目平台部署及相关设备安装调试并通过采购人验收。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6.是/否接受联合体投标：不接受联合体投标。</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7.是/否接受分支机构参与响应：否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8.是/否属于政府购买服务：否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9.是/否接受进口产品投标：否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10.是/否专门面向中小企业预留采购份额：否</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11.本项目的特定资格要求：</w:t>
      </w:r>
      <w:r>
        <w:rPr>
          <w:rFonts w:hint="eastAsia" w:ascii="宋体" w:hAnsi="宋体" w:cs="宋体"/>
          <w:bCs/>
          <w:color w:val="auto"/>
          <w:sz w:val="24"/>
          <w:highlight w:val="none"/>
        </w:rPr>
        <w:t xml:space="preserve">无</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12.项目类别：服务类</w:t>
      </w:r>
      <w:r/>
    </w:p>
    <w:p>
      <w:pPr>
        <w:jc w:val="left"/>
        <w:spacing w:line="360" w:lineRule="auto"/>
        <w:rPr>
          <w:rFonts w:ascii="宋体" w:hAnsi="宋体"/>
          <w:b/>
          <w:color w:val="auto"/>
          <w:sz w:val="24"/>
          <w:highlight w:val="none"/>
        </w:rPr>
      </w:pPr>
      <w:r>
        <w:rPr>
          <w:rFonts w:ascii="宋体" w:hAnsi="宋体"/>
          <w:b/>
          <w:color w:val="auto"/>
          <w:sz w:val="24"/>
          <w:highlight w:val="none"/>
        </w:rPr>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二、商务要求</w:t>
      </w:r>
      <w:r/>
    </w:p>
    <w:p>
      <w:pPr>
        <w:ind w:firstLine="480"/>
        <w:spacing w:line="360" w:lineRule="auto"/>
        <w:rPr>
          <w:rFonts w:ascii="宋体" w:hAnsi="宋体" w:cs="宋体"/>
          <w:b/>
          <w:bCs/>
          <w:i/>
          <w:color w:val="auto"/>
          <w:sz w:val="24"/>
          <w:highlight w:val="none"/>
        </w:rPr>
      </w:pPr>
      <w:r>
        <w:rPr>
          <w:rFonts w:hint="eastAsia" w:ascii="宋体" w:hAnsi="宋体" w:cs="宋体"/>
          <w:b/>
          <w:bCs/>
          <w:color w:val="auto"/>
          <w:sz w:val="24"/>
          <w:highlight w:val="none"/>
        </w:rPr>
        <w:t xml:space="preserve">（一）交付（实施）的时间（期限）和地点（范围）</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1.时间：</w:t>
      </w:r>
      <w:r>
        <w:rPr>
          <w:rFonts w:hint="eastAsia" w:ascii="宋体" w:hAnsi="宋体" w:cs="宋体"/>
          <w:color w:val="auto"/>
          <w:sz w:val="24"/>
          <w:highlight w:val="none"/>
          <w:lang w:eastAsia="zh-CN"/>
        </w:rPr>
        <w:t xml:space="preserve">自合同签订生效之日起50日内完成项目平台部署及相关设备安装调试并通过采购人验收。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2.地点：江苏省常州技师学院消控中心及12、14、15号楼等。</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（二）付款条件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1.合同签订后，满足合同约定支付条件的，自收到发票后30天内支付合同金额的50%；项目结束并验收合格，满足合同约定支付条件的，自收到发票后30天内支付至合同金额的100%。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2.乙方在结算时需提供合规且符合甲方要求的增值税专用发票。</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（三）报价要求</w:t>
      </w:r>
      <w:r/>
    </w:p>
    <w:p>
      <w:pPr>
        <w:ind w:firstLine="480"/>
        <w:spacing w:line="360" w:lineRule="auto"/>
        <w:rPr>
          <w:rFonts w:ascii="宋体" w:hAnsi="宋体" w:cs="宋体"/>
          <w:color w:val="auto"/>
          <w:spacing w:val="2"/>
          <w:sz w:val="24"/>
          <w:highlight w:val="none"/>
        </w:rPr>
      </w:pPr>
      <w:r>
        <w:rPr>
          <w:rFonts w:hint="eastAsia" w:ascii="宋体" w:hAnsi="宋体" w:cs="宋体"/>
          <w:color w:val="auto"/>
          <w:sz w:val="24"/>
          <w:highlight w:val="none"/>
        </w:rPr>
        <w:t xml:space="preserve">本项目为</w:t>
      </w:r>
      <w:r>
        <w:rPr>
          <w:rFonts w:hint="eastAsia" w:ascii="宋体" w:hAnsi="宋体" w:cs="宋体"/>
          <w:b/>
          <w:bCs/>
          <w:color w:val="auto"/>
          <w:sz w:val="24"/>
          <w:highlight w:val="none"/>
        </w:rPr>
        <w:t xml:space="preserve">固定总价</w:t>
      </w:r>
      <w:r>
        <w:rPr>
          <w:rFonts w:hint="eastAsia" w:ascii="宋体" w:hAnsi="宋体" w:cs="宋体"/>
          <w:color w:val="auto"/>
          <w:sz w:val="24"/>
          <w:highlight w:val="none"/>
        </w:rPr>
        <w:t xml:space="preserve">，</w:t>
      </w:r>
      <w:r>
        <w:rPr>
          <w:rFonts w:hint="eastAsia" w:ascii="宋体" w:hAnsi="宋体" w:cs="宋体"/>
          <w:color w:val="auto"/>
          <w:spacing w:val="2"/>
          <w:sz w:val="24"/>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hint="eastAsia" w:ascii="宋体" w:hAnsi="宋体" w:cs="宋体"/>
          <w:b/>
          <w:color w:val="auto"/>
          <w:sz w:val="24"/>
          <w:highlight w:val="none"/>
        </w:rPr>
        <w:t xml:space="preserve">三、技术要求</w:t>
      </w:r>
      <w:r/>
    </w:p>
    <w:p>
      <w:pPr>
        <w:ind w:firstLine="480"/>
        <w:spacing w:line="360" w:lineRule="auto"/>
        <w:rPr>
          <w:color w:val="auto"/>
          <w:highlight w:val="none"/>
        </w:rPr>
      </w:pPr>
      <w:r>
        <w:rPr>
          <w:rFonts w:hint="eastAsia" w:ascii="宋体" w:hAnsi="宋体" w:cs="宋体"/>
          <w:b/>
          <w:bCs/>
          <w:color w:val="auto"/>
          <w:sz w:val="24"/>
          <w:highlight w:val="none"/>
        </w:rPr>
        <w:t xml:space="preserve">（一）基本要求</w:t>
      </w:r>
      <w:r/>
    </w:p>
    <w:p>
      <w:pPr>
        <w:pStyle w:val="1300"/>
        <w:ind w:firstLine="480"/>
        <w:spacing w:before="0" w:line="360" w:lineRule="auto"/>
        <w:rPr>
          <w:rFonts w:cs="宋体"/>
          <w:b/>
          <w:bCs/>
          <w:color w:val="auto"/>
          <w:highlight w:val="none"/>
        </w:rPr>
      </w:pPr>
      <w:r>
        <w:rPr>
          <w:rFonts w:hint="eastAsia" w:cs="宋体"/>
          <w:b/>
          <w:bCs/>
          <w:color w:val="auto"/>
          <w:highlight w:val="none"/>
        </w:rPr>
        <w:t xml:space="preserve">1.采购标的需实现的功能或者目标</w:t>
      </w:r>
      <w:r/>
    </w:p>
    <w:p>
      <w:pPr>
        <w:pStyle w:val="1300"/>
        <w:ind w:firstLine="480"/>
        <w:spacing w:before="0" w:line="360" w:lineRule="auto"/>
        <w:rPr>
          <w:rFonts w:cs="宋体"/>
          <w:color w:val="auto"/>
          <w:highlight w:val="none"/>
        </w:rPr>
      </w:pPr>
      <w:r>
        <w:rPr>
          <w:rFonts w:hint="eastAsia" w:asciiTheme="minorEastAsia" w:hAnsiTheme="minorEastAsia" w:eastAsiaTheme="minorEastAsia"/>
          <w:color w:val="auto"/>
          <w:highlight w:val="none"/>
        </w:rPr>
        <w:t xml:space="preserve">因常州市人事考试工作需要，计划对江苏省常州技师学院考点相关设施进行改造翻新。</w:t>
      </w:r>
      <w:r>
        <w:rPr>
          <w:rFonts w:hint="eastAsia" w:cs="宋体"/>
          <w:color w:val="auto"/>
          <w:highlight w:val="none"/>
        </w:rPr>
        <w:t xml:space="preserve">原消控中心建于2012年，目前消控中心及配套设施已老旧，无法满足日常使用需求，现计划对消控中心显示系统、边缘计算盒子、消防模块、交通模块、治安模块、智能安防平台、消控室装修及教学楼专用局域网、监控系统、统一授时等进行提升改造。各个模块的功能要求如下：</w:t>
      </w:r>
      <w:r/>
    </w:p>
    <w:p>
      <w:pPr>
        <w:pStyle w:val="1300"/>
        <w:ind w:firstLine="480"/>
        <w:spacing w:before="0" w:line="360" w:lineRule="auto"/>
        <w:rPr>
          <w:rFonts w:cs="宋体"/>
          <w:color w:val="auto"/>
          <w:highlight w:val="none"/>
        </w:rPr>
      </w:pPr>
      <w:r>
        <w:rPr>
          <w:rFonts w:hint="eastAsia" w:cs="宋体"/>
          <w:color w:val="auto"/>
          <w:highlight w:val="none"/>
        </w:rPr>
        <w:t xml:space="preserve">（1）智能安防平台，对消防、交通、治安模块进行集成，集成视频监控、门禁、报警、消防等多个子系统。实现主动预警、智能分析、统一指挥和快速响应，将传统被动安防升级为主动预防的立体化防控体系。</w:t>
      </w:r>
      <w:r/>
    </w:p>
    <w:p>
      <w:pPr>
        <w:pStyle w:val="1300"/>
        <w:ind w:firstLine="480"/>
        <w:spacing w:before="0" w:line="360" w:lineRule="auto"/>
        <w:rPr>
          <w:rFonts w:cs="宋体"/>
          <w:color w:val="auto"/>
          <w:highlight w:val="none"/>
        </w:rPr>
      </w:pPr>
      <w:r>
        <w:rPr>
          <w:rFonts w:hint="eastAsia" w:cs="宋体"/>
          <w:color w:val="auto"/>
          <w:highlight w:val="none"/>
        </w:rPr>
        <w:t xml:space="preserve">（2）消控中心大屏可视化调度配套布设服务，包括55寸可视化显示配套载体*4块、49寸可视化显示配套载体*15块，高清解码器、箱体、支架等配件。</w:t>
      </w:r>
      <w:r/>
    </w:p>
    <w:p>
      <w:pPr>
        <w:pStyle w:val="1300"/>
        <w:ind w:firstLine="480"/>
        <w:spacing w:before="0" w:line="360" w:lineRule="auto"/>
        <w:rPr>
          <w:rFonts w:cs="宋体"/>
          <w:color w:val="auto"/>
          <w:highlight w:val="none"/>
        </w:rPr>
      </w:pPr>
      <w:r>
        <w:rPr>
          <w:rFonts w:hint="eastAsia" w:cs="宋体"/>
          <w:color w:val="auto"/>
          <w:highlight w:val="none"/>
        </w:rPr>
        <w:t xml:space="preserve">（3）算力服务配件，包含边缘计算盒子，具备基本的算力+存储，实现AI+视觉分析判断的功能。</w:t>
      </w:r>
      <w:r/>
    </w:p>
    <w:p>
      <w:pPr>
        <w:pStyle w:val="1300"/>
        <w:ind w:firstLine="480"/>
        <w:spacing w:before="0" w:line="360" w:lineRule="auto"/>
        <w:rPr>
          <w:rFonts w:cs="宋体"/>
          <w:color w:val="auto"/>
          <w:highlight w:val="none"/>
        </w:rPr>
      </w:pPr>
      <w:r>
        <w:rPr>
          <w:rFonts w:hint="eastAsia" w:cs="宋体"/>
          <w:color w:val="auto"/>
          <w:highlight w:val="none"/>
        </w:rPr>
        <w:t xml:space="preserve">（4）消防模块，实现消防水压、水池水位实时监测；消防系统报警可视化；消防栓月检信息化；消防广播系统完善。</w:t>
      </w:r>
      <w:r/>
    </w:p>
    <w:p>
      <w:pPr>
        <w:pStyle w:val="1300"/>
        <w:ind w:firstLine="480"/>
        <w:spacing w:before="0" w:line="360" w:lineRule="auto"/>
        <w:rPr>
          <w:rFonts w:cs="宋体"/>
          <w:color w:val="auto"/>
          <w:highlight w:val="none"/>
        </w:rPr>
      </w:pPr>
      <w:r>
        <w:rPr>
          <w:rFonts w:hint="eastAsia" w:cs="宋体"/>
          <w:color w:val="auto"/>
          <w:highlight w:val="none"/>
        </w:rPr>
        <w:t xml:space="preserve">（5）治安模块，实现校园安全预警与现有系统数据可视化，校园安全预警：异常聚集、特定区域独自逗留、河面异常、值班人员行为分析等；防欺凌预警（10个点）对接数字校园系统；周界报警完善；门禁系统，增加人行道闸，补全刷脸机；进出校车辆数据、访客数据、违停超速实时报警等。</w:t>
      </w:r>
      <w:r/>
    </w:p>
    <w:p>
      <w:pPr>
        <w:pStyle w:val="1300"/>
        <w:ind w:firstLine="480"/>
        <w:spacing w:before="0" w:line="360" w:lineRule="auto"/>
        <w:rPr>
          <w:rFonts w:cs="宋体"/>
          <w:color w:val="auto"/>
          <w:highlight w:val="none"/>
        </w:rPr>
      </w:pPr>
      <w:r>
        <w:rPr>
          <w:rFonts w:hint="eastAsia" w:cs="宋体"/>
          <w:color w:val="auto"/>
          <w:highlight w:val="none"/>
        </w:rPr>
        <w:t xml:space="preserve">（6）监控系统完善，实现对12号楼、14号楼、15号楼及楼道公共区域监控覆盖，新增专用局域网精密空调、机柜、授时数字时钟等配套设备。</w:t>
      </w:r>
      <w:r/>
    </w:p>
    <w:p>
      <w:pPr>
        <w:pStyle w:val="1300"/>
        <w:ind w:firstLine="480"/>
        <w:spacing w:before="0" w:line="360" w:lineRule="auto"/>
        <w:rPr>
          <w:rFonts w:cs="宋体"/>
          <w:b/>
          <w:bCs/>
          <w:color w:val="auto"/>
          <w:highlight w:val="none"/>
        </w:rPr>
      </w:pPr>
      <w:r>
        <w:rPr>
          <w:rFonts w:hint="eastAsia" w:cs="宋体"/>
          <w:b/>
          <w:bCs/>
          <w:color w:val="auto"/>
          <w:highlight w:val="none"/>
        </w:rPr>
        <w:t xml:space="preserve">2.需执行的国家相关标准、行业标准、地方标准或者其他标准、规范</w:t>
      </w:r>
      <w:r/>
    </w:p>
    <w:p>
      <w:pPr>
        <w:pStyle w:val="1300"/>
        <w:ind w:firstLine="480"/>
        <w:spacing w:before="0" w:line="360" w:lineRule="auto"/>
        <w:rPr>
          <w:rFonts w:cs="宋体"/>
          <w:color w:val="auto"/>
          <w:highlight w:val="none"/>
        </w:rPr>
      </w:pPr>
      <w:r>
        <w:rPr>
          <w:rFonts w:hint="eastAsia" w:cs="宋体"/>
          <w:color w:val="auto"/>
          <w:highlight w:val="none"/>
        </w:rPr>
        <w:t xml:space="preserve">建筑电气与智能化通用规范（GB 55024）</w:t>
      </w:r>
      <w:r/>
    </w:p>
    <w:p>
      <w:pPr>
        <w:pStyle w:val="1300"/>
        <w:ind w:firstLine="480"/>
        <w:spacing w:before="0" w:line="360" w:lineRule="auto"/>
        <w:rPr>
          <w:rFonts w:cs="宋体"/>
          <w:color w:val="auto"/>
          <w:highlight w:val="none"/>
        </w:rPr>
      </w:pPr>
      <w:r>
        <w:rPr>
          <w:rFonts w:hint="eastAsia" w:cs="宋体"/>
          <w:color w:val="auto"/>
          <w:highlight w:val="none"/>
        </w:rPr>
        <w:t xml:space="preserve">综合布线系统工程设计规范（GB 50311-2016）</w:t>
      </w:r>
      <w:r/>
    </w:p>
    <w:p>
      <w:pPr>
        <w:pStyle w:val="1300"/>
        <w:ind w:firstLine="480"/>
        <w:spacing w:before="0" w:line="360" w:lineRule="auto"/>
        <w:rPr>
          <w:rFonts w:cs="宋体"/>
          <w:color w:val="auto"/>
          <w:highlight w:val="none"/>
        </w:rPr>
      </w:pPr>
      <w:r>
        <w:rPr>
          <w:rFonts w:hint="eastAsia" w:cs="宋体"/>
          <w:color w:val="auto"/>
          <w:highlight w:val="none"/>
        </w:rPr>
        <w:t xml:space="preserve">信息安全技术 网络安全等级保护基本要求（GB/T 22239-2019）</w:t>
      </w:r>
      <w:r/>
    </w:p>
    <w:p>
      <w:pPr>
        <w:pStyle w:val="1300"/>
        <w:ind w:firstLine="480"/>
        <w:spacing w:before="0" w:line="360" w:lineRule="auto"/>
        <w:rPr>
          <w:rFonts w:cs="宋体"/>
          <w:color w:val="auto"/>
          <w:highlight w:val="none"/>
        </w:rPr>
      </w:pPr>
      <w:r>
        <w:rPr>
          <w:rFonts w:hint="eastAsia" w:cs="宋体"/>
          <w:color w:val="auto"/>
          <w:highlight w:val="none"/>
        </w:rPr>
        <w:t xml:space="preserve">校园网络环境系统项目建设指南</w:t>
      </w:r>
      <w:r/>
    </w:p>
    <w:p>
      <w:pPr>
        <w:pStyle w:val="1300"/>
        <w:ind w:firstLine="480"/>
        <w:spacing w:before="0" w:line="360" w:lineRule="auto"/>
        <w:rPr>
          <w:rFonts w:cs="宋体"/>
          <w:color w:val="auto"/>
          <w:highlight w:val="none"/>
        </w:rPr>
      </w:pPr>
      <w:r>
        <w:rPr>
          <w:rFonts w:hint="eastAsia" w:cs="宋体"/>
          <w:color w:val="auto"/>
          <w:highlight w:val="none"/>
        </w:rPr>
        <w:t xml:space="preserve">校园安防系统项目建设指南</w:t>
      </w:r>
      <w:r/>
    </w:p>
    <w:p>
      <w:pPr>
        <w:pStyle w:val="1072"/>
        <w:ind w:firstLine="482"/>
        <w:rPr>
          <w:rFonts w:ascii="宋体" w:hAnsi="宋体" w:cs="宋体"/>
          <w:b/>
          <w:bCs/>
          <w:color w:val="auto"/>
          <w:sz w:val="24"/>
          <w:highlight w:val="none"/>
        </w:rPr>
      </w:pPr>
      <w:r>
        <w:rPr>
          <w:rFonts w:ascii="宋体" w:hAnsi="宋体" w:cs="宋体"/>
          <w:b/>
          <w:bCs/>
          <w:color w:val="auto"/>
          <w:sz w:val="24"/>
          <w:highlight w:val="none"/>
        </w:rPr>
      </w:r>
      <w:r/>
    </w:p>
    <w:p>
      <w:pPr>
        <w:pStyle w:val="1072"/>
        <w:ind w:firstLine="482"/>
        <w:rPr>
          <w:rFonts w:ascii="宋体" w:hAnsi="宋体" w:cs="宋体"/>
          <w:b/>
          <w:bCs/>
          <w:color w:val="auto"/>
          <w:sz w:val="24"/>
          <w:highlight w:val="none"/>
        </w:rPr>
      </w:pPr>
      <w:r>
        <w:rPr>
          <w:rFonts w:hint="eastAsia" w:ascii="宋体" w:hAnsi="宋体" w:cs="宋体"/>
          <w:b/>
          <w:bCs/>
          <w:color w:val="auto"/>
          <w:sz w:val="24"/>
          <w:highlight w:val="none"/>
        </w:rPr>
        <w:t xml:space="preserve">（二）服务内容及要求</w:t>
      </w:r>
      <w:r/>
    </w:p>
    <w:p>
      <w:pPr>
        <w:pStyle w:val="1300"/>
        <w:ind w:firstLine="480"/>
        <w:spacing w:before="0" w:line="360" w:lineRule="auto"/>
        <w:rPr>
          <w:rFonts w:cs="宋体"/>
          <w:color w:val="auto"/>
          <w:highlight w:val="none"/>
        </w:rPr>
      </w:pPr>
      <w:r>
        <w:rPr>
          <w:rFonts w:hint="eastAsia" w:cs="宋体"/>
          <w:color w:val="auto"/>
          <w:highlight w:val="none"/>
        </w:rPr>
        <w:t xml:space="preserve">学校网络有校园网和监控与设备网，中间通过内网防火墙进行逻辑隔离，本次项目的设备绝大部分主要在监控与设备网，消防系统通过专用设备采集警报，并进入该网；智能安防平台统一对这些设备进行管理和控制，学校数字校园系统通过内网防火墙访问智能安防平台。考场专用局域网，按要求完全独立。</w:t>
      </w:r>
      <w:r/>
    </w:p>
    <w:p>
      <w:pPr>
        <w:pStyle w:val="1300"/>
        <w:ind w:firstLine="482"/>
        <w:spacing w:before="0" w:line="360" w:lineRule="auto"/>
        <w:rPr>
          <w:rFonts w:cs="宋体"/>
          <w:b/>
          <w:bCs/>
          <w:color w:val="auto"/>
          <w:highlight w:val="none"/>
        </w:rPr>
      </w:pPr>
      <w:r>
        <w:rPr>
          <w:rFonts w:hint="eastAsia" w:cs="宋体"/>
          <w:b/>
          <w:bCs/>
          <w:color w:val="auto"/>
          <w:highlight w:val="none"/>
        </w:rPr>
        <w:t xml:space="preserve">1.一体化智能安防平台集成配套服务</w:t>
      </w:r>
      <w:r/>
    </w:p>
    <w:p>
      <w:pPr>
        <w:pStyle w:val="1300"/>
        <w:ind w:firstLine="480"/>
        <w:spacing w:before="0" w:line="360" w:lineRule="auto"/>
        <w:rPr>
          <w:rFonts w:cs="宋体"/>
          <w:color w:val="auto"/>
          <w:highlight w:val="none"/>
        </w:rPr>
      </w:pPr>
      <w:r>
        <w:rPr>
          <w:rFonts w:hint="eastAsia" w:cs="宋体"/>
          <w:color w:val="auto"/>
          <w:highlight w:val="none"/>
        </w:rPr>
        <w:t xml:space="preserve">本板块为项目核心集成服务，统一开发消防、治安、交通、防欺凌、考场风险预警一体化管控能力，本地私有化部署视觉大模型，实现全域主动防控、多终端统一调度、智慧校园门户双向互通，所有代码开发、协议对接、算法迭代全部纳入平台集成服务。</w:t>
      </w:r>
      <w:r/>
    </w:p>
    <w:p>
      <w:pPr>
        <w:pStyle w:val="1300"/>
        <w:ind w:firstLine="480"/>
        <w:spacing w:before="0" w:line="360" w:lineRule="auto"/>
        <w:rPr>
          <w:rFonts w:cs="宋体"/>
          <w:b/>
          <w:bCs/>
          <w:color w:val="auto"/>
          <w:highlight w:val="none"/>
        </w:rPr>
      </w:pPr>
      <w:r>
        <w:rPr>
          <w:rFonts w:hint="eastAsia" w:cs="宋体"/>
          <w:b/>
          <w:bCs/>
          <w:color w:val="auto"/>
          <w:highlight w:val="none"/>
        </w:rPr>
        <w:t xml:space="preserve">（1）主动分级预警服务</w:t>
      </w:r>
      <w:r/>
    </w:p>
    <w:p>
      <w:pPr>
        <w:pStyle w:val="1300"/>
        <w:ind w:firstLine="480"/>
        <w:spacing w:before="0" w:line="360" w:lineRule="auto"/>
        <w:rPr>
          <w:rFonts w:cs="宋体"/>
          <w:color w:val="auto"/>
          <w:highlight w:val="none"/>
        </w:rPr>
      </w:pPr>
      <w:r>
        <w:rPr>
          <w:rFonts w:hint="eastAsia" w:cs="宋体"/>
          <w:color w:val="auto"/>
          <w:highlight w:val="none"/>
        </w:rPr>
        <w:t xml:space="preserve">①配套开发全域风险识别模块，支持未成年人危险区域长时间逗留、河面异常（如人员落水、异物漂浮）智能识别；</w:t>
      </w:r>
      <w:r/>
    </w:p>
    <w:p>
      <w:pPr>
        <w:pStyle w:val="1300"/>
        <w:ind w:firstLine="480"/>
        <w:spacing w:before="0" w:line="360" w:lineRule="auto"/>
        <w:rPr>
          <w:rFonts w:cs="宋体"/>
          <w:color w:val="auto"/>
          <w:highlight w:val="none"/>
        </w:rPr>
      </w:pPr>
      <w:r>
        <w:rPr>
          <w:rFonts w:hint="eastAsia" w:cs="宋体"/>
          <w:color w:val="auto"/>
          <w:highlight w:val="none"/>
        </w:rPr>
        <w:t xml:space="preserve">②▲支持对值班人员、脱岗、睡岗、玩手机等进行行为分析预警。</w:t>
      </w:r>
      <w:r>
        <w:rPr>
          <w:rFonts w:hint="eastAsia" w:cs="宋体"/>
          <w:b/>
          <w:bCs/>
          <w:color w:val="auto"/>
          <w:highlight w:val="none"/>
        </w:rPr>
        <w:t xml:space="preserve">（需提供软件功能截图并加盖供应商公章）</w:t>
      </w:r>
      <w:bookmarkStart w:id="637" w:name="OLE_LINK2"/>
      <w:r/>
      <w:bookmarkStart w:id="638" w:name="OLE_LINK1"/>
      <w:r/>
      <w:bookmarkEnd w:id="637"/>
      <w:r/>
      <w:bookmarkEnd w:id="638"/>
      <w:r/>
      <w:r/>
    </w:p>
    <w:p>
      <w:pPr>
        <w:pStyle w:val="1300"/>
        <w:ind w:firstLine="480"/>
        <w:spacing w:before="0" w:line="360" w:lineRule="auto"/>
        <w:rPr>
          <w:rFonts w:cs="宋体"/>
          <w:color w:val="auto"/>
          <w:highlight w:val="none"/>
        </w:rPr>
      </w:pPr>
      <w:r>
        <w:rPr>
          <w:rFonts w:hint="eastAsia" w:cs="宋体"/>
          <w:b/>
          <w:bCs/>
          <w:color w:val="auto"/>
          <w:highlight w:val="none"/>
        </w:rPr>
        <w:t xml:space="preserve">（2）智能数据分析服务</w:t>
      </w:r>
      <w:r>
        <w:rPr>
          <w:rFonts w:hint="eastAsia" w:cs="宋体"/>
          <w:color w:val="auto"/>
          <w:highlight w:val="none"/>
        </w:rPr>
        <w:t xml:space="preserve"> </w:t>
      </w:r>
      <w:r/>
    </w:p>
    <w:p>
      <w:pPr>
        <w:pStyle w:val="1300"/>
        <w:ind w:firstLine="480"/>
        <w:spacing w:before="0" w:line="360" w:lineRule="auto"/>
        <w:rPr>
          <w:rFonts w:cs="宋体"/>
          <w:color w:val="auto"/>
          <w:highlight w:val="none"/>
        </w:rPr>
      </w:pPr>
      <w:r>
        <w:rPr>
          <w:rFonts w:hint="eastAsia" w:cs="宋体"/>
          <w:color w:val="auto"/>
          <w:highlight w:val="none"/>
        </w:rPr>
        <w:t xml:space="preserve">①通过大数据分析，自动识别安防薄弱环节、人员出入规律、车辆通行高峰、隐患高发区域；</w:t>
      </w:r>
      <w:r/>
    </w:p>
    <w:p>
      <w:pPr>
        <w:pStyle w:val="1300"/>
        <w:ind w:firstLine="480"/>
        <w:spacing w:before="0" w:line="360" w:lineRule="auto"/>
        <w:rPr>
          <w:rFonts w:cs="宋体"/>
          <w:color w:val="auto"/>
          <w:highlight w:val="none"/>
        </w:rPr>
      </w:pPr>
      <w:r>
        <w:rPr>
          <w:rFonts w:hint="eastAsia" w:cs="宋体"/>
          <w:color w:val="auto"/>
          <w:highlight w:val="none"/>
        </w:rPr>
        <w:t xml:space="preserve">②支持自定义分析维度，满足采购人个性化管理需求。</w:t>
      </w:r>
      <w:r/>
    </w:p>
    <w:p>
      <w:pPr>
        <w:pStyle w:val="1300"/>
        <w:ind w:firstLine="480"/>
        <w:spacing w:before="0" w:line="360" w:lineRule="auto"/>
        <w:rPr>
          <w:rFonts w:cs="宋体"/>
          <w:color w:val="auto"/>
          <w:highlight w:val="none"/>
        </w:rPr>
      </w:pPr>
      <w:r>
        <w:rPr>
          <w:rFonts w:hint="eastAsia" w:cs="宋体"/>
          <w:b/>
          <w:bCs/>
          <w:color w:val="auto"/>
          <w:highlight w:val="none"/>
        </w:rPr>
        <w:t xml:space="preserve">（3）统一指挥调度服务</w:t>
      </w:r>
      <w:r>
        <w:rPr>
          <w:rFonts w:hint="eastAsia" w:cs="宋体"/>
          <w:color w:val="auto"/>
          <w:highlight w:val="none"/>
        </w:rPr>
        <w:t xml:space="preserve"> </w:t>
      </w:r>
      <w:r/>
    </w:p>
    <w:p>
      <w:pPr>
        <w:pStyle w:val="1300"/>
        <w:ind w:firstLine="480"/>
        <w:spacing w:before="0" w:line="360" w:lineRule="auto"/>
        <w:rPr>
          <w:rFonts w:cs="宋体"/>
          <w:color w:val="auto"/>
          <w:highlight w:val="none"/>
        </w:rPr>
      </w:pPr>
      <w:r>
        <w:rPr>
          <w:rFonts w:hint="eastAsia" w:cs="宋体"/>
          <w:color w:val="auto"/>
          <w:highlight w:val="none"/>
        </w:rPr>
        <w:t xml:space="preserve">①▲建立统一的指挥调度界面，所有子系统的报警信息、设备状态、数据信息集中展示；</w:t>
      </w:r>
      <w:r>
        <w:rPr>
          <w:rFonts w:hint="eastAsia" w:cs="宋体"/>
          <w:b/>
          <w:bCs/>
          <w:color w:val="auto"/>
          <w:highlight w:val="none"/>
        </w:rPr>
        <w:t xml:space="preserve">（需提供软件功能截图并加盖供应商公章）</w:t>
      </w:r>
      <w:r/>
    </w:p>
    <w:p>
      <w:pPr>
        <w:pStyle w:val="1300"/>
        <w:ind w:firstLine="480"/>
        <w:spacing w:before="0" w:line="360" w:lineRule="auto"/>
        <w:rPr>
          <w:rFonts w:cs="宋体"/>
          <w:color w:val="auto"/>
          <w:highlight w:val="none"/>
        </w:rPr>
      </w:pPr>
      <w:r>
        <w:rPr>
          <w:rFonts w:hint="eastAsia" w:cs="宋体"/>
          <w:color w:val="auto"/>
          <w:highlight w:val="none"/>
        </w:rPr>
        <w:t xml:space="preserve">②支持电子地图联动，精准定位报警位置；一旦发生异常，平台可快速联动相关子系统（如监控、门禁、报警）；</w:t>
      </w:r>
      <w:r/>
    </w:p>
    <w:p>
      <w:pPr>
        <w:pStyle w:val="1300"/>
        <w:ind w:firstLine="480"/>
        <w:spacing w:before="0" w:line="360" w:lineRule="auto"/>
        <w:rPr>
          <w:rFonts w:cs="宋体"/>
          <w:b/>
          <w:bCs/>
          <w:color w:val="auto"/>
          <w:highlight w:val="none"/>
        </w:rPr>
      </w:pPr>
      <w:r>
        <w:rPr>
          <w:rFonts w:hint="eastAsia" w:cs="宋体"/>
          <w:b/>
          <w:bCs/>
          <w:color w:val="auto"/>
          <w:highlight w:val="none"/>
        </w:rPr>
        <w:t xml:space="preserve">（4）统一接入与权限管理 </w:t>
      </w:r>
      <w:r/>
    </w:p>
    <w:p>
      <w:pPr>
        <w:pStyle w:val="1300"/>
        <w:ind w:firstLine="480"/>
        <w:spacing w:before="0" w:line="360" w:lineRule="auto"/>
        <w:rPr>
          <w:rFonts w:cs="宋体"/>
          <w:color w:val="auto"/>
          <w:highlight w:val="none"/>
        </w:rPr>
      </w:pPr>
      <w:r>
        <w:rPr>
          <w:rFonts w:hint="eastAsia" w:cs="宋体"/>
          <w:color w:val="auto"/>
          <w:highlight w:val="none"/>
        </w:rPr>
        <w:t xml:space="preserve">①平台需无缝接入智慧校园统一门户系统，实现数据互通、功能联动，支持门户端对所有子系统的统一管理、统一调度；</w:t>
      </w:r>
      <w:r/>
    </w:p>
    <w:p>
      <w:pPr>
        <w:pStyle w:val="1300"/>
        <w:ind w:firstLine="480"/>
        <w:spacing w:before="0" w:line="360" w:lineRule="auto"/>
        <w:rPr>
          <w:rFonts w:cs="宋体"/>
          <w:color w:val="auto"/>
          <w:highlight w:val="none"/>
        </w:rPr>
      </w:pPr>
      <w:r>
        <w:rPr>
          <w:rFonts w:hint="eastAsia" w:cs="宋体"/>
          <w:color w:val="auto"/>
          <w:highlight w:val="none"/>
        </w:rPr>
        <w:t xml:space="preserve">②支持精细化权限管理，根据用户角色（管理员、安保人员、班主任、领导等）分配不同的操作权限，确保管理规范、权责清晰，符合采购对统一管理、权限管控的要求。</w:t>
      </w:r>
      <w:r/>
    </w:p>
    <w:p>
      <w:pPr>
        <w:pStyle w:val="1300"/>
        <w:ind w:firstLine="482"/>
        <w:spacing w:before="0" w:line="360" w:lineRule="auto"/>
        <w:rPr>
          <w:rFonts w:cs="宋体"/>
          <w:b/>
          <w:bCs/>
          <w:color w:val="auto"/>
          <w:highlight w:val="none"/>
          <w:lang w:bidi="ar"/>
        </w:rPr>
      </w:pPr>
      <w:r>
        <w:rPr>
          <w:rFonts w:hint="eastAsia" w:cs="宋体"/>
          <w:b/>
          <w:bCs/>
          <w:color w:val="auto"/>
          <w:highlight w:val="none"/>
          <w:lang w:bidi="ar"/>
        </w:rPr>
        <w:t xml:space="preserve">（5）系统对接服务</w:t>
      </w:r>
      <w:r/>
    </w:p>
    <w:p>
      <w:pPr>
        <w:pStyle w:val="1300"/>
        <w:ind w:firstLine="480"/>
        <w:spacing w:before="0" w:line="360" w:lineRule="auto"/>
        <w:rPr>
          <w:rFonts w:cs="宋体"/>
          <w:color w:val="auto"/>
          <w:highlight w:val="none"/>
        </w:rPr>
      </w:pPr>
      <w:r>
        <w:rPr>
          <w:rFonts w:hint="eastAsia" w:cs="宋体"/>
          <w:color w:val="auto"/>
          <w:highlight w:val="none"/>
        </w:rPr>
        <w:t xml:space="preserve">①AI全场景校园风险预警功能需无缝对接本次搭建的校园智能安防平台，实现数据互通、功能联动，无需额外搭建独立系统，所有预警信息、分析数据均同步至安防平台统一管理；</w:t>
      </w:r>
      <w:r/>
    </w:p>
    <w:p>
      <w:pPr>
        <w:pStyle w:val="1300"/>
        <w:ind w:firstLine="480"/>
        <w:spacing w:before="0" w:line="360" w:lineRule="auto"/>
        <w:rPr>
          <w:rFonts w:cs="宋体"/>
          <w:color w:val="auto"/>
          <w:highlight w:val="none"/>
        </w:rPr>
      </w:pPr>
      <w:r>
        <w:rPr>
          <w:rFonts w:hint="eastAsia" w:cs="宋体"/>
          <w:color w:val="auto"/>
          <w:highlight w:val="none"/>
        </w:rPr>
        <w:t xml:space="preserve">②联动智慧校园统一门户系统，确保采购人通过门户即可实现全场景风险预警的查看、管理与处置，符合采购统一管理的核心要求；</w:t>
      </w:r>
      <w:r/>
    </w:p>
    <w:p>
      <w:pPr>
        <w:pStyle w:val="1300"/>
        <w:ind w:firstLine="480"/>
        <w:spacing w:before="0" w:line="360" w:lineRule="auto"/>
        <w:rPr>
          <w:rFonts w:cs="宋体"/>
          <w:color w:val="auto"/>
          <w:highlight w:val="none"/>
        </w:rPr>
      </w:pPr>
      <w:r>
        <w:rPr>
          <w:rFonts w:hint="eastAsia" w:cs="宋体"/>
          <w:color w:val="auto"/>
          <w:highlight w:val="none"/>
        </w:rPr>
        <w:t xml:space="preserve">③对接过程中遵循安防平台的接口规范、数据标准，采用AES-256数据加密传输机制，保障数据传输的安全性、实时性，传输延迟≤2秒，确保预警信息不丢失、不延迟。</w:t>
      </w:r>
      <w:r/>
    </w:p>
    <w:p>
      <w:pPr>
        <w:pStyle w:val="1300"/>
        <w:ind w:firstLine="480"/>
        <w:spacing w:before="0" w:line="360" w:lineRule="auto"/>
        <w:rPr>
          <w:rFonts w:cs="宋体"/>
          <w:b/>
          <w:bCs/>
          <w:color w:val="auto"/>
          <w:highlight w:val="none"/>
        </w:rPr>
      </w:pPr>
      <w:r>
        <w:rPr>
          <w:rFonts w:hint="eastAsia" w:cs="宋体"/>
          <w:b/>
          <w:bCs/>
          <w:color w:val="auto"/>
          <w:highlight w:val="none"/>
        </w:rPr>
        <w:t xml:space="preserve">（6）全域风险区域配置服务 </w:t>
      </w:r>
      <w:r/>
    </w:p>
    <w:p>
      <w:pPr>
        <w:pStyle w:val="1300"/>
        <w:ind w:firstLine="480"/>
        <w:spacing w:before="0" w:line="360" w:lineRule="auto"/>
        <w:rPr>
          <w:rFonts w:cs="宋体"/>
          <w:color w:val="auto"/>
          <w:highlight w:val="none"/>
        </w:rPr>
      </w:pPr>
      <w:r>
        <w:rPr>
          <w:rFonts w:hint="eastAsia" w:cs="宋体"/>
          <w:color w:val="auto"/>
          <w:highlight w:val="none"/>
        </w:rPr>
        <w:t xml:space="preserve">①▲根据校园实际场景，自由配置风险区域，包括但不限于校园围墙周边、教学楼偏僻区域、操场角落、河道周边、楼梯间、消防通道等重点区域；</w:t>
      </w:r>
      <w:r>
        <w:rPr>
          <w:rFonts w:hint="eastAsia" w:cs="宋体"/>
          <w:b/>
          <w:bCs/>
          <w:color w:val="auto"/>
          <w:highlight w:val="none"/>
        </w:rPr>
        <w:t xml:space="preserve">（需提供软件功能截图并加盖供应商公章）</w:t>
      </w:r>
      <w:r/>
    </w:p>
    <w:p>
      <w:pPr>
        <w:pStyle w:val="1300"/>
        <w:ind w:firstLine="480"/>
        <w:spacing w:before="0" w:line="360" w:lineRule="auto"/>
        <w:rPr>
          <w:rFonts w:cs="宋体"/>
          <w:color w:val="auto"/>
          <w:highlight w:val="none"/>
        </w:rPr>
      </w:pPr>
      <w:r>
        <w:rPr>
          <w:rFonts w:hint="eastAsia" w:cs="宋体"/>
          <w:color w:val="auto"/>
          <w:highlight w:val="none"/>
        </w:rPr>
        <w:t xml:space="preserve">②▲可对不同风险区域进行分级标注（高风险、中风险、低风险），设置不同的预警灵敏度及监测频次，适配校园不同区域的安防需求；</w:t>
      </w:r>
      <w:r>
        <w:rPr>
          <w:rFonts w:hint="eastAsia" w:cs="宋体"/>
          <w:b/>
          <w:bCs/>
          <w:color w:val="auto"/>
          <w:highlight w:val="none"/>
        </w:rPr>
        <w:t xml:space="preserve">（需提供软件功能截图并加盖供应商公章）</w:t>
      </w:r>
      <w:r/>
    </w:p>
    <w:p>
      <w:pPr>
        <w:pStyle w:val="1300"/>
        <w:ind w:firstLine="480"/>
        <w:spacing w:before="0" w:line="360" w:lineRule="auto"/>
        <w:rPr>
          <w:rFonts w:cs="宋体"/>
          <w:b/>
          <w:bCs/>
          <w:color w:val="auto"/>
          <w:highlight w:val="none"/>
        </w:rPr>
      </w:pPr>
      <w:r>
        <w:rPr>
          <w:rFonts w:hint="eastAsia" w:cs="宋体"/>
          <w:color w:val="auto"/>
          <w:highlight w:val="none"/>
        </w:rPr>
        <w:t xml:space="preserve">③▲支持风险区域的新增、删除、修改、编辑，操作简单便捷，可通过智能安防平台或智慧校园统一门户直接操作，无需专业技术人员干预，符合使用人对操作便捷性的要求。</w:t>
      </w:r>
      <w:r>
        <w:rPr>
          <w:rFonts w:hint="eastAsia" w:cs="宋体"/>
          <w:b/>
          <w:bCs/>
          <w:color w:val="auto"/>
          <w:highlight w:val="none"/>
        </w:rPr>
        <w:t xml:space="preserve">（需提供软件功能截图并加盖供应商公章）</w:t>
      </w:r>
      <w:r/>
    </w:p>
    <w:p>
      <w:pPr>
        <w:pStyle w:val="1300"/>
        <w:ind w:firstLine="482"/>
        <w:spacing w:before="0" w:line="360" w:lineRule="auto"/>
        <w:rPr>
          <w:rFonts w:cs="宋体"/>
          <w:b/>
          <w:bCs/>
          <w:color w:val="auto"/>
          <w:highlight w:val="none"/>
          <w:lang w:bidi="ar"/>
        </w:rPr>
      </w:pPr>
      <w:r>
        <w:rPr>
          <w:rFonts w:hint="eastAsia" w:cs="宋体"/>
          <w:b/>
          <w:bCs/>
          <w:color w:val="auto"/>
          <w:highlight w:val="none"/>
          <w:lang w:bidi="ar"/>
        </w:rPr>
        <w:t xml:space="preserve">（7）区域信息定时获取与分析服务</w:t>
      </w:r>
      <w:r/>
    </w:p>
    <w:p>
      <w:pPr>
        <w:pStyle w:val="1300"/>
        <w:ind w:firstLine="480"/>
        <w:spacing w:before="0" w:line="360" w:lineRule="auto"/>
        <w:rPr>
          <w:rFonts w:cs="宋体"/>
          <w:color w:val="auto"/>
          <w:highlight w:val="none"/>
        </w:rPr>
      </w:pPr>
      <w:r>
        <w:rPr>
          <w:rFonts w:hint="eastAsia" w:cs="宋体"/>
          <w:color w:val="auto"/>
          <w:highlight w:val="none"/>
        </w:rPr>
        <w:t xml:space="preserve">①系统定时获取所有配置风险区域的实时信息，监测频次可自由配置（最低可设置每10秒获取一次）；</w:t>
      </w:r>
      <w:r/>
    </w:p>
    <w:p>
      <w:pPr>
        <w:pStyle w:val="1300"/>
        <w:ind w:firstLine="480"/>
        <w:spacing w:before="0" w:line="360" w:lineRule="auto"/>
        <w:rPr>
          <w:rFonts w:cs="宋体"/>
          <w:color w:val="auto"/>
          <w:highlight w:val="none"/>
        </w:rPr>
      </w:pPr>
      <w:r>
        <w:rPr>
          <w:rFonts w:hint="eastAsia" w:cs="宋体"/>
          <w:color w:val="auto"/>
          <w:highlight w:val="none"/>
        </w:rPr>
        <w:t xml:space="preserve">②通过AI算法对区域内的人员行为、环境状态、异常情况进行实时分析，包括但不限于人员异常聚集、特定人员独自逗留、翻越围墙、河道周边异常、违规进入风险区域等场景；</w:t>
      </w:r>
      <w:r/>
    </w:p>
    <w:p>
      <w:pPr>
        <w:pStyle w:val="1300"/>
        <w:ind w:firstLine="480"/>
        <w:spacing w:before="0" w:line="360" w:lineRule="auto"/>
        <w:rPr>
          <w:rFonts w:cs="宋体"/>
          <w:color w:val="auto"/>
          <w:highlight w:val="none"/>
        </w:rPr>
      </w:pPr>
      <w:r>
        <w:rPr>
          <w:rFonts w:hint="eastAsia" w:cs="宋体"/>
          <w:color w:val="auto"/>
          <w:highlight w:val="none"/>
        </w:rPr>
        <w:t xml:space="preserve">③分析过程中自动过滤正常校园活动（如学生正常课间活动、教职工巡检等），减少误预警，分析准确率≥96%，确保风险识别的精准性，符合采购对预警准确性的核心要求。</w:t>
      </w:r>
      <w:r/>
    </w:p>
    <w:p>
      <w:pPr>
        <w:pStyle w:val="1300"/>
        <w:numPr>
          <w:ilvl w:val="0"/>
          <w:numId w:val="12"/>
        </w:numPr>
        <w:ind w:firstLine="480"/>
        <w:spacing w:before="0" w:line="360" w:lineRule="auto"/>
        <w:rPr>
          <w:rFonts w:cs="宋体"/>
          <w:b/>
          <w:bCs/>
          <w:color w:val="auto"/>
          <w:highlight w:val="none"/>
          <w:lang w:bidi="ar"/>
        </w:rPr>
      </w:pPr>
      <w:r>
        <w:rPr>
          <w:rFonts w:hint="eastAsia" w:cs="宋体"/>
          <w:b/>
          <w:bCs/>
          <w:color w:val="auto"/>
          <w:highlight w:val="none"/>
          <w:lang w:bidi="ar"/>
        </w:rPr>
        <w:t xml:space="preserve">校园私有化视觉大模型部署</w:t>
      </w:r>
      <w:r/>
    </w:p>
    <w:p>
      <w:pPr>
        <w:pStyle w:val="1300"/>
        <w:ind w:firstLine="480"/>
        <w:spacing w:before="0" w:line="360" w:lineRule="auto"/>
        <w:rPr>
          <w:rFonts w:cs="宋体"/>
          <w:color w:val="auto"/>
          <w:highlight w:val="none"/>
        </w:rPr>
      </w:pPr>
      <w:r>
        <w:rPr>
          <w:rFonts w:hint="eastAsia" w:cs="宋体"/>
          <w:color w:val="auto"/>
          <w:highlight w:val="none"/>
        </w:rPr>
        <w:t xml:space="preserve">①部署校园私有化视觉大模型，模型部署于校园本地，不将校园监控数据、风险数据上传至第三方平台，确保校园数据隐私安全，符合校园数据保密相关规定及采购对数据安全的要求；</w:t>
      </w:r>
      <w:r/>
    </w:p>
    <w:p>
      <w:pPr>
        <w:pStyle w:val="1300"/>
        <w:ind w:firstLine="480"/>
        <w:spacing w:before="0" w:line="360" w:lineRule="auto"/>
        <w:rPr>
          <w:rFonts w:cs="宋体"/>
          <w:color w:val="auto"/>
          <w:highlight w:val="none"/>
        </w:rPr>
      </w:pPr>
      <w:r>
        <w:rPr>
          <w:rFonts w:hint="eastAsia" w:cs="宋体"/>
          <w:color w:val="auto"/>
          <w:highlight w:val="none"/>
        </w:rPr>
        <w:t xml:space="preserve">②该模型需持续迭代优化识别算法，不断提升风险识别准确率；支持模型本地升级、维护，升级过程中不影响系统正常运行，投标方需承诺提供模型三年免费升级服务，每年至少完成1次模型优化升级，相关升级费用包含在响应报价内，不额外收取；</w:t>
      </w:r>
      <w:r/>
    </w:p>
    <w:p>
      <w:pPr>
        <w:pStyle w:val="1300"/>
        <w:ind w:firstLine="480"/>
        <w:spacing w:before="0" w:line="360" w:lineRule="auto"/>
        <w:rPr>
          <w:rFonts w:cs="宋体"/>
          <w:color w:val="auto"/>
          <w:highlight w:val="none"/>
        </w:rPr>
      </w:pPr>
      <w:r>
        <w:rPr>
          <w:rFonts w:hint="eastAsia" w:cs="宋体"/>
          <w:color w:val="auto"/>
          <w:highlight w:val="none"/>
        </w:rPr>
        <w:t xml:space="preserve">③◆私有化模型部署：根据客户需求，可在指定环境中进行私有模型的独立部署，提供部署成功后运行命令的完整截图，以及展示调用模型并成功返回结果的界面截图。</w:t>
      </w:r>
      <w:r>
        <w:rPr>
          <w:rFonts w:hint="eastAsia" w:cs="宋体"/>
          <w:b/>
          <w:bCs/>
          <w:color w:val="auto"/>
          <w:highlight w:val="none"/>
        </w:rPr>
        <w:t xml:space="preserve">（提供视频演示）</w:t>
      </w:r>
      <w:r/>
    </w:p>
    <w:p>
      <w:pPr>
        <w:pStyle w:val="1300"/>
        <w:ind w:firstLine="480"/>
        <w:spacing w:before="0" w:line="360" w:lineRule="auto"/>
        <w:rPr>
          <w:rFonts w:cs="宋体"/>
          <w:b/>
          <w:bCs/>
          <w:color w:val="auto"/>
          <w:highlight w:val="none"/>
        </w:rPr>
      </w:pPr>
      <w:r>
        <w:rPr>
          <w:rFonts w:hint="eastAsia" w:cs="宋体"/>
          <w:b/>
          <w:bCs/>
          <w:color w:val="auto"/>
          <w:highlight w:val="none"/>
        </w:rPr>
        <w:t xml:space="preserve">（9）24小时不间断预警与实时报警服务</w:t>
      </w:r>
      <w:r/>
    </w:p>
    <w:p>
      <w:pPr>
        <w:pStyle w:val="1300"/>
        <w:ind w:firstLine="480"/>
        <w:spacing w:before="0" w:line="360" w:lineRule="auto"/>
        <w:rPr>
          <w:rFonts w:cs="宋体"/>
          <w:color w:val="auto"/>
          <w:highlight w:val="none"/>
        </w:rPr>
      </w:pPr>
      <w:r>
        <w:rPr>
          <w:rFonts w:hint="eastAsia" w:cs="宋体"/>
          <w:color w:val="auto"/>
          <w:highlight w:val="none"/>
        </w:rPr>
        <w:t xml:space="preserve">①私有化视觉大模型实现24小时不间断运行，对所有配置的风险区域进行实时监测，确保无监测死角；</w:t>
      </w:r>
      <w:r/>
    </w:p>
    <w:p>
      <w:pPr>
        <w:pStyle w:val="1300"/>
        <w:ind w:firstLine="480"/>
        <w:spacing w:before="0" w:line="360" w:lineRule="auto"/>
        <w:rPr>
          <w:rFonts w:cs="宋体"/>
          <w:color w:val="auto"/>
          <w:highlight w:val="none"/>
        </w:rPr>
      </w:pPr>
      <w:r>
        <w:rPr>
          <w:rFonts w:hint="eastAsia" w:cs="宋体"/>
          <w:color w:val="auto"/>
          <w:highlight w:val="none"/>
        </w:rPr>
        <w:t xml:space="preserve">②一旦检测到风险隐患，立即触发分级预警（根据风险区域等级及隐患严重程度，分为一级、二级、三级预警），仅在智能安防平台弹窗报警，并同步推送至相关负责人终端（手机端、电脑端，推送方式含短信、APP推送、弹窗提醒），报警响应时间≤1秒，确保相关人员第一时间接收预警信息、启动处置流程；</w:t>
      </w:r>
      <w:r/>
    </w:p>
    <w:p>
      <w:pPr>
        <w:pStyle w:val="1300"/>
        <w:ind w:firstLine="480"/>
        <w:spacing w:before="0" w:line="360" w:lineRule="auto"/>
        <w:rPr>
          <w:rFonts w:cs="宋体"/>
          <w:color w:val="auto"/>
          <w:highlight w:val="none"/>
        </w:rPr>
      </w:pPr>
      <w:r>
        <w:rPr>
          <w:rFonts w:hint="eastAsia" w:cs="宋体"/>
          <w:color w:val="auto"/>
          <w:highlight w:val="none"/>
        </w:rPr>
        <w:t xml:space="preserve">③◆烟感报警联动摄像头：一旦烟感装置检测到烟雾或火情，系统将立即触发联动机制，自动调取附近摄像头的实时画面，支持在报警节目快速确认并推送至智慧校园系统。</w:t>
      </w:r>
      <w:r>
        <w:rPr>
          <w:rFonts w:hint="eastAsia" w:cs="宋体"/>
          <w:b/>
          <w:bCs/>
          <w:color w:val="auto"/>
          <w:highlight w:val="none"/>
        </w:rPr>
        <w:t xml:space="preserve">（提供视频演示）</w:t>
      </w:r>
      <w:r/>
    </w:p>
    <w:p>
      <w:pPr>
        <w:pStyle w:val="1300"/>
        <w:ind w:left="480"/>
        <w:spacing w:before="0" w:line="360" w:lineRule="auto"/>
        <w:rPr>
          <w:rFonts w:cs="宋体"/>
          <w:b/>
          <w:bCs/>
          <w:color w:val="auto"/>
          <w:highlight w:val="none"/>
        </w:rPr>
      </w:pPr>
      <w:r>
        <w:rPr>
          <w:rFonts w:hint="eastAsia" w:cs="宋体"/>
          <w:b/>
          <w:bCs/>
          <w:color w:val="auto"/>
          <w:highlight w:val="none"/>
        </w:rPr>
        <w:t xml:space="preserve">（10）预警处置与数据管理服务</w:t>
      </w:r>
      <w:r/>
    </w:p>
    <w:p>
      <w:pPr>
        <w:pStyle w:val="1300"/>
        <w:ind w:firstLine="480"/>
        <w:spacing w:before="0" w:line="360" w:lineRule="auto"/>
        <w:rPr>
          <w:rFonts w:cs="宋体"/>
          <w:color w:val="auto"/>
          <w:highlight w:val="none"/>
        </w:rPr>
      </w:pPr>
      <w:r>
        <w:rPr>
          <w:rFonts w:hint="eastAsia" w:cs="宋体"/>
          <w:color w:val="auto"/>
          <w:highlight w:val="none"/>
        </w:rPr>
        <w:t xml:space="preserve">①预警信息的人工复核功能，工作人员可通过智能安防平台查看预警现场实时画面，确认是否为真实风险隐患，复核结果同步记录留存，形成完整的预警处置台账；</w:t>
      </w:r>
      <w:r/>
    </w:p>
    <w:p>
      <w:pPr>
        <w:pStyle w:val="1300"/>
        <w:ind w:firstLine="480"/>
        <w:spacing w:before="0" w:line="360" w:lineRule="auto"/>
        <w:rPr>
          <w:rFonts w:cs="宋体"/>
          <w:color w:val="auto"/>
          <w:highlight w:val="none"/>
        </w:rPr>
      </w:pPr>
      <w:r>
        <w:rPr>
          <w:rFonts w:hint="eastAsia" w:cs="宋体"/>
          <w:color w:val="auto"/>
          <w:highlight w:val="none"/>
        </w:rPr>
        <w:t xml:space="preserve">②支持预警数据的统计分析，生成月度、季度、年度风险预警报告，明确风险高发区域、预警次数、处置情况等，为校园安防管理优化提供数据支撑；</w:t>
      </w:r>
      <w:r/>
    </w:p>
    <w:p>
      <w:pPr>
        <w:pStyle w:val="1300"/>
        <w:ind w:firstLine="480"/>
        <w:spacing w:before="0" w:line="360" w:lineRule="auto"/>
        <w:rPr>
          <w:rFonts w:cs="宋体"/>
          <w:color w:val="auto"/>
          <w:highlight w:val="none"/>
        </w:rPr>
      </w:pPr>
      <w:r>
        <w:rPr>
          <w:rFonts w:hint="eastAsia" w:cs="宋体"/>
          <w:color w:val="auto"/>
          <w:highlight w:val="none"/>
        </w:rPr>
        <w:t xml:space="preserve">③预警台账及统计报告可通过智慧校园统一门户查询、导出（格式支持Excel、PDF），符合采购对数据追溯、管理的要求。</w:t>
      </w:r>
      <w:r/>
    </w:p>
    <w:p>
      <w:pPr>
        <w:pStyle w:val="1300"/>
        <w:ind w:firstLine="480"/>
        <w:spacing w:before="0" w:line="360" w:lineRule="auto"/>
        <w:rPr>
          <w:rFonts w:cs="宋体"/>
          <w:b/>
          <w:bCs/>
          <w:color w:val="auto"/>
          <w:highlight w:val="none"/>
        </w:rPr>
      </w:pPr>
      <w:r>
        <w:rPr>
          <w:rFonts w:hint="eastAsia" w:cs="宋体"/>
          <w:b/>
          <w:bCs/>
          <w:color w:val="auto"/>
          <w:highlight w:val="none"/>
        </w:rPr>
        <w:t xml:space="preserve">（11）人脸检索与人像比对服务</w:t>
      </w:r>
      <w:r/>
    </w:p>
    <w:p>
      <w:pPr>
        <w:pStyle w:val="1300"/>
        <w:ind w:firstLine="480"/>
        <w:spacing w:before="0" w:line="360" w:lineRule="auto"/>
        <w:rPr>
          <w:rFonts w:cs="宋体"/>
          <w:color w:val="auto"/>
          <w:highlight w:val="none"/>
        </w:rPr>
      </w:pPr>
      <w:r>
        <w:rPr>
          <w:rFonts w:hint="eastAsia" w:cs="宋体"/>
          <w:color w:val="auto"/>
          <w:highlight w:val="none"/>
        </w:rPr>
        <w:t xml:space="preserve">①◆视频中人脸识别与搜索：上传任意一段包含人物画面的视频文件，系统将对视频内的每一帧画面进行智能分析，自动识别并提取所有出现的人脸特征数据；并对接学校的智慧校园系统，支持直接获取对应的学校学生或者教职工信息。</w:t>
      </w:r>
      <w:r>
        <w:rPr>
          <w:rFonts w:hint="eastAsia" w:cs="宋体"/>
          <w:b/>
          <w:bCs/>
          <w:color w:val="auto"/>
          <w:highlight w:val="none"/>
        </w:rPr>
        <w:t xml:space="preserve">（提供视频演示）</w:t>
      </w:r>
      <w:r/>
    </w:p>
    <w:p>
      <w:pPr>
        <w:pStyle w:val="1300"/>
        <w:ind w:firstLine="480"/>
        <w:spacing w:before="0" w:line="360" w:lineRule="auto"/>
        <w:rPr>
          <w:rFonts w:cs="宋体"/>
          <w:b/>
          <w:bCs/>
          <w:color w:val="auto"/>
          <w:highlight w:val="none"/>
        </w:rPr>
      </w:pPr>
      <w:r>
        <w:rPr>
          <w:rFonts w:hint="eastAsia" w:cs="宋体"/>
          <w:b/>
          <w:bCs/>
          <w:color w:val="auto"/>
          <w:highlight w:val="none"/>
        </w:rPr>
        <w:t xml:space="preserve">（12）平台全周期技术保障服务</w:t>
      </w:r>
      <w:r/>
    </w:p>
    <w:p>
      <w:pPr>
        <w:pStyle w:val="1300"/>
        <w:ind w:firstLine="480"/>
        <w:spacing w:before="0" w:line="360" w:lineRule="auto"/>
        <w:rPr>
          <w:rFonts w:cs="宋体"/>
          <w:color w:val="auto"/>
          <w:highlight w:val="none"/>
        </w:rPr>
      </w:pPr>
      <w:r>
        <w:rPr>
          <w:rFonts w:hint="eastAsia" w:cs="宋体"/>
          <w:color w:val="auto"/>
          <w:highlight w:val="none"/>
        </w:rPr>
        <w:t xml:space="preserve">①提供完整的技术文档（含模型部署手册、操作手册、维护手册等），不少于3年免费运维服务，7×24小时应急响应，故障响应时间≤1小时，现场处置时间≤24小时；安排专业技术人员完成模型部署、调试及人员培训，确保工作人员熟练掌握功能操作、模型维护技能，相关培训费用包含在报价内；</w:t>
      </w:r>
      <w:r/>
    </w:p>
    <w:p>
      <w:pPr>
        <w:pStyle w:val="1300"/>
        <w:ind w:firstLine="480"/>
        <w:spacing w:before="0" w:line="360" w:lineRule="auto"/>
        <w:rPr>
          <w:rFonts w:cs="宋体"/>
          <w:b/>
          <w:bCs/>
          <w:color w:val="auto"/>
          <w:highlight w:val="none"/>
        </w:rPr>
      </w:pPr>
      <w:r>
        <w:rPr>
          <w:rFonts w:hint="eastAsia" w:cs="宋体"/>
          <w:color w:val="auto"/>
          <w:highlight w:val="none"/>
        </w:rPr>
        <w:t xml:space="preserve">②◆AI智能巡检：接入多个摄像头，支持根据实际需求灵活设置巡检规则（火灾、消防通道、人员安全等），自动进行实时巡检，并生成详细的巡检分析报告（时间、地点、风险描述、风险程度、建议措施）。</w:t>
      </w:r>
      <w:r>
        <w:rPr>
          <w:rFonts w:hint="eastAsia" w:cs="宋体"/>
          <w:b/>
          <w:bCs/>
          <w:color w:val="auto"/>
          <w:highlight w:val="none"/>
        </w:rPr>
        <w:t xml:space="preserve">（提供视频演示）</w:t>
      </w:r>
      <w:r/>
    </w:p>
    <w:p>
      <w:pPr>
        <w:pStyle w:val="1300"/>
        <w:contextualSpacing/>
        <w:ind w:firstLine="482"/>
        <w:jc w:val="left"/>
        <w:spacing w:line="360" w:lineRule="auto"/>
        <w:rPr>
          <w:rFonts w:cs="宋体"/>
          <w:color w:val="auto"/>
          <w:highlight w:val="none"/>
        </w:rPr>
      </w:pPr>
      <w:r>
        <w:rPr>
          <w:rFonts w:hint="eastAsia" w:cs="宋体"/>
          <w:b/>
          <w:bCs/>
          <w:color w:val="auto"/>
          <w:highlight w:val="none"/>
        </w:rPr>
        <w:t xml:space="preserve">2.消控中心可视化调度配套布设服务</w:t>
      </w:r>
      <w:r/>
    </w:p>
    <w:p>
      <w:pPr>
        <w:pStyle w:val="1300"/>
        <w:ind w:firstLine="480"/>
        <w:spacing w:before="0" w:line="360" w:lineRule="auto"/>
        <w:rPr>
          <w:rFonts w:cs="宋体"/>
          <w:b/>
          <w:bCs/>
          <w:color w:val="auto"/>
          <w:highlight w:val="none"/>
        </w:rPr>
      </w:pPr>
      <w:r/>
      <w:bookmarkStart w:id="639" w:name="_Toc10775"/>
      <w:r/>
      <w:bookmarkStart w:id="640" w:name="_Toc31620"/>
      <w:r/>
      <w:bookmarkStart w:id="641" w:name="_Toc23412"/>
      <w:r>
        <w:rPr>
          <w:rFonts w:hint="eastAsia" w:cs="宋体"/>
          <w:b/>
          <w:bCs/>
          <w:color w:val="auto"/>
          <w:highlight w:val="none"/>
        </w:rPr>
        <w:t xml:space="preserve">2.1 49寸3*5可视化调度配套载体布设服务</w:t>
      </w:r>
      <w:r/>
    </w:p>
    <w:p>
      <w:pPr>
        <w:pStyle w:val="1300"/>
        <w:ind w:firstLine="480"/>
        <w:spacing w:before="0" w:line="360" w:lineRule="auto"/>
        <w:rPr>
          <w:rFonts w:cs="宋体"/>
          <w:b/>
          <w:bCs/>
          <w:color w:val="auto"/>
          <w:highlight w:val="none"/>
        </w:rPr>
      </w:pPr>
      <w:r>
        <w:rPr>
          <w:rFonts w:hint="eastAsia" w:cs="宋体"/>
          <w:b/>
          <w:bCs/>
          <w:color w:val="auto"/>
          <w:highlight w:val="none"/>
        </w:rPr>
        <w:t xml:space="preserve">（1）配套15块49寸可视化显示配套载体</w:t>
      </w:r>
      <w:r/>
    </w:p>
    <w:p>
      <w:pPr>
        <w:pStyle w:val="1300"/>
        <w:ind w:firstLine="480"/>
        <w:spacing w:before="0" w:line="360" w:lineRule="auto"/>
        <w:rPr>
          <w:rFonts w:cs="宋体"/>
          <w:color w:val="auto"/>
          <w:highlight w:val="none"/>
        </w:rPr>
      </w:pPr>
      <w:r>
        <w:rPr>
          <w:rFonts w:hint="eastAsia" w:cs="宋体"/>
          <w:color w:val="auto"/>
          <w:highlight w:val="none"/>
        </w:rPr>
        <w:t xml:space="preserve">①显示单元为：49英寸超窄边；物理分辨率≥1920×1080，响应时间≤8ms。</w:t>
      </w:r>
      <w:r/>
    </w:p>
    <w:p>
      <w:pPr>
        <w:pStyle w:val="1300"/>
        <w:ind w:firstLine="480"/>
        <w:spacing w:before="0" w:line="360" w:lineRule="auto"/>
        <w:rPr>
          <w:rFonts w:cs="宋体"/>
          <w:color w:val="auto"/>
          <w:highlight w:val="none"/>
        </w:rPr>
      </w:pPr>
      <w:r>
        <w:rPr>
          <w:rFonts w:hint="eastAsia" w:cs="宋体"/>
          <w:color w:val="auto"/>
          <w:highlight w:val="none"/>
        </w:rPr>
        <w:t xml:space="preserve">②显示单元物理拼缝≤3.5mm，亮度达到500cd/㎡，图像显示清晰度≥950TVL，对比度达到1000：1。LCD显示单元具有视频输入接口：HDMI*1、DVI*1、USB*1，控制接口：RS232 IN * 1、RS232 OUT * 1。</w:t>
      </w:r>
      <w:r/>
    </w:p>
    <w:p>
      <w:pPr>
        <w:pStyle w:val="1300"/>
        <w:ind w:firstLine="480"/>
        <w:spacing w:before="0" w:line="360" w:lineRule="auto"/>
        <w:rPr>
          <w:rFonts w:cs="宋体"/>
          <w:color w:val="auto"/>
          <w:highlight w:val="none"/>
        </w:rPr>
      </w:pPr>
      <w:r>
        <w:rPr>
          <w:rFonts w:hint="eastAsia" w:cs="宋体"/>
          <w:color w:val="auto"/>
          <w:highlight w:val="none"/>
        </w:rPr>
        <w:t xml:space="preserve">③通过控制面板远程无线控制屏幕，控制距离最远可支持10米，控制角度范围可支持水平-80°至80°。支持进行显示单元开关机、亮度调节等操作。</w:t>
      </w:r>
      <w:r/>
    </w:p>
    <w:p>
      <w:pPr>
        <w:pStyle w:val="1300"/>
        <w:ind w:firstLine="480"/>
        <w:spacing w:before="0" w:line="360" w:lineRule="auto"/>
        <w:rPr>
          <w:rFonts w:cs="宋体"/>
          <w:color w:val="auto"/>
          <w:highlight w:val="none"/>
        </w:rPr>
      </w:pPr>
      <w:r>
        <w:rPr>
          <w:rFonts w:hint="eastAsia" w:cs="宋体"/>
          <w:color w:val="auto"/>
          <w:highlight w:val="none"/>
        </w:rPr>
        <w:t xml:space="preserve">④控制面板为86型开关面板。 </w:t>
      </w:r>
      <w:r/>
    </w:p>
    <w:p>
      <w:pPr>
        <w:pStyle w:val="1300"/>
        <w:ind w:firstLine="480"/>
        <w:spacing w:before="0" w:line="360" w:lineRule="auto"/>
        <w:rPr>
          <w:rFonts w:cs="宋体"/>
          <w:color w:val="auto"/>
          <w:highlight w:val="none"/>
        </w:rPr>
      </w:pPr>
      <w:r>
        <w:rPr>
          <w:rFonts w:hint="eastAsia" w:cs="宋体"/>
          <w:color w:val="auto"/>
          <w:highlight w:val="none"/>
        </w:rPr>
        <w:t xml:space="preserve">⑤▲可通过控制面板进行监控场景切换，最大可支持切换场景数为4个，场景切换时间≤2s，切换过程中无黑屏、闪屏现象。</w:t>
      </w:r>
      <w:r>
        <w:rPr>
          <w:rFonts w:hint="eastAsia" w:cs="宋体"/>
          <w:b/>
          <w:bCs/>
          <w:color w:val="auto"/>
          <w:highlight w:val="none"/>
        </w:rPr>
        <w:t xml:space="preserve">（</w:t>
      </w:r>
      <w:r>
        <w:rPr>
          <w:rFonts w:hint="eastAsia" w:cs="宋体"/>
          <w:b/>
          <w:bCs/>
          <w:color w:val="auto"/>
          <w:highlight w:val="none"/>
          <w:lang w:bidi="ar"/>
        </w:rPr>
        <w:t xml:space="preserve">提供国家</w:t>
      </w:r>
      <w:r>
        <w:rPr>
          <w:rFonts w:hint="eastAsia" w:cs="宋体"/>
          <w:b/>
          <w:bCs/>
          <w:color w:val="auto"/>
          <w:highlight w:val="none"/>
          <w:lang w:val="en-US" w:eastAsia="zh-CN" w:bidi="ar"/>
        </w:rPr>
        <w:t xml:space="preserve">认可</w:t>
      </w:r>
      <w:r>
        <w:rPr>
          <w:rFonts w:hint="eastAsia" w:cs="宋体"/>
          <w:b/>
          <w:bCs/>
          <w:color w:val="auto"/>
          <w:highlight w:val="none"/>
          <w:lang w:bidi="ar"/>
        </w:rPr>
        <w:t xml:space="preserve">的认证机构出具的处于有效期内的带CNAS或CMA标志检测报告并加盖供应商公章</w:t>
      </w:r>
      <w:r>
        <w:rPr>
          <w:rFonts w:hint="eastAsia" w:cs="宋体"/>
          <w:b/>
          <w:bCs/>
          <w:color w:val="auto"/>
          <w:highlight w:val="none"/>
        </w:rPr>
        <w:t xml:space="preserve">）</w:t>
      </w:r>
      <w:r>
        <w:rPr>
          <w:rFonts w:hint="eastAsia" w:cs="宋体"/>
          <w:color w:val="auto"/>
          <w:highlight w:val="none"/>
        </w:rPr>
        <w:t xml:space="preserve"> </w:t>
      </w:r>
      <w:r/>
    </w:p>
    <w:p>
      <w:pPr>
        <w:pStyle w:val="1300"/>
        <w:ind w:firstLine="480"/>
        <w:spacing w:before="0" w:line="360" w:lineRule="auto"/>
        <w:rPr>
          <w:rFonts w:cs="宋体"/>
          <w:color w:val="auto"/>
          <w:highlight w:val="none"/>
        </w:rPr>
      </w:pPr>
      <w:r>
        <w:rPr>
          <w:rFonts w:hint="eastAsia" w:cs="宋体"/>
          <w:color w:val="auto"/>
          <w:highlight w:val="none"/>
        </w:rPr>
        <w:t xml:space="preserve">⑥控制面板具有磁吸功能，可进行磁吸壁挂安装；底部带有防滑脚垫，可平放桌面使用。 </w:t>
      </w:r>
      <w:r/>
    </w:p>
    <w:p>
      <w:pPr>
        <w:pStyle w:val="1300"/>
        <w:ind w:firstLine="480"/>
        <w:spacing w:before="0" w:line="360" w:lineRule="auto"/>
        <w:rPr>
          <w:rFonts w:cs="宋体"/>
          <w:color w:val="auto"/>
          <w:highlight w:val="none"/>
        </w:rPr>
      </w:pPr>
      <w:r>
        <w:rPr>
          <w:rFonts w:hint="eastAsia" w:cs="宋体"/>
          <w:color w:val="auto"/>
          <w:highlight w:val="none"/>
        </w:rPr>
        <w:t xml:space="preserve">⑦▲支持信息交互功能，通过平台/客户端界面能够查看屏幕运维信息，包括使用时长、序列号、温度、亮度、显示模式，支持下发配置屏幕参数。</w:t>
      </w:r>
      <w:r>
        <w:rPr>
          <w:rFonts w:hint="eastAsia" w:cs="宋体"/>
          <w:b/>
          <w:bCs/>
          <w:color w:val="auto"/>
          <w:highlight w:val="none"/>
        </w:rPr>
        <w:t xml:space="preserve">（</w:t>
      </w:r>
      <w:r>
        <w:rPr>
          <w:rFonts w:hint="eastAsia" w:cs="宋体"/>
          <w:b/>
          <w:bCs/>
          <w:color w:val="auto"/>
          <w:highlight w:val="none"/>
          <w:lang w:bidi="ar"/>
        </w:rPr>
        <w:t xml:space="preserve">提供国家</w:t>
      </w:r>
      <w:r>
        <w:rPr>
          <w:rFonts w:hint="eastAsia" w:cs="宋体"/>
          <w:b/>
          <w:bCs/>
          <w:color w:val="auto"/>
          <w:highlight w:val="none"/>
          <w:lang w:val="en-US" w:eastAsia="zh-CN" w:bidi="ar"/>
        </w:rPr>
        <w:t xml:space="preserve">认可</w:t>
      </w:r>
      <w:r>
        <w:rPr>
          <w:rFonts w:hint="eastAsia" w:cs="宋体"/>
          <w:b/>
          <w:bCs/>
          <w:color w:val="auto"/>
          <w:highlight w:val="none"/>
          <w:lang w:bidi="ar"/>
        </w:rPr>
        <w:t xml:space="preserve">的认证机构出具的处于有效期内的带CNAS或CMA标志检测报告并加盖供应商公章</w:t>
      </w:r>
      <w:r>
        <w:rPr>
          <w:rFonts w:hint="eastAsia" w:cs="宋体"/>
          <w:b/>
          <w:bCs/>
          <w:color w:val="auto"/>
          <w:highlight w:val="none"/>
        </w:rPr>
        <w:t xml:space="preserve">）</w:t>
      </w:r>
      <w:r>
        <w:rPr>
          <w:rFonts w:hint="eastAsia" w:cs="宋体"/>
          <w:color w:val="auto"/>
          <w:highlight w:val="none"/>
        </w:rPr>
        <w:t xml:space="preserve"> </w:t>
      </w:r>
      <w:r/>
    </w:p>
    <w:p>
      <w:pPr>
        <w:pStyle w:val="1300"/>
        <w:ind w:firstLine="480"/>
        <w:spacing w:before="0" w:line="360" w:lineRule="auto"/>
        <w:rPr>
          <w:rFonts w:cs="宋体"/>
          <w:color w:val="auto"/>
          <w:highlight w:val="none"/>
        </w:rPr>
      </w:pPr>
      <w:r>
        <w:rPr>
          <w:rFonts w:hint="eastAsia" w:cs="宋体"/>
          <w:color w:val="auto"/>
          <w:highlight w:val="none"/>
        </w:rPr>
        <w:t xml:space="preserve">⑧▲支持通过自动识别屏幕的行列号信息，能根据行列号信息，自动生成对应的电视墙规模和绑定输出口关系，无需手动一对一设置输出口和LCD屏幕的对应关系。</w:t>
      </w:r>
      <w:r>
        <w:rPr>
          <w:rFonts w:hint="eastAsia" w:cs="宋体"/>
          <w:b/>
          <w:bCs/>
          <w:color w:val="auto"/>
          <w:highlight w:val="none"/>
        </w:rPr>
        <w:t xml:space="preserve">（</w:t>
      </w:r>
      <w:r>
        <w:rPr>
          <w:rFonts w:hint="eastAsia" w:cs="宋体"/>
          <w:b/>
          <w:bCs/>
          <w:color w:val="auto"/>
          <w:highlight w:val="none"/>
          <w:lang w:bidi="ar"/>
        </w:rPr>
        <w:t xml:space="preserve">提供国家</w:t>
      </w:r>
      <w:r>
        <w:rPr>
          <w:rFonts w:hint="eastAsia" w:cs="宋体"/>
          <w:b/>
          <w:bCs/>
          <w:color w:val="auto"/>
          <w:highlight w:val="none"/>
          <w:lang w:val="en-US" w:eastAsia="zh-CN" w:bidi="ar"/>
        </w:rPr>
        <w:t xml:space="preserve">认可</w:t>
      </w:r>
      <w:r>
        <w:rPr>
          <w:rFonts w:hint="eastAsia" w:cs="宋体"/>
          <w:b/>
          <w:bCs/>
          <w:color w:val="auto"/>
          <w:highlight w:val="none"/>
          <w:lang w:bidi="ar"/>
        </w:rPr>
        <w:t xml:space="preserve">的认证机构出具的处于有效期内的带CNAS或CMA标志检测报告并加盖供应商公章</w:t>
      </w:r>
      <w:r>
        <w:rPr>
          <w:rFonts w:hint="eastAsia" w:cs="宋体"/>
          <w:b/>
          <w:bCs/>
          <w:color w:val="auto"/>
          <w:highlight w:val="none"/>
        </w:rPr>
        <w:t xml:space="preserve">）</w:t>
      </w:r>
      <w:r>
        <w:rPr>
          <w:rFonts w:hint="eastAsia" w:cs="宋体"/>
          <w:color w:val="auto"/>
          <w:highlight w:val="none"/>
        </w:rPr>
        <w:t xml:space="preserve"> </w:t>
      </w:r>
      <w:r/>
    </w:p>
    <w:p>
      <w:pPr>
        <w:pStyle w:val="1300"/>
        <w:ind w:firstLine="480"/>
        <w:spacing w:before="0" w:line="360" w:lineRule="auto"/>
        <w:rPr>
          <w:rFonts w:cs="宋体"/>
          <w:color w:val="auto"/>
          <w:highlight w:val="none"/>
        </w:rPr>
      </w:pPr>
      <w:r>
        <w:rPr>
          <w:rFonts w:hint="eastAsia" w:cs="宋体"/>
          <w:color w:val="auto"/>
          <w:highlight w:val="none"/>
        </w:rPr>
        <w:t xml:space="preserve">⑨▲支持自动检测输入源的信号类型，根据信号源类型和显示位置，自动配置信号源所在屏幕的显示场景模式。</w:t>
      </w:r>
      <w:r>
        <w:rPr>
          <w:rFonts w:hint="eastAsia" w:cs="宋体"/>
          <w:b/>
          <w:bCs/>
          <w:color w:val="auto"/>
          <w:highlight w:val="none"/>
        </w:rPr>
        <w:t xml:space="preserve">（</w:t>
      </w:r>
      <w:r>
        <w:rPr>
          <w:rFonts w:hint="eastAsia" w:cs="宋体"/>
          <w:b/>
          <w:bCs/>
          <w:color w:val="auto"/>
          <w:highlight w:val="none"/>
          <w:lang w:bidi="ar"/>
        </w:rPr>
        <w:t xml:space="preserve">提供国家</w:t>
      </w:r>
      <w:r>
        <w:rPr>
          <w:rFonts w:hint="eastAsia" w:cs="宋体"/>
          <w:b/>
          <w:bCs/>
          <w:color w:val="auto"/>
          <w:highlight w:val="none"/>
          <w:lang w:val="en-US" w:eastAsia="zh-CN" w:bidi="ar"/>
        </w:rPr>
        <w:t xml:space="preserve">认可</w:t>
      </w:r>
      <w:r>
        <w:rPr>
          <w:rFonts w:hint="eastAsia" w:cs="宋体"/>
          <w:b/>
          <w:bCs/>
          <w:color w:val="auto"/>
          <w:highlight w:val="none"/>
          <w:lang w:bidi="ar"/>
        </w:rPr>
        <w:t xml:space="preserve">的认证机构出具的处于有效期内的带CNAS或CMA标志检测报告并加盖供应商公章</w:t>
      </w:r>
      <w:r>
        <w:rPr>
          <w:rFonts w:hint="eastAsia" w:cs="宋体"/>
          <w:b/>
          <w:bCs/>
          <w:color w:val="auto"/>
          <w:highlight w:val="none"/>
        </w:rPr>
        <w:t xml:space="preserve">）</w:t>
      </w:r>
      <w:r>
        <w:rPr>
          <w:rFonts w:hint="eastAsia" w:cs="宋体"/>
          <w:color w:val="auto"/>
          <w:highlight w:val="none"/>
        </w:rPr>
        <w:t xml:space="preserve"> </w:t>
      </w:r>
      <w:r/>
    </w:p>
    <w:p>
      <w:pPr>
        <w:pStyle w:val="1300"/>
        <w:ind w:firstLine="480"/>
        <w:spacing w:before="0" w:line="360" w:lineRule="auto"/>
        <w:rPr>
          <w:rFonts w:cs="宋体"/>
          <w:color w:val="auto"/>
          <w:highlight w:val="none"/>
        </w:rPr>
      </w:pPr>
      <w:r>
        <w:rPr>
          <w:rFonts w:hint="eastAsia" w:cs="宋体"/>
          <w:color w:val="auto"/>
          <w:highlight w:val="none"/>
        </w:rPr>
        <w:t xml:space="preserve">⑩支持远程开关机控制，支持拼接墙整墙的开关机、定时开关机操作。 </w:t>
      </w:r>
      <w:r/>
    </w:p>
    <w:p>
      <w:pPr>
        <w:pStyle w:val="1300"/>
        <w:ind w:firstLine="480"/>
        <w:spacing w:before="0" w:line="360" w:lineRule="auto"/>
        <w:rPr>
          <w:rFonts w:cs="宋体"/>
          <w:color w:val="auto"/>
          <w:highlight w:val="none"/>
        </w:rPr>
      </w:pPr>
      <w:r>
        <w:rPr>
          <w:rFonts w:hint="eastAsia" w:cs="宋体"/>
          <w:color w:val="auto"/>
          <w:highlight w:val="none"/>
        </w:rPr>
        <w:t xml:space="preserve">⑪显示单元支持U盘自动播放功能，开启状态下，自动读取U盘中的视频、图片或文本资源并播放，视频间衔接时长≤30ms。</w:t>
      </w:r>
      <w:r/>
    </w:p>
    <w:p>
      <w:pPr>
        <w:pStyle w:val="1300"/>
        <w:ind w:firstLine="480"/>
        <w:spacing w:before="0" w:line="360" w:lineRule="auto"/>
        <w:rPr>
          <w:rFonts w:cs="宋体"/>
          <w:color w:val="auto"/>
          <w:highlight w:val="none"/>
        </w:rPr>
      </w:pPr>
      <w:r>
        <w:rPr>
          <w:rFonts w:hint="eastAsia" w:cs="宋体"/>
          <w:color w:val="auto"/>
          <w:highlight w:val="none"/>
        </w:rPr>
        <w:t xml:space="preserve">⑫支持高低温环境工作，在0℃±2℃环境中，带电正常工作放置168小时，试验过程中能正常工作，外观无明显损伤；在50℃±2℃环境中，带电正常放置168小时，试验过程中能正常工作，外观无明显损伤。</w:t>
      </w:r>
      <w:r/>
    </w:p>
    <w:p>
      <w:pPr>
        <w:pStyle w:val="1300"/>
        <w:ind w:firstLine="480"/>
        <w:spacing w:before="0" w:line="360" w:lineRule="auto"/>
        <w:rPr>
          <w:rFonts w:cs="宋体"/>
          <w:color w:val="auto"/>
          <w:highlight w:val="none"/>
        </w:rPr>
      </w:pPr>
      <w:r>
        <w:rPr>
          <w:rFonts w:hint="eastAsia" w:cs="宋体"/>
          <w:color w:val="auto"/>
          <w:highlight w:val="none"/>
        </w:rPr>
        <w:t xml:space="preserve">⑬设备支持节能模式，打开节能模式后，对应拼接单元上会依次显示实时百分比功率、实时功率、累计功率等直观显示项目；拼接屏正常运行的平均功耗最高可以降低60%。</w:t>
      </w:r>
      <w:r/>
    </w:p>
    <w:p>
      <w:pPr>
        <w:pStyle w:val="1300"/>
        <w:ind w:firstLine="480"/>
        <w:spacing w:before="0" w:line="360" w:lineRule="auto"/>
        <w:rPr>
          <w:rFonts w:cs="宋体"/>
          <w:color w:val="auto"/>
          <w:highlight w:val="none"/>
        </w:rPr>
      </w:pPr>
      <w:r>
        <w:rPr>
          <w:rFonts w:hint="eastAsia" w:cs="宋体"/>
          <w:color w:val="auto"/>
          <w:highlight w:val="none"/>
        </w:rPr>
        <w:t xml:space="preserve">⑭拼接显示单元具有信号自动检测功能，当有新信号输入时，自动转到相应信源；当前接入的信号接口无信号输入时，可自动切换到其他有信号输入的接口。</w:t>
      </w:r>
      <w:r/>
    </w:p>
    <w:p>
      <w:pPr>
        <w:pStyle w:val="1300"/>
        <w:ind w:firstLine="480"/>
        <w:spacing w:before="0" w:line="360" w:lineRule="auto"/>
        <w:rPr>
          <w:rFonts w:cs="宋体"/>
          <w:color w:val="auto"/>
          <w:highlight w:val="none"/>
        </w:rPr>
      </w:pPr>
      <w:r>
        <w:rPr>
          <w:rFonts w:hint="eastAsia" w:cs="宋体"/>
          <w:color w:val="auto"/>
          <w:highlight w:val="none"/>
        </w:rPr>
        <w:t xml:space="preserve">⑮可通过客户端或菜单设置屏幕ID，ID属性包含行、列，实现自动分配ID。</w:t>
      </w:r>
      <w:r/>
    </w:p>
    <w:p>
      <w:pPr>
        <w:pStyle w:val="1300"/>
        <w:ind w:firstLine="480"/>
        <w:spacing w:before="0" w:line="360" w:lineRule="auto"/>
        <w:rPr>
          <w:rFonts w:cs="宋体"/>
          <w:color w:val="auto"/>
          <w:highlight w:val="none"/>
        </w:rPr>
      </w:pPr>
      <w:r>
        <w:rPr>
          <w:rFonts w:hint="eastAsia" w:cs="宋体"/>
          <w:color w:val="auto"/>
          <w:highlight w:val="none"/>
        </w:rPr>
        <w:t xml:space="preserve">⑯屏幕支持防灼烧功能，能够有效改善长时间显示静态画面时造成的残影现象。</w:t>
      </w:r>
      <w:r/>
    </w:p>
    <w:p>
      <w:pPr>
        <w:numPr>
          <w:ilvl w:val="255"/>
          <w:numId w:val="0"/>
        </w:numPr>
        <w:contextualSpacing/>
        <w:ind w:firstLine="482"/>
        <w:jc w:val="left"/>
        <w:spacing w:line="360" w:lineRule="auto"/>
        <w:rPr>
          <w:rFonts w:ascii="宋体" w:hAnsi="宋体" w:cs="宋体"/>
          <w:color w:val="auto"/>
          <w:sz w:val="24"/>
          <w:highlight w:val="none"/>
          <w:lang w:bidi="ar"/>
        </w:rPr>
      </w:pPr>
      <w:r>
        <w:rPr>
          <w:rFonts w:hint="eastAsia" w:ascii="宋体" w:hAnsi="宋体" w:cs="宋体"/>
          <w:b/>
          <w:bCs/>
          <w:color w:val="auto"/>
          <w:sz w:val="24"/>
          <w:highlight w:val="none"/>
          <w:lang w:bidi="ar"/>
        </w:rPr>
        <w:t xml:space="preserve">（2）配套模块化支撑配套载体15套</w:t>
      </w:r>
      <w:r/>
    </w:p>
    <w:p>
      <w:pPr>
        <w:pStyle w:val="1300"/>
        <w:ind w:firstLine="480"/>
        <w:spacing w:before="0" w:line="360" w:lineRule="auto"/>
        <w:rPr>
          <w:rFonts w:cs="宋体"/>
          <w:color w:val="auto"/>
          <w:highlight w:val="none"/>
        </w:rPr>
      </w:pPr>
      <w:r>
        <w:rPr>
          <w:rFonts w:hint="eastAsia" w:cs="宋体"/>
          <w:color w:val="auto"/>
          <w:highlight w:val="none"/>
        </w:rPr>
        <w:t xml:space="preserve">①49英寸-新型模块化框架,支持5行以内规模拼接,快速安装,可标配物料,支持现场扩容。</w:t>
      </w:r>
      <w:r/>
    </w:p>
    <w:p>
      <w:pPr>
        <w:pStyle w:val="1300"/>
        <w:ind w:firstLine="480"/>
        <w:spacing w:before="0" w:line="360" w:lineRule="auto"/>
        <w:rPr>
          <w:rFonts w:cs="宋体"/>
          <w:color w:val="auto"/>
          <w:highlight w:val="none"/>
        </w:rPr>
      </w:pPr>
      <w:r>
        <w:rPr>
          <w:rFonts w:hint="eastAsia" w:cs="宋体"/>
          <w:color w:val="auto"/>
          <w:highlight w:val="none"/>
        </w:rPr>
        <w:t xml:space="preserve">②产品配置：前封板后留空；含侧封板、顶盖板。</w:t>
      </w:r>
      <w:r/>
    </w:p>
    <w:p>
      <w:pPr>
        <w:pStyle w:val="1300"/>
        <w:ind w:firstLine="480"/>
        <w:spacing w:before="0" w:line="360" w:lineRule="auto"/>
        <w:rPr>
          <w:rFonts w:cs="宋体"/>
          <w:color w:val="auto"/>
          <w:highlight w:val="none"/>
        </w:rPr>
      </w:pPr>
      <w:r>
        <w:rPr>
          <w:rFonts w:hint="eastAsia" w:cs="宋体"/>
          <w:color w:val="auto"/>
          <w:highlight w:val="none"/>
        </w:rPr>
        <w:t xml:space="preserve">③配置范围：</w:t>
      </w:r>
      <w:r/>
    </w:p>
    <w:p>
      <w:pPr>
        <w:pStyle w:val="1300"/>
        <w:ind w:firstLine="480"/>
        <w:spacing w:before="0" w:line="360" w:lineRule="auto"/>
        <w:rPr>
          <w:rFonts w:cs="宋体"/>
          <w:color w:val="auto"/>
          <w:highlight w:val="none"/>
        </w:rPr>
      </w:pPr>
      <w:r>
        <w:rPr>
          <w:rFonts w:hint="eastAsia" w:cs="宋体"/>
          <w:color w:val="auto"/>
          <w:highlight w:val="none"/>
        </w:rPr>
        <w:t xml:space="preserve">800mm≤底座高度≤1200mm；600mm≤后拉杆长度≤1800mm。</w:t>
      </w:r>
      <w:r/>
    </w:p>
    <w:p>
      <w:pPr>
        <w:pStyle w:val="1300"/>
        <w:ind w:firstLine="480"/>
        <w:spacing w:before="0" w:line="360" w:lineRule="auto"/>
        <w:rPr>
          <w:rFonts w:cs="宋体"/>
          <w:color w:val="auto"/>
          <w:highlight w:val="none"/>
        </w:rPr>
      </w:pPr>
      <w:r>
        <w:rPr>
          <w:rFonts w:hint="eastAsia" w:cs="宋体"/>
          <w:color w:val="auto"/>
          <w:highlight w:val="none"/>
        </w:rPr>
        <w:t xml:space="preserve">若有其他定制项走支架定制流程。 </w:t>
      </w:r>
      <w:r/>
    </w:p>
    <w:p>
      <w:pPr>
        <w:pStyle w:val="1300"/>
        <w:ind w:firstLine="480"/>
        <w:spacing w:before="0" w:line="360" w:lineRule="auto"/>
        <w:rPr>
          <w:rFonts w:cs="宋体"/>
          <w:color w:val="auto"/>
          <w:highlight w:val="none"/>
        </w:rPr>
      </w:pPr>
      <w:r>
        <w:rPr>
          <w:rFonts w:hint="eastAsia" w:cs="宋体"/>
          <w:color w:val="auto"/>
          <w:highlight w:val="none"/>
        </w:rPr>
        <w:t xml:space="preserve">材质：优质冷轧钢板(SPCC)，材料厚度从T1.0-T5不等。</w:t>
      </w:r>
      <w:r/>
    </w:p>
    <w:p>
      <w:pPr>
        <w:pStyle w:val="1300"/>
        <w:ind w:firstLine="480"/>
        <w:spacing w:before="0" w:line="360" w:lineRule="auto"/>
        <w:rPr>
          <w:rFonts w:cs="宋体"/>
          <w:color w:val="auto"/>
          <w:highlight w:val="none"/>
        </w:rPr>
      </w:pPr>
      <w:r>
        <w:rPr>
          <w:rFonts w:hint="eastAsia" w:cs="宋体"/>
          <w:color w:val="auto"/>
          <w:highlight w:val="none"/>
        </w:rPr>
        <w:t xml:space="preserve">备注说明：后墙为承重墙，且墙面平整。</w:t>
      </w:r>
      <w:r/>
    </w:p>
    <w:p>
      <w:pPr>
        <w:numPr>
          <w:ilvl w:val="255"/>
          <w:numId w:val="0"/>
        </w:numPr>
        <w:contextualSpacing/>
        <w:ind w:firstLine="482"/>
        <w:jc w:val="left"/>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（3）配备解码器（16路）1台</w:t>
      </w:r>
      <w:r/>
    </w:p>
    <w:p>
      <w:pPr>
        <w:pStyle w:val="1300"/>
        <w:ind w:firstLine="480"/>
        <w:spacing w:before="0" w:line="360" w:lineRule="auto"/>
        <w:rPr>
          <w:rFonts w:cs="宋体"/>
          <w:color w:val="auto"/>
          <w:highlight w:val="none"/>
        </w:rPr>
      </w:pPr>
      <w:r>
        <w:rPr>
          <w:rFonts w:hint="eastAsia" w:cs="宋体"/>
          <w:color w:val="auto"/>
          <w:highlight w:val="none"/>
        </w:rPr>
        <w:t xml:space="preserve">①19"标准3U机架设计，ATCA电信级架构。</w:t>
      </w:r>
      <w:r/>
    </w:p>
    <w:p>
      <w:pPr>
        <w:pStyle w:val="1300"/>
        <w:ind w:firstLine="480"/>
        <w:spacing w:before="0" w:line="360" w:lineRule="auto"/>
        <w:rPr>
          <w:rFonts w:cs="宋体"/>
          <w:color w:val="auto"/>
          <w:highlight w:val="none"/>
        </w:rPr>
      </w:pPr>
      <w:r>
        <w:rPr>
          <w:rFonts w:hint="eastAsia" w:cs="宋体"/>
          <w:color w:val="auto"/>
          <w:highlight w:val="none"/>
        </w:rPr>
        <w:t xml:space="preserve">②支持16路HDMI输出（8路HDMI2.0、8路HDMI1.3），最大支持8路4K@60Hz和8路1080p@60Hz输出。</w:t>
      </w:r>
      <w:r/>
    </w:p>
    <w:p>
      <w:pPr>
        <w:pStyle w:val="1300"/>
        <w:ind w:firstLine="480"/>
        <w:spacing w:before="0" w:line="360" w:lineRule="auto"/>
        <w:rPr>
          <w:rFonts w:cs="宋体"/>
          <w:color w:val="auto"/>
          <w:highlight w:val="none"/>
        </w:rPr>
      </w:pPr>
      <w:r>
        <w:rPr>
          <w:rFonts w:hint="eastAsia" w:cs="宋体"/>
          <w:color w:val="auto"/>
          <w:highlight w:val="none"/>
        </w:rPr>
        <w:t xml:space="preserve">③嵌入式Linux操作系统，安全可靠、稳定高效，便于开发和维护。</w:t>
      </w:r>
      <w:r/>
    </w:p>
    <w:p>
      <w:pPr>
        <w:pStyle w:val="1300"/>
        <w:ind w:firstLine="480"/>
        <w:spacing w:before="0" w:line="360" w:lineRule="auto"/>
        <w:rPr>
          <w:rFonts w:cs="宋体"/>
          <w:color w:val="auto"/>
          <w:highlight w:val="none"/>
        </w:rPr>
      </w:pPr>
      <w:r>
        <w:rPr>
          <w:rFonts w:hint="eastAsia" w:cs="宋体"/>
          <w:color w:val="auto"/>
          <w:highlight w:val="none"/>
        </w:rPr>
        <w:t xml:space="preserve">④支持H.26</w:t>
      </w:r>
      <w:r>
        <w:rPr>
          <w:rFonts w:hint="eastAsia" w:cs="宋体"/>
          <w:color w:val="auto"/>
          <w:highlight w:val="none"/>
        </w:rPr>
        <w:t xml:space="preserve">4/H.265视频编码，支持双码流和可变码流，支持复合流和视频流编码。支持H.264/H.265视频解码，支持192路1080p@25fps高清视频解码能力。支持32MP/16MP/12MP/8MP/5MP/3MP/1080p/720p/D1/HD1/2CIF/CIF/QCIF视频解码。支持H.265/H.264/SVAC/MPEG4/MJPEG视频格式解码。支持本地信号/网络信号的输入和矩阵输出。支持信号多路复制，同一个信号最多支持复制32路。支持web浏览器、PC客户端、移动客户端、网络键盘等进行控制。</w:t>
      </w:r>
      <w:r/>
    </w:p>
    <w:p>
      <w:pPr>
        <w:pStyle w:val="1300"/>
        <w:ind w:firstLine="480"/>
        <w:spacing w:before="0" w:line="360" w:lineRule="auto"/>
        <w:rPr>
          <w:rFonts w:cs="宋体"/>
          <w:color w:val="auto"/>
          <w:highlight w:val="none"/>
        </w:rPr>
      </w:pPr>
      <w:r>
        <w:rPr>
          <w:rFonts w:hint="eastAsia" w:cs="宋体"/>
          <w:color w:val="auto"/>
          <w:highlight w:val="none"/>
        </w:rPr>
        <w:t xml:space="preserve">⑤支持拼接缩放/视频融合/漫游/开窗/层叠。支持1/4/6/8/9/16/25/36画面分割显示，支持自由分割。支持≥128个场景预设，用户可以自定义每个场景电视墙布局。支持点对点高清底图显示。支持字幕叠加功能，支持在单屏、拼接屏上虚拟出一段字符显示。支持2个RJ45网络接口，支持容错，单网卡，链路聚合，负载均衡模式设置。</w:t>
      </w:r>
      <w:r/>
    </w:p>
    <w:p>
      <w:pPr>
        <w:pStyle w:val="1300"/>
        <w:ind w:firstLine="480"/>
        <w:spacing w:before="0" w:line="360" w:lineRule="auto"/>
        <w:rPr>
          <w:rFonts w:cs="宋体"/>
          <w:color w:val="auto"/>
          <w:highlight w:val="none"/>
        </w:rPr>
      </w:pPr>
      <w:r>
        <w:rPr>
          <w:rFonts w:hint="eastAsia" w:cs="宋体"/>
          <w:color w:val="auto"/>
          <w:highlight w:val="none"/>
        </w:rPr>
        <w:t xml:space="preserve">⑥整机支持不少于8个HDMI2.1输出接口，支持输出分辨率为7680×4320，刷新率为60Hz的视频图像。</w:t>
      </w:r>
      <w:r>
        <w:rPr>
          <w:rFonts w:hint="eastAsia" w:cs="宋体"/>
          <w:b/>
          <w:bCs/>
          <w:color w:val="auto"/>
          <w:highlight w:val="none"/>
        </w:rPr>
        <w:t xml:space="preserve"> </w:t>
      </w:r>
      <w:r/>
    </w:p>
    <w:p>
      <w:pPr>
        <w:pStyle w:val="1300"/>
        <w:ind w:firstLine="480"/>
        <w:spacing w:before="0" w:line="360" w:lineRule="auto"/>
        <w:rPr>
          <w:rFonts w:cs="宋体"/>
          <w:color w:val="auto"/>
          <w:highlight w:val="none"/>
        </w:rPr>
      </w:pPr>
      <w:r>
        <w:rPr>
          <w:rFonts w:hint="eastAsia" w:cs="宋体"/>
          <w:color w:val="auto"/>
          <w:highlight w:val="none"/>
        </w:rPr>
        <w:t xml:space="preserve">⑦解码卡接口： </w:t>
      </w:r>
      <w:r/>
    </w:p>
    <w:p>
      <w:pPr>
        <w:pStyle w:val="1300"/>
        <w:ind w:firstLine="480"/>
        <w:spacing w:before="0" w:line="360" w:lineRule="auto"/>
        <w:rPr>
          <w:rFonts w:cs="宋体"/>
          <w:color w:val="auto"/>
          <w:highlight w:val="none"/>
        </w:rPr>
      </w:pPr>
      <w:r>
        <w:rPr>
          <w:rFonts w:hint="eastAsia" w:cs="宋体"/>
          <w:color w:val="auto"/>
          <w:highlight w:val="none"/>
        </w:rPr>
        <w:t xml:space="preserve">具有不少于4个HDMI输出接口、1个Type-C接口及对应接口指示灯； </w:t>
      </w:r>
      <w:r/>
    </w:p>
    <w:p>
      <w:pPr>
        <w:pStyle w:val="1300"/>
        <w:ind w:firstLine="480"/>
        <w:spacing w:before="0" w:line="360" w:lineRule="auto"/>
        <w:rPr>
          <w:rFonts w:cs="宋体"/>
          <w:color w:val="auto"/>
          <w:highlight w:val="none"/>
        </w:rPr>
      </w:pPr>
      <w:r>
        <w:rPr>
          <w:rFonts w:hint="eastAsia" w:cs="宋体"/>
          <w:color w:val="auto"/>
          <w:highlight w:val="none"/>
        </w:rPr>
        <w:t xml:space="preserve">HDMI 接口支持4096×2160@60Hz（HDMI前两个口支持）、3840×2160@60Hz（HDMI前两个口支持）、3840×2160@30Hz（HDMI前两个口支持）、2048×1152@60Hz（HDMI前两个口支持）、1920×1200@60Hz（HDMI前两个口支持）、1920×1080@60Hz、1280×1024@60Hz、1280×720@60Hz、1024×768@60Hz分辨率信号输出； </w:t>
      </w:r>
      <w:r/>
    </w:p>
    <w:p>
      <w:pPr>
        <w:pStyle w:val="1300"/>
        <w:ind w:firstLine="480"/>
        <w:spacing w:before="0" w:line="360" w:lineRule="auto"/>
        <w:rPr>
          <w:rFonts w:cs="宋体"/>
          <w:color w:val="auto"/>
          <w:highlight w:val="none"/>
        </w:rPr>
      </w:pPr>
      <w:r>
        <w:rPr>
          <w:rFonts w:hint="eastAsia" w:cs="宋体"/>
          <w:color w:val="auto"/>
          <w:highlight w:val="none"/>
        </w:rPr>
        <w:t xml:space="preserve">支持自定义分辨率输出，自定义分辨率的像素≥4096×2160。</w:t>
      </w:r>
      <w:r/>
    </w:p>
    <w:p>
      <w:pPr>
        <w:pStyle w:val="1300"/>
        <w:ind w:firstLine="480"/>
        <w:spacing w:before="0" w:line="360" w:lineRule="auto"/>
        <w:rPr>
          <w:rFonts w:cs="宋体"/>
          <w:color w:val="auto"/>
          <w:highlight w:val="none"/>
        </w:rPr>
      </w:pPr>
      <w:r>
        <w:rPr>
          <w:rFonts w:hint="eastAsia" w:cs="宋体"/>
          <w:color w:val="auto"/>
          <w:highlight w:val="none"/>
        </w:rPr>
        <w:t xml:space="preserve">⑧主控接口：</w:t>
      </w:r>
      <w:r/>
    </w:p>
    <w:p>
      <w:pPr>
        <w:pStyle w:val="1300"/>
        <w:ind w:firstLine="480"/>
        <w:spacing w:before="0" w:line="360" w:lineRule="auto"/>
        <w:rPr>
          <w:rFonts w:cs="宋体"/>
          <w:color w:val="auto"/>
          <w:highlight w:val="none"/>
        </w:rPr>
      </w:pPr>
      <w:r>
        <w:rPr>
          <w:rFonts w:hint="eastAsia" w:cs="宋体"/>
          <w:color w:val="auto"/>
          <w:highlight w:val="none"/>
        </w:rPr>
        <w:t xml:space="preserve">具有4个HDMI输出接口、2个USB3.0接口、1个3.5mm音频输出接口、3个状态灯、4个串行接口（2个RS232、1个485、1个Type-C）、2 路报警输入接口、1路报警输出接口、1个报警清除按钮、1个RESET 按钮； </w:t>
      </w:r>
      <w:r/>
    </w:p>
    <w:p>
      <w:pPr>
        <w:pStyle w:val="1300"/>
        <w:ind w:firstLine="480"/>
        <w:spacing w:before="0" w:line="360" w:lineRule="auto"/>
        <w:rPr>
          <w:rFonts w:cs="宋体"/>
          <w:color w:val="auto"/>
          <w:highlight w:val="none"/>
        </w:rPr>
      </w:pPr>
      <w:r>
        <w:rPr>
          <w:rFonts w:hint="eastAsia" w:cs="宋体"/>
          <w:color w:val="auto"/>
          <w:highlight w:val="none"/>
        </w:rPr>
        <w:t xml:space="preserve">具有2个10M/100M/1000M自适应RJ45网口。 </w:t>
      </w:r>
      <w:r/>
    </w:p>
    <w:p>
      <w:pPr>
        <w:pStyle w:val="1300"/>
        <w:ind w:firstLine="480"/>
        <w:spacing w:before="0" w:line="360" w:lineRule="auto"/>
        <w:rPr>
          <w:rFonts w:cs="宋体"/>
          <w:color w:val="auto"/>
          <w:highlight w:val="none"/>
        </w:rPr>
      </w:pPr>
      <w:r>
        <w:rPr>
          <w:rFonts w:hint="eastAsia" w:cs="宋体"/>
          <w:color w:val="auto"/>
          <w:highlight w:val="none"/>
        </w:rPr>
        <w:t xml:space="preserve">⑨▲内置符合国密SM1/SM2/SM3/SM4算法的密码芯片。</w:t>
      </w:r>
      <w:r>
        <w:rPr>
          <w:rFonts w:hint="eastAsia" w:cs="宋体"/>
          <w:b/>
          <w:bCs/>
          <w:color w:val="auto"/>
          <w:highlight w:val="none"/>
        </w:rPr>
        <w:t xml:space="preserve">（</w:t>
      </w:r>
      <w:r>
        <w:rPr>
          <w:rFonts w:hint="eastAsia" w:cs="宋体"/>
          <w:b/>
          <w:bCs/>
          <w:color w:val="auto"/>
          <w:highlight w:val="none"/>
          <w:lang w:bidi="ar"/>
        </w:rPr>
        <w:t xml:space="preserve">提供国家</w:t>
      </w:r>
      <w:r>
        <w:rPr>
          <w:rFonts w:hint="eastAsia" w:cs="宋体"/>
          <w:b/>
          <w:bCs/>
          <w:color w:val="auto"/>
          <w:highlight w:val="none"/>
          <w:lang w:val="en-US" w:eastAsia="zh-CN" w:bidi="ar"/>
        </w:rPr>
        <w:t xml:space="preserve">认可</w:t>
      </w:r>
      <w:r>
        <w:rPr>
          <w:rFonts w:hint="eastAsia" w:cs="宋体"/>
          <w:b/>
          <w:bCs/>
          <w:color w:val="auto"/>
          <w:highlight w:val="none"/>
          <w:lang w:bidi="ar"/>
        </w:rPr>
        <w:t xml:space="preserve">的认证机构出具的处于有效期内的带CNAS或CMA标志检测报告并加盖供应商公章</w:t>
      </w:r>
      <w:r>
        <w:rPr>
          <w:rFonts w:hint="eastAsia" w:cs="宋体"/>
          <w:b/>
          <w:bCs/>
          <w:color w:val="auto"/>
          <w:highlight w:val="none"/>
        </w:rPr>
        <w:t xml:space="preserve">） </w:t>
      </w:r>
      <w:r>
        <w:rPr>
          <w:rFonts w:hint="eastAsia" w:cs="宋体"/>
          <w:color w:val="auto"/>
          <w:highlight w:val="none"/>
        </w:rPr>
        <w:t xml:space="preserve"> </w:t>
      </w:r>
      <w:r/>
    </w:p>
    <w:p>
      <w:pPr>
        <w:pStyle w:val="1300"/>
        <w:ind w:firstLine="480"/>
        <w:spacing w:before="0" w:line="360" w:lineRule="auto"/>
        <w:rPr>
          <w:rFonts w:cs="宋体"/>
          <w:color w:val="auto"/>
          <w:highlight w:val="none"/>
        </w:rPr>
      </w:pPr>
      <w:r>
        <w:rPr>
          <w:rFonts w:hint="eastAsia" w:cs="宋体"/>
          <w:color w:val="auto"/>
          <w:highlight w:val="none"/>
        </w:rPr>
        <w:t xml:space="preserve">⑩支持TCP/IP协议，支持RTP/RTSP/RTCP/TCP/UDP/DHCP等网络协议。支持远程控制本地、网络视频切换上墙。支持远程重启、远程升级和恢复默认设置等操作。支持用户权限管理，支持白名单功能。</w:t>
      </w:r>
      <w:r/>
    </w:p>
    <w:p>
      <w:pPr>
        <w:numPr>
          <w:ilvl w:val="255"/>
          <w:numId w:val="0"/>
        </w:numPr>
        <w:contextualSpacing/>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bidi="ar"/>
        </w:rPr>
        <w:t xml:space="preserve">2.2 </w:t>
      </w:r>
      <w:r>
        <w:rPr>
          <w:rFonts w:ascii="宋体" w:hAnsi="宋体" w:cs="宋体"/>
          <w:b/>
          <w:bCs/>
          <w:color w:val="auto"/>
          <w:sz w:val="24"/>
          <w:highlight w:val="none"/>
          <w:lang w:bidi="ar"/>
        </w:rPr>
        <w:t xml:space="preserve">55寸2</w:t>
      </w:r>
      <w:r>
        <w:rPr>
          <w:rFonts w:hint="eastAsia" w:ascii="宋体" w:hAnsi="宋体" w:cs="宋体"/>
          <w:b/>
          <w:bCs/>
          <w:color w:val="auto"/>
          <w:sz w:val="24"/>
          <w:highlight w:val="none"/>
        </w:rPr>
        <w:t xml:space="preserve">*</w:t>
      </w:r>
      <w:r>
        <w:rPr>
          <w:rFonts w:ascii="宋体" w:hAnsi="宋体" w:cs="宋体"/>
          <w:b/>
          <w:bCs/>
          <w:color w:val="auto"/>
          <w:sz w:val="24"/>
          <w:highlight w:val="none"/>
          <w:lang w:bidi="ar"/>
        </w:rPr>
        <w:t xml:space="preserve">2可视化调度配套载体布设服务</w:t>
      </w:r>
      <w:bookmarkStart w:id="642" w:name="_Toc68"/>
      <w:r/>
      <w:bookmarkStart w:id="643" w:name="_Toc14008"/>
      <w:r/>
      <w:r/>
    </w:p>
    <w:p>
      <w:pPr>
        <w:numPr>
          <w:ilvl w:val="255"/>
          <w:numId w:val="0"/>
        </w:numPr>
        <w:contextualSpacing/>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（1）配套4块55寸可视化显示配套载体</w:t>
      </w:r>
      <w:bookmarkEnd w:id="642"/>
      <w:r/>
      <w:bookmarkEnd w:id="643"/>
      <w:r/>
      <w:r/>
    </w:p>
    <w:p>
      <w:pPr>
        <w:pStyle w:val="1300"/>
        <w:ind w:firstLine="480"/>
        <w:spacing w:before="0" w:line="360" w:lineRule="auto"/>
        <w:rPr>
          <w:rFonts w:cs="宋体"/>
          <w:color w:val="auto"/>
          <w:highlight w:val="none"/>
        </w:rPr>
      </w:pPr>
      <w:r>
        <w:rPr>
          <w:rFonts w:hint="eastAsia" w:cs="宋体"/>
          <w:color w:val="auto"/>
          <w:highlight w:val="none"/>
        </w:rPr>
        <w:t xml:space="preserve">①显示单元为：55英寸超窄边；物理分辨率≥1920×1080，响应时间≤8ms。</w:t>
      </w:r>
      <w:r/>
    </w:p>
    <w:p>
      <w:pPr>
        <w:pStyle w:val="1300"/>
        <w:ind w:firstLine="480"/>
        <w:spacing w:before="0" w:line="360" w:lineRule="auto"/>
        <w:rPr>
          <w:rFonts w:cs="宋体"/>
          <w:color w:val="auto"/>
          <w:highlight w:val="none"/>
        </w:rPr>
      </w:pPr>
      <w:r>
        <w:rPr>
          <w:rFonts w:hint="eastAsia" w:cs="宋体"/>
          <w:color w:val="auto"/>
          <w:highlight w:val="none"/>
        </w:rPr>
        <w:t xml:space="preserve">②显示单元物理拼缝≤3.5mm，亮度达到500cd/㎡，图像显示清晰度≥950TVL，对比度达到1000：1。LCD显示单元具有视频输入接口：HDMI*1、DVI*1、USB*1，控制接口：RS232 IN * 1、RS232 OUT * 1。 </w:t>
      </w:r>
      <w:r/>
    </w:p>
    <w:p>
      <w:pPr>
        <w:pStyle w:val="1300"/>
        <w:ind w:firstLine="480"/>
        <w:spacing w:before="0" w:line="360" w:lineRule="auto"/>
        <w:rPr>
          <w:rFonts w:cs="宋体"/>
          <w:color w:val="auto"/>
          <w:highlight w:val="none"/>
        </w:rPr>
      </w:pPr>
      <w:r>
        <w:rPr>
          <w:rFonts w:hint="eastAsia" w:cs="宋体"/>
          <w:color w:val="auto"/>
          <w:highlight w:val="none"/>
        </w:rPr>
        <w:t xml:space="preserve">③通过控制面板远程无线控制屏幕，控制距离最远可支持10米，控制角度范围可支持水平-80°至80°。支持进行显示单元开关机、亮度调节等操作。</w:t>
      </w:r>
      <w:r/>
    </w:p>
    <w:p>
      <w:pPr>
        <w:pStyle w:val="1300"/>
        <w:ind w:firstLine="480"/>
        <w:spacing w:before="0" w:line="360" w:lineRule="auto"/>
        <w:rPr>
          <w:rFonts w:cs="宋体"/>
          <w:color w:val="auto"/>
          <w:highlight w:val="none"/>
        </w:rPr>
      </w:pPr>
      <w:r>
        <w:rPr>
          <w:rFonts w:hint="eastAsia" w:cs="宋体"/>
          <w:color w:val="auto"/>
          <w:highlight w:val="none"/>
        </w:rPr>
        <w:t xml:space="preserve">④控制面板为86型开关面板。 </w:t>
      </w:r>
      <w:r/>
    </w:p>
    <w:p>
      <w:pPr>
        <w:pStyle w:val="1300"/>
        <w:ind w:firstLine="480"/>
        <w:spacing w:before="0" w:line="360" w:lineRule="auto"/>
        <w:rPr>
          <w:rFonts w:cs="宋体"/>
          <w:color w:val="auto"/>
          <w:highlight w:val="none"/>
        </w:rPr>
      </w:pPr>
      <w:r>
        <w:rPr>
          <w:rFonts w:hint="eastAsia" w:cs="宋体"/>
          <w:color w:val="auto"/>
          <w:highlight w:val="none"/>
        </w:rPr>
        <w:t xml:space="preserve">⑤▲可通过控制面板进行监控场景切换，最大可支持切换场景数为4个，场景切换时间≤2s，切换过程中无黑屏、闪屏现象。</w:t>
      </w:r>
      <w:r>
        <w:rPr>
          <w:rFonts w:hint="eastAsia" w:cs="宋体"/>
          <w:b/>
          <w:bCs/>
          <w:color w:val="auto"/>
          <w:highlight w:val="none"/>
        </w:rPr>
        <w:t xml:space="preserve">（</w:t>
      </w:r>
      <w:r>
        <w:rPr>
          <w:rFonts w:hint="eastAsia" w:cs="宋体"/>
          <w:b/>
          <w:bCs/>
          <w:color w:val="auto"/>
          <w:highlight w:val="none"/>
          <w:lang w:bidi="ar"/>
        </w:rPr>
        <w:t xml:space="preserve">提供国家</w:t>
      </w:r>
      <w:r>
        <w:rPr>
          <w:rFonts w:hint="eastAsia" w:cs="宋体"/>
          <w:b/>
          <w:bCs/>
          <w:color w:val="auto"/>
          <w:highlight w:val="none"/>
          <w:lang w:val="en-US" w:eastAsia="zh-CN" w:bidi="ar"/>
        </w:rPr>
        <w:t xml:space="preserve">认可</w:t>
      </w:r>
      <w:r>
        <w:rPr>
          <w:rFonts w:hint="eastAsia" w:cs="宋体"/>
          <w:b/>
          <w:bCs/>
          <w:color w:val="auto"/>
          <w:highlight w:val="none"/>
          <w:lang w:bidi="ar"/>
        </w:rPr>
        <w:t xml:space="preserve">的认证机构出具的处于有效期内的带CNAS或CMA标志检测报告并加盖供应商公章</w:t>
      </w:r>
      <w:r>
        <w:rPr>
          <w:rFonts w:hint="eastAsia" w:cs="宋体"/>
          <w:b/>
          <w:bCs/>
          <w:color w:val="auto"/>
          <w:highlight w:val="none"/>
        </w:rPr>
        <w:t xml:space="preserve">）</w:t>
      </w:r>
      <w:r>
        <w:rPr>
          <w:rFonts w:hint="eastAsia" w:cs="宋体"/>
          <w:color w:val="auto"/>
          <w:highlight w:val="none"/>
        </w:rPr>
        <w:t xml:space="preserve"> </w:t>
      </w:r>
      <w:r/>
    </w:p>
    <w:p>
      <w:pPr>
        <w:pStyle w:val="1300"/>
        <w:ind w:firstLine="480"/>
        <w:spacing w:before="0" w:line="360" w:lineRule="auto"/>
        <w:rPr>
          <w:rFonts w:cs="宋体"/>
          <w:color w:val="auto"/>
          <w:highlight w:val="none"/>
        </w:rPr>
      </w:pPr>
      <w:r>
        <w:rPr>
          <w:rFonts w:hint="eastAsia" w:cs="宋体"/>
          <w:color w:val="auto"/>
          <w:highlight w:val="none"/>
        </w:rPr>
        <w:t xml:space="preserve">⑥控制面板具有磁吸功能，可进行磁吸壁挂安装；底部带有防滑脚垫，可平放桌面使用。 </w:t>
      </w:r>
      <w:r/>
    </w:p>
    <w:p>
      <w:pPr>
        <w:pStyle w:val="1300"/>
        <w:ind w:firstLine="480"/>
        <w:spacing w:before="0" w:line="360" w:lineRule="auto"/>
        <w:rPr>
          <w:rFonts w:cs="宋体"/>
          <w:color w:val="auto"/>
          <w:highlight w:val="none"/>
        </w:rPr>
      </w:pPr>
      <w:r>
        <w:rPr>
          <w:rFonts w:hint="eastAsia" w:cs="宋体"/>
          <w:color w:val="auto"/>
          <w:highlight w:val="none"/>
        </w:rPr>
        <w:t xml:space="preserve">⑦▲支持信息交互功能，通过平台/客户端界面能够查看屏幕运维信息，包括使用时长、序列号、温度、亮度、显示模式，支持下发配置屏幕参数。</w:t>
      </w:r>
      <w:r>
        <w:rPr>
          <w:rFonts w:hint="eastAsia" w:cs="宋体"/>
          <w:b/>
          <w:bCs/>
          <w:color w:val="auto"/>
          <w:highlight w:val="none"/>
        </w:rPr>
        <w:t xml:space="preserve">（</w:t>
      </w:r>
      <w:r>
        <w:rPr>
          <w:rFonts w:hint="eastAsia" w:cs="宋体"/>
          <w:b/>
          <w:bCs/>
          <w:color w:val="auto"/>
          <w:highlight w:val="none"/>
          <w:lang w:bidi="ar"/>
        </w:rPr>
        <w:t xml:space="preserve">提供国家</w:t>
      </w:r>
      <w:r>
        <w:rPr>
          <w:rFonts w:hint="eastAsia" w:cs="宋体"/>
          <w:b/>
          <w:bCs/>
          <w:color w:val="auto"/>
          <w:highlight w:val="none"/>
          <w:lang w:val="en-US" w:eastAsia="zh-CN" w:bidi="ar"/>
        </w:rPr>
        <w:t xml:space="preserve">认可</w:t>
      </w:r>
      <w:r>
        <w:rPr>
          <w:rFonts w:hint="eastAsia" w:cs="宋体"/>
          <w:b/>
          <w:bCs/>
          <w:color w:val="auto"/>
          <w:highlight w:val="none"/>
          <w:lang w:bidi="ar"/>
        </w:rPr>
        <w:t xml:space="preserve">的认证机构出具的处于有效期内的带CNAS或CMA标志检测报告并加盖供应商公章</w:t>
      </w:r>
      <w:r>
        <w:rPr>
          <w:rFonts w:hint="eastAsia" w:cs="宋体"/>
          <w:b/>
          <w:bCs/>
          <w:color w:val="auto"/>
          <w:highlight w:val="none"/>
        </w:rPr>
        <w:t xml:space="preserve">）</w:t>
      </w:r>
      <w:r>
        <w:rPr>
          <w:rFonts w:hint="eastAsia" w:cs="宋体"/>
          <w:color w:val="auto"/>
          <w:highlight w:val="none"/>
        </w:rPr>
        <w:t xml:space="preserve"> </w:t>
      </w:r>
      <w:r/>
    </w:p>
    <w:p>
      <w:pPr>
        <w:pStyle w:val="1300"/>
        <w:ind w:firstLine="480"/>
        <w:spacing w:before="0" w:line="360" w:lineRule="auto"/>
        <w:rPr>
          <w:rFonts w:cs="宋体"/>
          <w:color w:val="auto"/>
          <w:highlight w:val="none"/>
        </w:rPr>
      </w:pPr>
      <w:r>
        <w:rPr>
          <w:rFonts w:hint="eastAsia" w:cs="宋体"/>
          <w:color w:val="auto"/>
          <w:highlight w:val="none"/>
        </w:rPr>
        <w:t xml:space="preserve">⑧▲支持通过自动识别屏幕的行列号信息，能根据行列号信息，自动生成对应的电视墙规模和绑定输出口关系，无需手动一对一设置输出口和LCD屏幕的对应关系。</w:t>
      </w:r>
      <w:r>
        <w:rPr>
          <w:rFonts w:hint="eastAsia" w:cs="宋体"/>
          <w:b/>
          <w:bCs/>
          <w:color w:val="auto"/>
          <w:highlight w:val="none"/>
        </w:rPr>
        <w:t xml:space="preserve">（</w:t>
      </w:r>
      <w:r>
        <w:rPr>
          <w:rFonts w:hint="eastAsia" w:cs="宋体"/>
          <w:b/>
          <w:bCs/>
          <w:color w:val="auto"/>
          <w:highlight w:val="none"/>
          <w:lang w:bidi="ar"/>
        </w:rPr>
        <w:t xml:space="preserve">提供国家</w:t>
      </w:r>
      <w:r>
        <w:rPr>
          <w:rFonts w:hint="eastAsia" w:cs="宋体"/>
          <w:b/>
          <w:bCs/>
          <w:color w:val="auto"/>
          <w:highlight w:val="none"/>
          <w:lang w:val="en-US" w:eastAsia="zh-CN" w:bidi="ar"/>
        </w:rPr>
        <w:t xml:space="preserve">认可</w:t>
      </w:r>
      <w:r>
        <w:rPr>
          <w:rFonts w:hint="eastAsia" w:cs="宋体"/>
          <w:b/>
          <w:bCs/>
          <w:color w:val="auto"/>
          <w:highlight w:val="none"/>
          <w:lang w:bidi="ar"/>
        </w:rPr>
        <w:t xml:space="preserve">的认证机构出具的处于有效期内的带CNAS或CMA标志检测报告并加盖供应商公章</w:t>
      </w:r>
      <w:r>
        <w:rPr>
          <w:rFonts w:hint="eastAsia" w:cs="宋体"/>
          <w:b/>
          <w:bCs/>
          <w:color w:val="auto"/>
          <w:highlight w:val="none"/>
        </w:rPr>
        <w:t xml:space="preserve">）</w:t>
      </w:r>
      <w:r>
        <w:rPr>
          <w:rFonts w:hint="eastAsia" w:cs="宋体"/>
          <w:color w:val="auto"/>
          <w:highlight w:val="none"/>
        </w:rPr>
        <w:t xml:space="preserve"> </w:t>
      </w:r>
      <w:r/>
    </w:p>
    <w:p>
      <w:pPr>
        <w:pStyle w:val="1300"/>
        <w:ind w:firstLine="480"/>
        <w:spacing w:before="0" w:line="360" w:lineRule="auto"/>
        <w:rPr>
          <w:rFonts w:cs="宋体"/>
          <w:color w:val="auto"/>
          <w:highlight w:val="none"/>
        </w:rPr>
      </w:pPr>
      <w:r>
        <w:rPr>
          <w:rFonts w:hint="eastAsia" w:cs="宋体"/>
          <w:color w:val="auto"/>
          <w:highlight w:val="none"/>
        </w:rPr>
        <w:t xml:space="preserve">⑨▲支持自动检测输入源的信号类型，根据信号源类型和显示位置，自动配置信号源所在屏幕的显示场景模式。</w:t>
      </w:r>
      <w:r>
        <w:rPr>
          <w:rFonts w:hint="eastAsia" w:cs="宋体"/>
          <w:b/>
          <w:bCs/>
          <w:color w:val="auto"/>
          <w:highlight w:val="none"/>
        </w:rPr>
        <w:t xml:space="preserve">（</w:t>
      </w:r>
      <w:r>
        <w:rPr>
          <w:rFonts w:hint="eastAsia" w:cs="宋体"/>
          <w:b/>
          <w:bCs/>
          <w:color w:val="auto"/>
          <w:highlight w:val="none"/>
          <w:lang w:bidi="ar"/>
        </w:rPr>
        <w:t xml:space="preserve">提供国家</w:t>
      </w:r>
      <w:r>
        <w:rPr>
          <w:rFonts w:hint="eastAsia" w:cs="宋体"/>
          <w:b/>
          <w:bCs/>
          <w:color w:val="auto"/>
          <w:highlight w:val="none"/>
          <w:lang w:val="en-US" w:eastAsia="zh-CN" w:bidi="ar"/>
        </w:rPr>
        <w:t xml:space="preserve">认可</w:t>
      </w:r>
      <w:r>
        <w:rPr>
          <w:rFonts w:hint="eastAsia" w:cs="宋体"/>
          <w:b/>
          <w:bCs/>
          <w:color w:val="auto"/>
          <w:highlight w:val="none"/>
          <w:lang w:bidi="ar"/>
        </w:rPr>
        <w:t xml:space="preserve">的认证机构出具的处于有效期内的带CNAS或CMA标志检测报告并加盖供应商公章</w:t>
      </w:r>
      <w:r>
        <w:rPr>
          <w:rFonts w:hint="eastAsia" w:cs="宋体"/>
          <w:b/>
          <w:bCs/>
          <w:color w:val="auto"/>
          <w:highlight w:val="none"/>
        </w:rPr>
        <w:t xml:space="preserve">）</w:t>
      </w:r>
      <w:r/>
    </w:p>
    <w:p>
      <w:pPr>
        <w:pStyle w:val="1300"/>
        <w:ind w:firstLine="480"/>
        <w:spacing w:before="0" w:line="360" w:lineRule="auto"/>
        <w:rPr>
          <w:rFonts w:cs="宋体"/>
          <w:color w:val="auto"/>
          <w:highlight w:val="none"/>
        </w:rPr>
      </w:pPr>
      <w:r>
        <w:rPr>
          <w:rFonts w:hint="eastAsia" w:cs="宋体"/>
          <w:color w:val="auto"/>
          <w:highlight w:val="none"/>
        </w:rPr>
        <w:t xml:space="preserve">⑩支持远程开关机控制，支持拼接墙整墙的开关机、定时开关机操作。 </w:t>
      </w:r>
      <w:r/>
    </w:p>
    <w:p>
      <w:pPr>
        <w:pStyle w:val="1300"/>
        <w:ind w:firstLine="480"/>
        <w:spacing w:before="0" w:line="360" w:lineRule="auto"/>
        <w:rPr>
          <w:rFonts w:cs="宋体"/>
          <w:color w:val="auto"/>
          <w:highlight w:val="none"/>
        </w:rPr>
      </w:pPr>
      <w:r>
        <w:rPr>
          <w:rFonts w:hint="eastAsia" w:cs="宋体"/>
          <w:color w:val="auto"/>
          <w:highlight w:val="none"/>
        </w:rPr>
        <w:t xml:space="preserve">⑪显示单元支持U盘自动播放功能，开启状态下，自动读取U盘中的视频、图片或文本资源并播放，视频间衔接时长≤30ms。</w:t>
      </w:r>
      <w:r/>
    </w:p>
    <w:p>
      <w:pPr>
        <w:pStyle w:val="1300"/>
        <w:ind w:firstLine="480"/>
        <w:spacing w:before="0" w:line="360" w:lineRule="auto"/>
        <w:rPr>
          <w:rFonts w:cs="宋体"/>
          <w:color w:val="auto"/>
          <w:highlight w:val="none"/>
        </w:rPr>
      </w:pPr>
      <w:r>
        <w:rPr>
          <w:rFonts w:hint="eastAsia" w:cs="宋体"/>
          <w:color w:val="auto"/>
          <w:highlight w:val="none"/>
        </w:rPr>
        <w:t xml:space="preserve">⑫支持高低温环境工作，在0℃±2℃环境中，带电正常工作放置168小时，试验过程中能正常工作，外观无明显损伤；在50℃±2℃环境中，带电正常放置168小时，试验过程中能正常工作，外观无明显损伤。</w:t>
      </w:r>
      <w:r/>
    </w:p>
    <w:p>
      <w:pPr>
        <w:pStyle w:val="1300"/>
        <w:ind w:firstLine="480"/>
        <w:spacing w:before="0" w:line="360" w:lineRule="auto"/>
        <w:rPr>
          <w:rFonts w:cs="宋体"/>
          <w:color w:val="auto"/>
          <w:highlight w:val="none"/>
        </w:rPr>
      </w:pPr>
      <w:r>
        <w:rPr>
          <w:rFonts w:hint="eastAsia" w:cs="宋体"/>
          <w:color w:val="auto"/>
          <w:highlight w:val="none"/>
        </w:rPr>
        <w:t xml:space="preserve">⑬设备支持节能模式，打开节能模式后，对应拼接单元上会依次显示实时百分比功率、实时功率、累计功率等直观显示项目；拼接屏正常运行的平均功耗最高可以降低60%。</w:t>
      </w:r>
      <w:r/>
    </w:p>
    <w:p>
      <w:pPr>
        <w:pStyle w:val="1300"/>
        <w:ind w:firstLine="480"/>
        <w:spacing w:before="0" w:line="360" w:lineRule="auto"/>
        <w:rPr>
          <w:rFonts w:cs="宋体"/>
          <w:color w:val="auto"/>
          <w:highlight w:val="none"/>
        </w:rPr>
      </w:pPr>
      <w:r>
        <w:rPr>
          <w:rFonts w:hint="eastAsia" w:cs="宋体"/>
          <w:color w:val="auto"/>
          <w:highlight w:val="none"/>
        </w:rPr>
        <w:t xml:space="preserve">⑭拼接显示单元具有信号自动检测功能，当有新信号输入时，自动转到相应信源；当前接入的信号接口无信号输入时，可自动切换到其他有信号输入的接口。</w:t>
      </w:r>
      <w:r/>
    </w:p>
    <w:p>
      <w:pPr>
        <w:pStyle w:val="1300"/>
        <w:ind w:firstLine="480"/>
        <w:spacing w:before="0" w:line="360" w:lineRule="auto"/>
        <w:rPr>
          <w:rFonts w:cs="宋体"/>
          <w:color w:val="auto"/>
          <w:highlight w:val="none"/>
        </w:rPr>
      </w:pPr>
      <w:r>
        <w:rPr>
          <w:rFonts w:hint="eastAsia" w:cs="宋体"/>
          <w:color w:val="auto"/>
          <w:highlight w:val="none"/>
        </w:rPr>
        <w:t xml:space="preserve">⑮可通过客户端或菜单设置屏幕ID，ID属性包含行、列，实现自动分配ID。</w:t>
      </w:r>
      <w:r/>
    </w:p>
    <w:p>
      <w:pPr>
        <w:pStyle w:val="1300"/>
        <w:ind w:firstLine="480"/>
        <w:spacing w:before="0" w:line="360" w:lineRule="auto"/>
        <w:rPr>
          <w:rFonts w:cs="宋体"/>
          <w:color w:val="auto"/>
          <w:highlight w:val="none"/>
          <w:lang w:bidi="ar"/>
        </w:rPr>
      </w:pPr>
      <w:r>
        <w:rPr>
          <w:rFonts w:hint="eastAsia" w:cs="宋体"/>
          <w:color w:val="auto"/>
          <w:highlight w:val="none"/>
        </w:rPr>
        <w:t xml:space="preserve">⑯屏幕支持防灼烧功能，能够有效改善长时间显示静态画面时造成的残影现象。</w:t>
      </w:r>
      <w:r/>
    </w:p>
    <w:p>
      <w:pPr>
        <w:contextualSpacing/>
        <w:ind w:firstLine="482"/>
        <w:spacing w:line="360" w:lineRule="auto"/>
        <w:rPr>
          <w:rFonts w:ascii="宋体" w:hAnsi="宋体" w:cs="宋体"/>
          <w:color w:val="auto"/>
          <w:sz w:val="24"/>
          <w:highlight w:val="none"/>
          <w:lang w:bidi="ar"/>
        </w:rPr>
      </w:pPr>
      <w:r>
        <w:rPr>
          <w:rFonts w:hint="eastAsia" w:ascii="宋体" w:hAnsi="宋体" w:cs="宋体"/>
          <w:b/>
          <w:bCs/>
          <w:color w:val="auto"/>
          <w:sz w:val="24"/>
          <w:highlight w:val="none"/>
          <w:lang w:bidi="ar"/>
        </w:rPr>
        <w:t xml:space="preserve">（2）</w:t>
      </w:r>
      <w:r>
        <w:rPr>
          <w:rFonts w:ascii="宋体" w:hAnsi="宋体" w:cs="宋体"/>
          <w:b/>
          <w:bCs/>
          <w:color w:val="auto"/>
          <w:sz w:val="24"/>
          <w:highlight w:val="none"/>
        </w:rPr>
        <w:t xml:space="preserve">配套模块化支撑配套载体</w:t>
      </w:r>
      <w:r>
        <w:rPr>
          <w:rFonts w:hint="eastAsia" w:ascii="宋体" w:hAnsi="宋体" w:cs="宋体"/>
          <w:b/>
          <w:bCs/>
          <w:color w:val="auto"/>
          <w:sz w:val="24"/>
          <w:highlight w:val="none"/>
        </w:rPr>
        <w:t xml:space="preserve">4</w:t>
      </w:r>
      <w:r>
        <w:rPr>
          <w:rFonts w:ascii="宋体" w:hAnsi="宋体" w:cs="宋体"/>
          <w:b/>
          <w:bCs/>
          <w:color w:val="auto"/>
          <w:sz w:val="24"/>
          <w:highlight w:val="none"/>
        </w:rPr>
        <w:t xml:space="preserve">套</w:t>
      </w:r>
      <w:r/>
    </w:p>
    <w:p>
      <w:pPr>
        <w:pStyle w:val="1300"/>
        <w:ind w:firstLine="480"/>
        <w:spacing w:before="0" w:line="360" w:lineRule="auto"/>
        <w:rPr>
          <w:rFonts w:cs="宋体"/>
          <w:color w:val="auto"/>
          <w:highlight w:val="none"/>
        </w:rPr>
      </w:pPr>
      <w:r>
        <w:rPr>
          <w:rFonts w:hint="eastAsia" w:cs="宋体"/>
          <w:color w:val="auto"/>
          <w:highlight w:val="none"/>
        </w:rPr>
        <w:t xml:space="preserve">①55英寸-新型模块化框架,支持5行以内规模拼接,快速安装,可标配物料,支持现场扩容。</w:t>
      </w:r>
      <w:r/>
    </w:p>
    <w:p>
      <w:pPr>
        <w:pStyle w:val="1300"/>
        <w:ind w:firstLine="480"/>
        <w:spacing w:before="0" w:line="360" w:lineRule="auto"/>
        <w:rPr>
          <w:rFonts w:cs="宋体"/>
          <w:color w:val="auto"/>
          <w:highlight w:val="none"/>
        </w:rPr>
      </w:pPr>
      <w:r>
        <w:rPr>
          <w:rFonts w:hint="eastAsia" w:cs="宋体"/>
          <w:color w:val="auto"/>
          <w:highlight w:val="none"/>
        </w:rPr>
        <w:t xml:space="preserve">②产品配置：前封板后留空；含侧封板、顶盖板</w:t>
      </w:r>
      <w:r/>
    </w:p>
    <w:p>
      <w:pPr>
        <w:pStyle w:val="1300"/>
        <w:ind w:firstLine="480"/>
        <w:spacing w:before="0" w:line="360" w:lineRule="auto"/>
        <w:rPr>
          <w:rFonts w:cs="宋体"/>
          <w:color w:val="auto"/>
          <w:highlight w:val="none"/>
        </w:rPr>
      </w:pPr>
      <w:r>
        <w:rPr>
          <w:rFonts w:hint="eastAsia" w:cs="宋体"/>
          <w:color w:val="auto"/>
          <w:highlight w:val="none"/>
        </w:rPr>
        <w:t xml:space="preserve">③配置范围：</w:t>
      </w:r>
      <w:r/>
    </w:p>
    <w:p>
      <w:pPr>
        <w:pStyle w:val="1300"/>
        <w:ind w:firstLine="480"/>
        <w:spacing w:before="0" w:line="360" w:lineRule="auto"/>
        <w:rPr>
          <w:rFonts w:cs="宋体"/>
          <w:color w:val="auto"/>
          <w:highlight w:val="none"/>
        </w:rPr>
      </w:pPr>
      <w:r>
        <w:rPr>
          <w:rFonts w:hint="eastAsia" w:cs="宋体"/>
          <w:color w:val="auto"/>
          <w:highlight w:val="none"/>
        </w:rPr>
        <w:t xml:space="preserve">800mm≤底座高度≤1200mm；600mm≤后拉杆长度≤1800mm。</w:t>
      </w:r>
      <w:r/>
    </w:p>
    <w:p>
      <w:pPr>
        <w:pStyle w:val="1300"/>
        <w:ind w:firstLine="480"/>
        <w:spacing w:before="0" w:line="360" w:lineRule="auto"/>
        <w:rPr>
          <w:rFonts w:cs="宋体"/>
          <w:color w:val="auto"/>
          <w:highlight w:val="none"/>
        </w:rPr>
      </w:pPr>
      <w:r>
        <w:rPr>
          <w:rFonts w:hint="eastAsia" w:cs="宋体"/>
          <w:color w:val="auto"/>
          <w:highlight w:val="none"/>
        </w:rPr>
        <w:t xml:space="preserve">若有其他定制项走支架定制流程。 </w:t>
      </w:r>
      <w:r/>
    </w:p>
    <w:p>
      <w:pPr>
        <w:pStyle w:val="1300"/>
        <w:ind w:firstLine="480"/>
        <w:spacing w:before="0" w:line="360" w:lineRule="auto"/>
        <w:rPr>
          <w:rFonts w:cs="宋体"/>
          <w:color w:val="auto"/>
          <w:highlight w:val="none"/>
        </w:rPr>
      </w:pPr>
      <w:r>
        <w:rPr>
          <w:rFonts w:hint="eastAsia" w:cs="宋体"/>
          <w:color w:val="auto"/>
          <w:highlight w:val="none"/>
        </w:rPr>
        <w:t xml:space="preserve">材质：优质冷轧钢板(SPCC)，材料厚度从T1.0-T5不等。</w:t>
      </w:r>
      <w:r/>
    </w:p>
    <w:p>
      <w:pPr>
        <w:pStyle w:val="1300"/>
        <w:ind w:firstLine="480"/>
        <w:spacing w:before="0" w:line="360" w:lineRule="auto"/>
        <w:rPr>
          <w:rFonts w:cs="宋体"/>
          <w:color w:val="auto"/>
          <w:highlight w:val="none"/>
          <w:lang w:bidi="ar"/>
        </w:rPr>
      </w:pPr>
      <w:r>
        <w:rPr>
          <w:rFonts w:hint="eastAsia" w:cs="宋体"/>
          <w:color w:val="auto"/>
          <w:highlight w:val="none"/>
        </w:rPr>
        <w:t xml:space="preserve">备注说明：后墙为承重墙，且墙面平整。</w:t>
      </w:r>
      <w:r/>
    </w:p>
    <w:p>
      <w:pPr>
        <w:contextualSpacing/>
        <w:ind w:firstLine="482"/>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（3）配备解码器（4路）1台</w:t>
      </w:r>
      <w:r/>
    </w:p>
    <w:p>
      <w:pPr>
        <w:pStyle w:val="1300"/>
        <w:ind w:firstLine="480"/>
        <w:spacing w:before="0" w:line="360" w:lineRule="auto"/>
        <w:rPr>
          <w:rFonts w:cs="宋体"/>
          <w:color w:val="auto"/>
          <w:highlight w:val="none"/>
        </w:rPr>
      </w:pPr>
      <w:r>
        <w:rPr>
          <w:rFonts w:hint="eastAsia" w:cs="宋体"/>
          <w:color w:val="auto"/>
          <w:highlight w:val="none"/>
        </w:rPr>
        <w:t xml:space="preserve">①支持4路HDMI信号输出接口。支持4路HDMI音频输出。</w:t>
      </w:r>
      <w:r/>
    </w:p>
    <w:p>
      <w:pPr>
        <w:pStyle w:val="1300"/>
        <w:ind w:firstLine="480"/>
        <w:spacing w:before="0" w:line="360" w:lineRule="auto"/>
        <w:rPr>
          <w:rFonts w:cs="宋体"/>
          <w:color w:val="auto"/>
          <w:highlight w:val="none"/>
        </w:rPr>
      </w:pPr>
      <w:r>
        <w:rPr>
          <w:rFonts w:hint="eastAsia" w:cs="宋体"/>
          <w:color w:val="auto"/>
          <w:highlight w:val="none"/>
        </w:rPr>
        <w:t xml:space="preserve">②支持MPEG2/MPEG4/H.264/H.265/SVAC/MJPEG标准网络视频流解码。支持QCIF/CIF/2CIF/HD1/D1/720p/1080p/3MP/5MP/6MP/8MP/12MP/32MP视频解码。</w:t>
      </w:r>
      <w:r/>
    </w:p>
    <w:p>
      <w:pPr>
        <w:pStyle w:val="1300"/>
        <w:ind w:firstLine="480"/>
        <w:spacing w:before="0" w:line="360" w:lineRule="auto"/>
        <w:rPr>
          <w:rFonts w:cs="宋体"/>
          <w:color w:val="auto"/>
          <w:highlight w:val="none"/>
        </w:rPr>
      </w:pPr>
      <w:r>
        <w:rPr>
          <w:rFonts w:hint="eastAsia" w:cs="宋体"/>
          <w:color w:val="auto"/>
          <w:highlight w:val="none"/>
        </w:rPr>
        <w:t xml:space="preserve">③支持通过串口控制屏幕开关。最大支持2路32MP@25fps / 7路12MP@25fps / 10路8MP@25fps / 14路6MP@25fps / 18路5MP@25fps / 28路3MP@25fps / 36路1080p @30fps /144路D1@30fps同时解码。</w:t>
      </w:r>
      <w:r/>
    </w:p>
    <w:p>
      <w:pPr>
        <w:pStyle w:val="1300"/>
        <w:ind w:firstLine="480"/>
        <w:spacing w:before="0" w:line="360" w:lineRule="auto"/>
        <w:rPr>
          <w:rFonts w:cs="宋体"/>
          <w:color w:val="auto"/>
          <w:highlight w:val="none"/>
        </w:rPr>
      </w:pPr>
      <w:r>
        <w:rPr>
          <w:rFonts w:hint="eastAsia" w:cs="宋体"/>
          <w:color w:val="auto"/>
          <w:highlight w:val="none"/>
        </w:rPr>
        <w:t xml:space="preserve">④支持单屏1/4/6/8/9/16/25/36分割，支持M×N自由分割。HDMI输出接口支持3840×2160， 1920×1080， 1280×1024， 1280×720， 1024×768五种显示分辨率。</w:t>
      </w:r>
      <w:r/>
    </w:p>
    <w:p>
      <w:pPr>
        <w:pStyle w:val="1300"/>
        <w:ind w:firstLine="480"/>
        <w:spacing w:before="0" w:line="360" w:lineRule="auto"/>
        <w:rPr>
          <w:rFonts w:cs="宋体"/>
          <w:color w:val="auto"/>
          <w:highlight w:val="none"/>
        </w:rPr>
      </w:pPr>
      <w:r>
        <w:rPr>
          <w:rFonts w:hint="eastAsia" w:cs="宋体"/>
          <w:color w:val="auto"/>
          <w:highlight w:val="none"/>
        </w:rPr>
        <w:t xml:space="preserve">⑤支持Onvif、RTSP协议接入，支持国标GB28181接入 ，支持海康私有协议/大华私有协议接入。</w:t>
      </w:r>
      <w:r/>
    </w:p>
    <w:p>
      <w:pPr>
        <w:pStyle w:val="1300"/>
        <w:ind w:firstLine="480"/>
        <w:spacing w:before="0" w:line="360" w:lineRule="auto"/>
        <w:rPr>
          <w:rFonts w:cs="宋体"/>
          <w:color w:val="auto"/>
          <w:highlight w:val="none"/>
        </w:rPr>
      </w:pPr>
      <w:r>
        <w:rPr>
          <w:rFonts w:hint="eastAsia" w:cs="宋体"/>
          <w:color w:val="auto"/>
          <w:highlight w:val="none"/>
        </w:rPr>
        <w:t xml:space="preserve">⑥支持预案轮巡、支持底色选择、支持自定义分辨率输出，支持小间距对接、支持多屏融合拼接，跨屏画面毫秒级完美同步。</w:t>
      </w:r>
      <w:r/>
    </w:p>
    <w:p>
      <w:pPr>
        <w:pStyle w:val="1300"/>
        <w:ind w:firstLine="480"/>
        <w:spacing w:before="0" w:line="360" w:lineRule="auto"/>
        <w:rPr>
          <w:rFonts w:cs="宋体"/>
          <w:color w:val="auto"/>
          <w:highlight w:val="none"/>
        </w:rPr>
      </w:pPr>
      <w:r>
        <w:rPr>
          <w:rFonts w:hint="eastAsia" w:cs="宋体"/>
          <w:color w:val="auto"/>
          <w:highlight w:val="none"/>
        </w:rPr>
        <w:t xml:space="preserve">⑦支持1个10M/100M/1000M自适应以太网接口。</w:t>
      </w:r>
      <w:r/>
    </w:p>
    <w:p>
      <w:pPr>
        <w:pStyle w:val="1300"/>
        <w:ind w:firstLine="480"/>
        <w:spacing w:before="0" w:line="360" w:lineRule="auto"/>
        <w:rPr>
          <w:rFonts w:cs="宋体"/>
          <w:color w:val="auto"/>
          <w:highlight w:val="none"/>
          <w:lang w:bidi="ar"/>
        </w:rPr>
      </w:pPr>
      <w:r>
        <w:rPr>
          <w:rFonts w:hint="eastAsia" w:cs="宋体"/>
          <w:color w:val="auto"/>
          <w:highlight w:val="none"/>
        </w:rPr>
        <w:t xml:space="preserve">⑧加强用户保密等级：HTTP的MD5加密，HTTPS和SSL证书认证，TELNET的密码修改同步应用的用户账号管理。</w:t>
      </w:r>
      <w:r/>
    </w:p>
    <w:p>
      <w:pPr>
        <w:contextualSpacing/>
        <w:ind w:firstLine="480"/>
        <w:spacing w:line="360" w:lineRule="auto"/>
        <w:widowControl/>
        <w:rPr>
          <w:rFonts w:ascii="宋体" w:hAnsi="宋体" w:cs="宋体"/>
          <w:color w:val="auto"/>
          <w:sz w:val="24"/>
          <w:highlight w:val="none"/>
        </w:rPr>
      </w:pPr>
      <w:r/>
      <w:bookmarkStart w:id="644" w:name="_Toc27778"/>
      <w:r>
        <w:rPr>
          <w:rFonts w:hint="eastAsia" w:ascii="宋体" w:hAnsi="宋体" w:cs="宋体"/>
          <w:color w:val="auto"/>
          <w:sz w:val="24"/>
          <w:highlight w:val="none"/>
        </w:rPr>
        <w:t xml:space="preserve">所有支架、线材、机柜辅材全部包含在本配套服务内，不单独计价。</w:t>
      </w:r>
      <w:bookmarkEnd w:id="644"/>
      <w:r/>
      <w:r/>
    </w:p>
    <w:p>
      <w:pPr>
        <w:numPr>
          <w:ilvl w:val="0"/>
          <w:numId w:val="13"/>
        </w:numPr>
        <w:contextualSpacing/>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AI 算力支撑配套部署服务</w:t>
      </w:r>
      <w:bookmarkEnd w:id="639"/>
      <w:r/>
      <w:bookmarkEnd w:id="640"/>
      <w:r/>
      <w:bookmarkEnd w:id="641"/>
      <w:r/>
      <w:r/>
    </w:p>
    <w:p>
      <w:pPr>
        <w:numPr>
          <w:ilvl w:val="255"/>
          <w:numId w:val="0"/>
        </w:numPr>
        <w:contextualSpacing/>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（1）配套</w:t>
      </w:r>
      <w:r>
        <w:rPr>
          <w:rFonts w:hint="eastAsia" w:ascii="宋体" w:hAnsi="宋体" w:cs="宋体"/>
          <w:color w:val="auto"/>
          <w:sz w:val="24"/>
          <w:highlight w:val="none"/>
          <w:lang w:bidi="ar"/>
        </w:rPr>
        <w:t xml:space="preserve">高性能一体化边缘计算盒子28个，主要性能：</w:t>
      </w:r>
      <w:r>
        <w:rPr>
          <w:rFonts w:hint="eastAsia" w:ascii="宋体" w:hAnsi="宋体" w:cs="宋体"/>
          <w:color w:val="auto"/>
          <w:sz w:val="24"/>
          <w:highlight w:val="none"/>
        </w:rPr>
        <w:t xml:space="preserve">双2.5G网口，设备需具备高性能主控处理能力， 配备8GB LPDDR4x内存，32GB eMMC闪存，支持GPU和VPU加速。可稳定支撑4路以上高清摄像头接入。</w:t>
      </w:r>
      <w:r/>
    </w:p>
    <w:p>
      <w:pPr>
        <w:numPr>
          <w:ilvl w:val="255"/>
          <w:numId w:val="0"/>
        </w:numPr>
        <w:contextualSpacing/>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（2）配套CPU一块，不低于64核和128线程。</w:t>
      </w:r>
      <w:r/>
    </w:p>
    <w:p>
      <w:pPr>
        <w:numPr>
          <w:ilvl w:val="255"/>
          <w:numId w:val="0"/>
        </w:numPr>
        <w:contextualSpacing/>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（3）配套DDR4 64G内存不少于4条，不低于2933hz。</w:t>
      </w:r>
      <w:r/>
    </w:p>
    <w:p>
      <w:pPr>
        <w:numPr>
          <w:ilvl w:val="255"/>
          <w:numId w:val="0"/>
        </w:numPr>
        <w:contextualSpacing/>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（4）配套GPU卡不少于4块，每块显存不低于32Ｇ。</w:t>
      </w:r>
      <w:r/>
    </w:p>
    <w:p>
      <w:pPr>
        <w:numPr>
          <w:ilvl w:val="255"/>
          <w:numId w:val="0"/>
        </w:numPr>
        <w:contextualSpacing/>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5）接入智能安防平台，所有接入摄像头的视频数据实时处理、AI识别算法精准运行；支持常见视频识别算法，包括但不限于火灾识别、烟雾识别、人员聚集识别、离岗识别、脱岗识别等，适配校园智能安防平台各模块的AI识别需求，与防欺凌预警、消防预警、AI全场景风险预警等功能无缝联动，保障各子系统AI识别功能稳定落地。</w:t>
      </w:r>
      <w:r/>
    </w:p>
    <w:tbl>
      <w:tblPr>
        <w:tblStyle w:val="1040"/>
        <w:tblW w:w="8957" w:type="dxa"/>
        <w:tblInd w:w="430" w:type="dxa"/>
        <w:tblLayout w:type="fixed"/>
        <w:tblCellMar>
          <w:left w:w="108" w:type="dxa"/>
          <w:top w:w="0" w:type="dxa"/>
          <w:right w:w="108" w:type="dxa"/>
          <w:bottom w:w="0" w:type="dxa"/>
        </w:tblCellMar>
        <w:tblLook w:val="04A0" w:firstRow="1" w:lastRow="0" w:firstColumn="1" w:lastColumn="0" w:noHBand="0" w:noVBand="1"/>
      </w:tblPr>
      <w:tblGrid>
        <w:gridCol w:w="959"/>
        <w:gridCol w:w="6906"/>
        <w:gridCol w:w="1092"/>
      </w:tblGrid>
      <w:tr>
        <w:trPr>
          <w:trHeight w:val="540"/>
        </w:trPr>
        <w:tc>
          <w:tcPr>
            <w:gridSpan w:val="3"/>
            <w:tcBorders>
              <w:top w:val="none" w:color="000000" w:sz="4" w:space="0"/>
              <w:left w:val="none" w:color="000000" w:sz="4" w:space="0"/>
              <w:bottom w:val="none" w:color="000000" w:sz="4" w:space="0"/>
              <w:right w:val="none" w:color="000000" w:sz="4" w:space="0"/>
            </w:tcBorders>
            <w:tcW w:w="8957" w:type="dxa"/>
            <w:vAlign w:val="center"/>
            <w:textDirection w:val="lrTb"/>
            <w:noWrap/>
          </w:tcPr>
          <w:p>
            <w:pPr>
              <w:jc w:val="center"/>
              <w:widowControl/>
              <w:rPr>
                <w:rFonts w:ascii="宋体" w:hAnsi="宋体" w:cs="宋体"/>
                <w:b/>
                <w:bCs/>
                <w:color w:val="auto"/>
                <w:sz w:val="24"/>
                <w:highlight w:val="none"/>
                <w:lang w:bidi="ar"/>
              </w:rPr>
            </w:pPr>
            <w:r>
              <w:rPr>
                <w:rFonts w:ascii="宋体" w:hAnsi="宋体" w:cs="宋体"/>
                <w:b/>
                <w:bCs/>
                <w:color w:val="auto"/>
                <w:sz w:val="24"/>
                <w:highlight w:val="none"/>
                <w:lang w:bidi="ar"/>
              </w:rPr>
            </w:r>
            <w:r/>
          </w:p>
          <w:p>
            <w:pPr>
              <w:jc w:val="center"/>
              <w:widowControl/>
              <w:rPr>
                <w:rFonts w:ascii="宋体" w:hAnsi="宋体" w:cs="宋体"/>
                <w:b/>
                <w:bCs/>
                <w:color w:val="auto"/>
                <w:sz w:val="24"/>
                <w:highlight w:val="none"/>
              </w:rPr>
            </w:pPr>
            <w:r>
              <w:rPr>
                <w:rFonts w:hint="eastAsia" w:ascii="宋体" w:hAnsi="宋体" w:cs="宋体"/>
                <w:b/>
                <w:bCs/>
                <w:color w:val="auto"/>
                <w:sz w:val="24"/>
                <w:highlight w:val="none"/>
                <w:lang w:bidi="ar"/>
              </w:rPr>
              <w:t xml:space="preserve">监控前端点位表</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点位名称</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数量</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东大门区域</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10号楼与14号楼天桥上</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10号楼与12号楼天桥上</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5号楼与9号楼天桥上</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5号楼与7号楼天桥上</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5号楼与10号楼中间，东环路东侧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5号楼北侧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9号楼东北角上</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5号楼南侧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7号楼东侧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南环路与1号组团入口北侧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1号组团3号楼北侧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南门内广场东侧草坪</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南环路与开物大道北侧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南门内广场东侧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南门内广场西侧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开物大道与南门内广场西侧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7号楼前停车场东侧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南大门区域</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体育馆南边道路</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体育馆停车场东北角</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体育馆北边道路与体育馆西边道路交叉处西侧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看台西边道路的看台中间处，道路西侧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西门南边</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南边看台中间顶上</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北边看台中间顶上</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足球场东南角</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足球场东北角</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西环路与南边桥西侧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西环路与足球场北边道路交叉处的北侧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大篮球场东南角</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大篮球场西南角</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大篮球场西北角</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大篮球场东北角</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西大门区域</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大篮球场西边道路在大篮球场和排球场中间位置的道路西侧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宿舍1号楼南边道路与大篮球场西边道路交叉处西侧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宿舍1号楼南边道路与宿舍1号楼东边道路交叉处南侧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宿舍1号楼南边道路与宿舍1号楼东边道路交叉处北侧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西环路与北边桥西侧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开物大道与北边桥西侧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开物大道与14号楼北边道路交叉处东侧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开物大道与北环路交叉处西南角</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宿舍3号楼西边与宿舍西边道路交叉处道路西侧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宿舍西边道路与宿舍北边道路交叉处</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宿舍北边道路辅门向东30米处道路北侧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宿舍北边道路5-6宿舍之间</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宿舍东边道路与2号宿舍交叉处，道路东侧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宿舍1号楼宿管办公室东侧墙上</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宿舍3号楼宿管办公室东侧墙上</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宿舍6号楼中间与宿舍北边道路北侧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宿舍7号楼中间与宿舍北边道路北侧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食堂东边道路与宿舍北边道路交叉处，道路北侧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食堂东边道路与食堂北边道路交叉处道路东侧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食堂东边道路与北环路交叉处，道路</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垃圾房南边草坪</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小篮球场东北角</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小篮球场西北角</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学生服务街一楼小倪理发店门口东边顶上</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学生服务街三楼东北角上</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学生服务街一楼学生服务中心门口西边顶上</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学生服务街三楼西北角上</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15号楼西边道路与北环路交叉处，道路南侧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15号楼北边道路与国际交流中心西南角交叉处北侧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15号楼东边道路与东围墙接轨处</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15号楼仓库西侧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国际交流中心西南角</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国际交流中心西北角</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国际交流中心东北角</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图文楼广场西北角</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图文楼顶楼西南角</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图文楼顶楼西北角</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教学楼7号楼北边</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教学楼12号楼北边</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15号楼东南角</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宿舍1号楼</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宿舍2号楼</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宿舍1号楼西边与宿舍西边道路交叉处，道路西侧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宿舍3号楼</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宿舍4号楼</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宿舍3号楼西边与宿舍西边道路交叉处，道路西侧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宿舍5号楼西边与宿舍西边道路交叉处，道路西侧</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宿舍5号楼</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宿舍6号楼</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宿舍7号楼</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widowControl/>
              <w:rPr>
                <w:rFonts w:ascii="宋体" w:hAnsi="宋体" w:cs="宋体"/>
                <w:color w:val="auto"/>
                <w:sz w:val="24"/>
                <w:highlight w:val="none"/>
              </w:rPr>
            </w:pPr>
            <w:r>
              <w:rPr>
                <w:rFonts w:hint="eastAsia" w:ascii="宋体" w:hAnsi="宋体" w:cs="宋体"/>
                <w:color w:val="auto"/>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6906" w:type="dxa"/>
            <w:vAlign w:val="center"/>
            <w:textDirection w:val="lrTb"/>
            <w:noWrap/>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103</w:t>
            </w:r>
            <w:r/>
          </w:p>
        </w:tc>
      </w:tr>
    </w:tbl>
    <w:p>
      <w:pPr>
        <w:contextualSpacing/>
        <w:ind w:firstLine="482"/>
        <w:jc w:val="left"/>
        <w:spacing w:line="360" w:lineRule="auto"/>
        <w:rPr>
          <w:rFonts w:ascii="宋体" w:hAnsi="宋体" w:cs="宋体"/>
          <w:b/>
          <w:bCs/>
          <w:color w:val="auto"/>
          <w:sz w:val="24"/>
          <w:highlight w:val="none"/>
        </w:rPr>
      </w:pPr>
      <w:r/>
      <w:bookmarkStart w:id="645" w:name="_Toc9079"/>
      <w:r/>
      <w:bookmarkStart w:id="646" w:name="_Toc6590"/>
      <w:r/>
      <w:bookmarkStart w:id="647" w:name="_Toc31082"/>
      <w:r/>
      <w:r/>
    </w:p>
    <w:p>
      <w:pPr>
        <w:contextualSpacing/>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w:t>
      </w:r>
      <w:bookmarkEnd w:id="645"/>
      <w:r/>
      <w:bookmarkEnd w:id="646"/>
      <w:r/>
      <w:bookmarkEnd w:id="647"/>
      <w:r>
        <w:rPr>
          <w:rFonts w:hint="eastAsia" w:ascii="宋体" w:hAnsi="宋体" w:cs="宋体"/>
          <w:b/>
          <w:bCs/>
          <w:color w:val="auto"/>
          <w:sz w:val="24"/>
          <w:highlight w:val="none"/>
        </w:rPr>
        <w:t xml:space="preserve">消防一体化监测预警配套服务</w:t>
      </w:r>
      <w:r/>
    </w:p>
    <w:p>
      <w:pPr>
        <w:contextualSpacing/>
        <w:ind w:firstLine="482"/>
        <w:spacing w:line="360" w:lineRule="auto"/>
        <w:rPr>
          <w:rFonts w:ascii="宋体" w:hAnsi="宋体" w:cs="宋体"/>
          <w:b/>
          <w:bCs/>
          <w:color w:val="auto"/>
          <w:sz w:val="24"/>
          <w:highlight w:val="none"/>
        </w:rPr>
      </w:pPr>
      <w:r/>
      <w:bookmarkStart w:id="648" w:name="_Toc15359"/>
      <w:r/>
      <w:bookmarkStart w:id="649" w:name="_Toc5279"/>
      <w:r>
        <w:rPr>
          <w:rFonts w:hint="eastAsia" w:ascii="宋体" w:hAnsi="宋体" w:cs="宋体"/>
          <w:b/>
          <w:bCs/>
          <w:color w:val="auto"/>
          <w:sz w:val="24"/>
          <w:highlight w:val="none"/>
        </w:rPr>
        <w:t xml:space="preserve">4.1 水压、液位远程采集配套布设服务</w:t>
      </w:r>
      <w:bookmarkEnd w:id="648"/>
      <w:r/>
      <w:bookmarkEnd w:id="649"/>
      <w:r/>
      <w:r/>
    </w:p>
    <w:p>
      <w:pPr>
        <w:numPr>
          <w:ilvl w:val="255"/>
          <w:numId w:val="0"/>
        </w:numPr>
        <w:contextualSpacing/>
        <w:ind w:left="479"/>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bidi="ar"/>
        </w:rPr>
        <w:t xml:space="preserve">4G一体式消防水压监测，30个点位</w:t>
      </w:r>
      <w:r>
        <w:rPr>
          <w:rFonts w:hint="eastAsia" w:ascii="宋体" w:hAnsi="宋体" w:cs="宋体"/>
          <w:b/>
          <w:bCs/>
          <w:color w:val="auto"/>
          <w:sz w:val="24"/>
          <w:highlight w:val="none"/>
          <w:lang w:bidi="ar"/>
        </w:rPr>
        <w:br/>
      </w:r>
      <w:r>
        <w:rPr>
          <w:rFonts w:hint="eastAsia" w:ascii="宋体" w:hAnsi="宋体" w:cs="宋体"/>
          <w:color w:val="auto"/>
          <w:sz w:val="24"/>
          <w:highlight w:val="none"/>
        </w:rPr>
        <w:t xml:space="preserve">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①通讯方式：4G通讯；</w:t>
      </w:r>
      <w:r>
        <w:rPr>
          <w:rFonts w:hint="eastAsia" w:ascii="宋体" w:hAnsi="宋体" w:cs="宋体"/>
          <w:color w:val="auto"/>
          <w:sz w:val="24"/>
          <w:highlight w:val="none"/>
        </w:rPr>
        <w:br/>
      </w:r>
      <w:r>
        <w:rPr>
          <w:rFonts w:hint="eastAsia" w:ascii="宋体" w:hAnsi="宋体" w:cs="宋体"/>
          <w:color w:val="auto"/>
          <w:sz w:val="24"/>
          <w:highlight w:val="none"/>
        </w:rPr>
        <w:t xml:space="preserve">②采集类型：压强；</w:t>
      </w:r>
      <w:r>
        <w:rPr>
          <w:rFonts w:hint="eastAsia" w:ascii="宋体" w:hAnsi="宋体" w:cs="宋体"/>
          <w:color w:val="auto"/>
          <w:sz w:val="24"/>
          <w:highlight w:val="none"/>
        </w:rPr>
        <w:br/>
      </w:r>
      <w:r>
        <w:rPr>
          <w:rFonts w:hint="eastAsia" w:ascii="宋体" w:hAnsi="宋体" w:cs="宋体"/>
          <w:color w:val="auto"/>
          <w:sz w:val="24"/>
          <w:highlight w:val="none"/>
        </w:rPr>
        <w:t xml:space="preserve">③量程0~2.5MPa；</w:t>
      </w:r>
      <w:r>
        <w:rPr>
          <w:rFonts w:hint="eastAsia" w:ascii="宋体" w:hAnsi="宋体" w:cs="宋体"/>
          <w:color w:val="auto"/>
          <w:sz w:val="24"/>
          <w:highlight w:val="none"/>
        </w:rPr>
        <w:br/>
      </w:r>
      <w:r>
        <w:rPr>
          <w:rFonts w:hint="eastAsia" w:ascii="宋体" w:hAnsi="宋体" w:cs="宋体"/>
          <w:color w:val="auto"/>
          <w:sz w:val="24"/>
          <w:highlight w:val="none"/>
        </w:rPr>
        <w:t xml:space="preserve">④设备应使用DC3.0锂电池供电，电池容量不小于12Ah；</w:t>
      </w:r>
      <w:r>
        <w:rPr>
          <w:rFonts w:hint="eastAsia" w:ascii="宋体" w:hAnsi="宋体" w:cs="宋体"/>
          <w:color w:val="auto"/>
          <w:sz w:val="24"/>
          <w:highlight w:val="none"/>
        </w:rPr>
        <w:br/>
      </w:r>
      <w:r>
        <w:rPr>
          <w:rFonts w:hint="eastAsia" w:ascii="宋体" w:hAnsi="宋体" w:cs="宋体"/>
          <w:color w:val="auto"/>
          <w:sz w:val="24"/>
          <w:highlight w:val="none"/>
        </w:rPr>
        <w:t xml:space="preserve">⑤为方便设备操作，设备面板应具有不少于三个按键；</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⑥当设备发生故障时，显示屏应能显示故障信息，若存在多个故障时，能够通过按键在显示屏上逐个查询；</w:t>
      </w:r>
      <w:r>
        <w:rPr>
          <w:rFonts w:hint="eastAsia" w:ascii="宋体" w:hAnsi="宋体" w:cs="宋体"/>
          <w:color w:val="auto"/>
          <w:sz w:val="24"/>
          <w:highlight w:val="none"/>
        </w:rPr>
        <w:br/>
      </w:r>
      <w:r>
        <w:rPr>
          <w:rFonts w:hint="eastAsia" w:ascii="宋体" w:hAnsi="宋体" w:cs="宋体"/>
          <w:color w:val="auto"/>
          <w:sz w:val="24"/>
          <w:highlight w:val="none"/>
        </w:rPr>
        <w:t xml:space="preserve">    ⑦设备应具有显示屏，能显示压力值、温度值、设备状态、数据传输状态、信号强度、电池电量等标识指示；</w:t>
      </w:r>
      <w:r>
        <w:rPr>
          <w:rFonts w:hint="eastAsia" w:ascii="宋体" w:hAnsi="宋体" w:cs="宋体"/>
          <w:color w:val="auto"/>
          <w:sz w:val="24"/>
          <w:highlight w:val="none"/>
        </w:rPr>
        <w:br/>
      </w:r>
      <w:r>
        <w:rPr>
          <w:rFonts w:hint="eastAsia" w:ascii="宋体" w:hAnsi="宋体" w:cs="宋体"/>
          <w:color w:val="auto"/>
          <w:sz w:val="24"/>
          <w:highlight w:val="none"/>
        </w:rPr>
        <w:t xml:space="preserve">    ⑧设备应能将采集到的数据（压力值、温度）、设备模拟量(物理小区标识PCI、信号功率、信噪比SNR、信号强度CSQ、电池电量百分比、高精度电压)和设备参数(心跳间隔、ICCID、IMEI、软件版本、设备型号、协议版本)上传到管理平台；</w:t>
      </w:r>
      <w:r>
        <w:rPr>
          <w:rFonts w:hint="eastAsia" w:ascii="宋体" w:hAnsi="宋体" w:cs="宋体"/>
          <w:color w:val="auto"/>
          <w:sz w:val="24"/>
          <w:highlight w:val="none"/>
        </w:rPr>
        <w:br/>
      </w:r>
      <w:r>
        <w:rPr>
          <w:rFonts w:hint="eastAsia" w:ascii="宋体" w:hAnsi="宋体" w:cs="宋体"/>
          <w:color w:val="auto"/>
          <w:sz w:val="24"/>
          <w:highlight w:val="none"/>
        </w:rPr>
        <w:t xml:space="preserve">    ⑨设备应能通过蓝牙与APP进行通讯，连接时需要使用密码验证；</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rPr>
        <w:t xml:space="preserve">⑩蓝牙调试APP应能进行设备维护，包括设置设备模组重启、设备重启、归零、取消归零、密码修改、通道屏蔽、解除通道屏蔽、恢复出厂设置，并能显示命令下发结果；</w:t>
      </w:r>
      <w:r>
        <w:rPr>
          <w:rFonts w:hint="eastAsia" w:ascii="宋体" w:hAnsi="宋体" w:cs="宋体"/>
          <w:color w:val="auto"/>
          <w:sz w:val="24"/>
          <w:highlight w:val="none"/>
        </w:rPr>
        <w:br/>
      </w:r>
      <w:r>
        <w:rPr>
          <w:rFonts w:hint="eastAsia" w:ascii="宋体" w:hAnsi="宋体" w:cs="宋体"/>
          <w:color w:val="auto"/>
          <w:sz w:val="24"/>
          <w:highlight w:val="none"/>
        </w:rPr>
        <w:t xml:space="preserve">    ⑪当传感器发生故障时，应能将故障信号上报管理平台；</w:t>
      </w:r>
      <w:r>
        <w:rPr>
          <w:rFonts w:hint="eastAsia" w:ascii="宋体" w:hAnsi="宋体" w:cs="宋体"/>
          <w:color w:val="auto"/>
          <w:sz w:val="24"/>
          <w:highlight w:val="none"/>
        </w:rPr>
        <w:br/>
      </w:r>
      <w:r>
        <w:rPr>
          <w:rFonts w:hint="eastAsia" w:ascii="宋体" w:hAnsi="宋体" w:cs="宋体"/>
          <w:color w:val="auto"/>
          <w:sz w:val="24"/>
          <w:highlight w:val="none"/>
        </w:rPr>
        <w:t xml:space="preserve">    ⑫设备采集的压力值高于报警上限阈值、低于报警下限阈值或超过波动阈值时，应能将报警状态上报管理平台；</w:t>
      </w:r>
      <w:r>
        <w:rPr>
          <w:rFonts w:hint="eastAsia" w:ascii="宋体" w:hAnsi="宋体" w:cs="宋体"/>
          <w:color w:val="auto"/>
          <w:sz w:val="24"/>
          <w:highlight w:val="none"/>
        </w:rPr>
        <w:br/>
      </w:r>
      <w:r>
        <w:rPr>
          <w:rFonts w:hint="eastAsia" w:ascii="宋体" w:hAnsi="宋体" w:cs="宋体"/>
          <w:color w:val="auto"/>
          <w:sz w:val="24"/>
          <w:highlight w:val="none"/>
        </w:rPr>
        <w:t xml:space="preserve">    ⑬设备支持通过管理平台下发远程升级。</w:t>
      </w:r>
      <w:r/>
    </w:p>
    <w:p>
      <w:pPr>
        <w:contextualSpacing/>
        <w:ind w:firstLine="482"/>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（2）4G一体式水池水位监测，6个点位</w:t>
      </w:r>
      <w:r/>
    </w:p>
    <w:p>
      <w:pPr>
        <w:contextualSpacing/>
        <w:ind w:left="479"/>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技术要求：</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①通讯方式：4G通讯；</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②采集类型：液位；</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③量程0~5m；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④设备应使用DC3.0锂电池供电，电池容量不小于12Ah；</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⑤为方便设备操作，设备面板应具有不少于三个按键；</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⑥当设备发生故障时，显示屏应能显示故障信息，若存在多个故障时，能够通过按键在显示屏上逐个查询；</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    ⑦设备应具有显示屏，能显示压力值、温度值、设备状态、数据传输状态、信号强度、电池电量等标识指示；</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    ⑧设备应能将采集到的数据（液值、温度）、设备模拟量(物理小区标识PCI、信号功率、信噪比SNR、信号强度CSQ、电池电量百分比、高精度电压)和设备参数(心跳间隔、ICCID、IMEI、软件版本、设备型号、协议版本)上传到管理平台；</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    ⑨设备应能通过蓝牙与APP进行通讯，连接时需要使用密码验证；</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    ⑩蓝牙调试APP应能进行设备维护，包括设置设备模组重启、设备重启、归零、取消归零、密码修改、通道屏蔽、解除通道屏蔽、恢复出厂设置，并能显示命令下发结果；</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    ⑪当传感器发生故障时，应能将故障信号上报管理平台；</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    ⑫设备采集的压力数据高于报警上限阈值、低于报警下限阈值或超过波动阈值时，应能将报警状态上报管理平台；</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    ⑬设备支持通过管理平台下发远程升级。</w:t>
      </w:r>
      <w:r/>
    </w:p>
    <w:p>
      <w:pPr>
        <w:numPr>
          <w:ilvl w:val="255"/>
          <w:numId w:val="0"/>
        </w:numPr>
        <w:contextualSpacing/>
        <w:ind w:firstLine="482"/>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（3）软件模块</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①实时采集30个水压点位、6个水池水位数据，实现数据实时传输（传输延迟≤2秒）、存储（存储周期≥1年，支持本地+云端双重备份）与可视化展示；</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水压异常（过高/过低）、水位异常（低于安全阈值/高于警戒水位）自动触发分级预警（一级、二级、三级），预警信息仅同步推送至智能安防平台、智慧校园统一门户及相关负责人手机端、电脑端（推送方式含弹窗、短信、APP推送）；</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③历史数据查询、趋势分析，可生成日报、周报、月报，支持数据导出（格式支持Excel、PDF），便于工作人员排查隐患、优化消防设施维护计划；</w:t>
      </w:r>
      <w:r/>
    </w:p>
    <w:p>
      <w:pPr>
        <w:contextualSpacing/>
        <w:ind w:firstLine="482"/>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④★软件需具备良好的兼容性，可无缝对接后续智能安防平台及智慧校园统一门户，支持后期功能升级扩展，相关技术参数需符合采购文件对软件系统的要求。（提供承诺函加盖并加盖公章）</w:t>
      </w:r>
      <w:r/>
    </w:p>
    <w:p>
      <w:pPr>
        <w:numPr>
          <w:ilvl w:val="255"/>
          <w:numId w:val="0"/>
        </w:numPr>
        <w:contextualSpacing/>
        <w:ind w:firstLine="482"/>
        <w:spacing w:line="360" w:lineRule="auto"/>
        <w:rPr>
          <w:rFonts w:ascii="宋体" w:hAnsi="宋体" w:cs="宋体"/>
          <w:b/>
          <w:bCs/>
          <w:color w:val="auto"/>
          <w:sz w:val="24"/>
          <w:highlight w:val="none"/>
        </w:rPr>
      </w:pPr>
      <w:r/>
      <w:bookmarkStart w:id="650" w:name="_Toc1747"/>
      <w:r>
        <w:rPr>
          <w:rFonts w:hint="eastAsia" w:ascii="宋体" w:hAnsi="宋体" w:cs="宋体"/>
          <w:b/>
          <w:bCs/>
          <w:color w:val="auto"/>
          <w:sz w:val="24"/>
          <w:highlight w:val="none"/>
        </w:rPr>
        <w:t xml:space="preserve">4.2 </w:t>
      </w:r>
      <w:r>
        <w:rPr>
          <w:rFonts w:ascii="宋体" w:hAnsi="宋体" w:cs="宋体"/>
          <w:b/>
          <w:bCs/>
          <w:color w:val="auto"/>
          <w:sz w:val="24"/>
          <w:highlight w:val="none"/>
        </w:rPr>
        <w:t xml:space="preserve">消防主机对接可视化集成配套服务</w:t>
      </w:r>
      <w:bookmarkEnd w:id="650"/>
      <w:r/>
      <w:r/>
    </w:p>
    <w:p>
      <w:pPr>
        <w:numPr>
          <w:ilvl w:val="255"/>
          <w:numId w:val="0"/>
        </w:numPr>
        <w:contextualSpacing/>
        <w:ind w:firstLine="482"/>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（1）消防信息传输器</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①适配现场已建成的两套消防系统（自动喷水灭火系统、火灾自动报警系统）及烟杆报警平台的专用对接模块、工业级信号转换器、数据隔离器。</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②对接模块需支持Modbus、OPC UA等主流工业通信协议，信号转换器转换精度≥99.9%，数据隔离器具备光电隔离功能，隔离电压≥2500V。</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③所有硬件设备防护等级≥IP65，符合国家消防行业标准及智慧校园建设技术规范。</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④采用GB26875.3国标通讯协议。可将消防主机状态、信息等通过RS485、RS232接入。</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    ⑤支持不少于4路开关量输入，AC220V主电和5Ah备电供电方式，主电断电时可切至备电使用。</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⑥对接要求：硬件设备可直接与现有消防系统、烟杆报警平台的硬件接口对接，无需对原有系统进行大规模改造，最大限度降低改造成本、减少对现有消防设施正常运行的影响。</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⑦对接后需实现信号传输无丢失、无延迟、无干扰，报警响应时间≤3秒，确保消防报警信息的实时性和准确性。</w:t>
      </w:r>
      <w:r/>
    </w:p>
    <w:p>
      <w:pPr>
        <w:contextualSpacing/>
        <w:ind w:firstLine="420"/>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（2）软件与系统接入</w:t>
      </w:r>
      <w:r/>
    </w:p>
    <w:p>
      <w:pPr>
        <w:contextualSpacing/>
        <w:ind w:firstLine="482"/>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①★与现有系统无缝对接：软件模块需支持与已建成的两套消防系统、烟杆报警平台进行全量数据对接，全面采集两类系统的所有报警信息，包括但不限于火灾报警（烟杆报警平台触发的烟雾报警、温度报警等，报警灵敏度可调节）、设备故障报警、状态异常报警（水压异常、水位异常联动报警等），实现报警信息的全量覆盖、无遗漏采集。（提供承诺函加盖并加盖公章）</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②对接应采用标准化的数据接口协议，严格遵循现有系统的接口规范，设置AES-256数据加密传输机制，保障报警信息传输的安全性，防止数据泄露、篡改，符合采购项目对数据安全的要求。</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③软件需具备比较好的适配功能，可根据现有消防系统、烟杆报警平台的运行状态，调整对接参数，确保对接稳定性。</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    ④可视化预警功能升级：</w:t>
      </w:r>
      <w:r/>
    </w:p>
    <w:p>
      <w:pPr>
        <w:numPr>
          <w:ilvl w:val="1"/>
          <w:numId w:val="14"/>
        </w:numPr>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打造全方位、精细化的可视化预警体系，满足</w:t>
      </w:r>
      <w:r>
        <w:rPr>
          <w:rFonts w:hint="eastAsia" w:ascii="宋体" w:hAnsi="宋体" w:cs="宋体"/>
          <w:color w:val="auto"/>
          <w:sz w:val="24"/>
          <w:highlight w:val="none"/>
        </w:rPr>
        <w:t xml:space="preserve">采购</w:t>
      </w:r>
      <w:r>
        <w:rPr>
          <w:rFonts w:hint="eastAsia" w:ascii="宋体" w:hAnsi="宋体" w:cs="宋体"/>
          <w:color w:val="auto"/>
          <w:sz w:val="24"/>
          <w:highlight w:val="none"/>
          <w:lang w:bidi="ar"/>
        </w:rPr>
        <w:t xml:space="preserve">项目对报警管理可视化、可追溯的要求。软件模块支持报警信息的分级分类展示（按报警等级分为一级、二级、三级预警，按报警类型分为火灾报警、故障报警、异常报警）。</w:t>
      </w:r>
      <w:r/>
    </w:p>
    <w:p>
      <w:pPr>
        <w:numPr>
          <w:ilvl w:val="1"/>
          <w:numId w:val="14"/>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报警触发后，立即在软件界面自动标注报警具体位置（精确到楼层、房间，与校园电子地图联动，与监控系统联动）、报警类型、报警时间、报警等级，联动现场监控摄像头，实时推送现场画面至软件界面，画面延迟≤3秒，便于工作人员快速确认现场情况、判断险情等级。</w:t>
      </w:r>
      <w:r/>
    </w:p>
    <w:p>
      <w:pPr>
        <w:numPr>
          <w:ilvl w:val="1"/>
          <w:numId w:val="14"/>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同时，支持报警信息的实时推送，仅同步推送至智能安防平台、智慧校园统一门户系统，以及相关负责人（安保人员、消防管理员、学校相关领导）的手机端、电脑端，推送方式包括弹窗提醒、短信通知、APP推送等，确保相关人员第一时间接收报警信息、启动处置流程。</w:t>
      </w:r>
      <w:r/>
    </w:p>
    <w:p>
      <w:pPr>
        <w:numPr>
          <w:ilvl w:val="1"/>
          <w:numId w:val="14"/>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软件支持报警记录的全量留存（留存周期≥3年），包括报警信息、处置人员、处置时间、处置措施、处置结果等，形成完整的报警处置台账，可随时查询、导出；同时支持报警数据的统计分析，生成月度、季度、年度报警统计报告，为消防管理优化提供数据支撑。</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⑤统一接入智慧校园统一门户系统：</w:t>
      </w:r>
      <w:r/>
    </w:p>
    <w:p>
      <w:pPr>
        <w:numPr>
          <w:ilvl w:val="1"/>
          <w:numId w:val="15"/>
        </w:numPr>
        <w:jc w:val="left"/>
        <w:spacing w:line="360" w:lineRule="auto"/>
        <w:widowControl/>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严格按照智慧校园统一门户系统的接入标准（遵循采购人提供的门户接口规范、数据标准），完成消防报警对接与可视化预警模块与统一门户的无缝接入，实现数据互通、功能联动，满足采购项目对系统统一性、集成性的要求。（提供承诺函加盖并加盖公章）</w:t>
      </w:r>
      <w:r/>
    </w:p>
    <w:p>
      <w:pPr>
        <w:numPr>
          <w:ilvl w:val="1"/>
          <w:numId w:val="15"/>
        </w:numPr>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接入后，智慧校园统一门户系统可直接展示消防报警相关的所有信息（包括实时报警、历史报警、报警处置台账、消防设施运行状态等），支持门户端对报警信息的查询、筛选、统计，以及报警处置指令的下发，实现“一门户、全管理”。</w:t>
      </w:r>
      <w:r/>
    </w:p>
    <w:p>
      <w:pPr>
        <w:numPr>
          <w:ilvl w:val="1"/>
          <w:numId w:val="15"/>
        </w:numPr>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接入过程中需遵循智慧校园统一门户的接口规范、数据标准，确保接入后不影响门户系统的正常运行，同时保障消防报警信息在门户系统展示的实时性、准确性，支持门户端与消防报警模块的双向联动，工作人员可通过门户系统直接查看报警现场画面、下达处置指令，实现消防报警的统一管理、统一调度。</w:t>
      </w:r>
      <w:r/>
    </w:p>
    <w:p>
      <w:pPr>
        <w:numPr>
          <w:ilvl w:val="1"/>
          <w:numId w:val="15"/>
        </w:numPr>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软件模块需支持与智慧校园统一门户系统的权限同步，根据门户系统的用户权限设置，分配不同人员的消防报警查看、处置、管理权限（如安保人员仅可查看报警信息、执行处置操作，管理员可查看统计数据、修改权限设置），确保管理规范、权责清晰，符合采购项目对权限管理的要求。</w:t>
      </w:r>
      <w:r/>
    </w:p>
    <w:p>
      <w:pPr>
        <w:contextualSpacing/>
        <w:ind w:left="420"/>
        <w:spacing w:line="360" w:lineRule="auto"/>
        <w:rPr>
          <w:rFonts w:ascii="宋体" w:hAnsi="宋体" w:cs="宋体"/>
          <w:b/>
          <w:bCs/>
          <w:color w:val="auto"/>
          <w:sz w:val="24"/>
          <w:highlight w:val="none"/>
        </w:rPr>
      </w:pPr>
      <w:r/>
      <w:bookmarkStart w:id="651" w:name="_Toc22258"/>
      <w:r/>
      <w:bookmarkStart w:id="652" w:name="_Toc6003"/>
      <w:r>
        <w:rPr>
          <w:rFonts w:hint="eastAsia" w:ascii="宋体" w:hAnsi="宋体" w:cs="宋体"/>
          <w:b/>
          <w:bCs/>
          <w:color w:val="auto"/>
          <w:sz w:val="24"/>
          <w:highlight w:val="none"/>
        </w:rPr>
        <w:t xml:space="preserve">（3）消防栓月检信息管理</w:t>
      </w:r>
      <w:bookmarkEnd w:id="651"/>
      <w:r/>
      <w:bookmarkEnd w:id="652"/>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消防栓月检管理，完全适配采购对消防栓巡检规范化、信息化的要求，具体功能如下：</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①明确月检标准、巡检项目（含消防栓外观、出水压力、接口密封性、配件完整性、启闭灵活性等），巡检项目可根据采购人需求灵活调整；</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②支持工作人员通过手机端、电脑端录入月检信息（含巡检时间、巡检人员、巡检结果、问题描述、整改措施及整改时限），支持现场拍照上传（照片可关联巡检点位，留存周期≥3年）；</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③支持巡检提醒功能（可设置提前3天提醒，逾期未巡检自动触发预警，仅推送至相关负责人），避免漏检、逾期巡检；</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④支持月检数据统计、分析，可生成月度、季度、年度巡检报告，支持数据导出，便于管理人员掌握消防栓维护状态，及时整改存在的问题，确保消防栓随时可用；</w:t>
      </w:r>
      <w:r/>
    </w:p>
    <w:p>
      <w:pPr>
        <w:contextualSpacing/>
        <w:ind w:firstLine="482"/>
        <w:spacing w:line="360" w:lineRule="auto"/>
        <w:rPr>
          <w:rFonts w:ascii="宋体" w:hAnsi="宋体" w:cs="宋体"/>
          <w:color w:val="auto"/>
          <w:sz w:val="24"/>
          <w:highlight w:val="none"/>
          <w:lang w:bidi="ar"/>
        </w:rPr>
      </w:pPr>
      <w:r>
        <w:rPr>
          <w:rFonts w:hint="eastAsia" w:ascii="宋体" w:hAnsi="宋体" w:cs="宋体"/>
          <w:b/>
          <w:bCs/>
          <w:color w:val="auto"/>
          <w:sz w:val="24"/>
          <w:highlight w:val="none"/>
          <w:lang w:bidi="ar"/>
        </w:rPr>
        <w:t xml:space="preserve">⑤★软件需无缝对接智能安防平台及智慧校园统一门户，实现巡检数据的统一展示、查询、管理，符合采购统一管理要求；（提供承诺函加盖并加盖公章）</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⑥提供完整的操作手册、维护手册，支持后期功能优化升级，相关技术参数符合采购文件对软件系统的要求。</w:t>
      </w:r>
      <w:r/>
    </w:p>
    <w:p>
      <w:pPr>
        <w:contextualSpacing/>
        <w:ind w:firstLine="482"/>
        <w:jc w:val="left"/>
        <w:spacing w:line="360" w:lineRule="auto"/>
        <w:rPr>
          <w:rFonts w:ascii="宋体" w:hAnsi="宋体" w:cs="宋体"/>
          <w:b/>
          <w:bCs/>
          <w:color w:val="auto"/>
          <w:sz w:val="24"/>
          <w:highlight w:val="none"/>
        </w:rPr>
      </w:pPr>
      <w:r/>
      <w:bookmarkStart w:id="653" w:name="_Toc23925"/>
      <w:r/>
      <w:bookmarkStart w:id="654" w:name="_Toc27260"/>
      <w:r/>
      <w:bookmarkStart w:id="655" w:name="_Toc11729"/>
      <w:r>
        <w:rPr>
          <w:rFonts w:hint="eastAsia" w:ascii="宋体" w:hAnsi="宋体" w:cs="宋体"/>
          <w:b/>
          <w:bCs/>
          <w:color w:val="auto"/>
          <w:sz w:val="24"/>
          <w:highlight w:val="none"/>
        </w:rPr>
        <w:t xml:space="preserve">5.校园治安与人行管控配套服务</w:t>
      </w:r>
      <w:bookmarkEnd w:id="653"/>
      <w:r/>
      <w:bookmarkEnd w:id="654"/>
      <w:r/>
      <w:bookmarkEnd w:id="655"/>
      <w:r/>
      <w:r/>
    </w:p>
    <w:p>
      <w:pPr>
        <w:contextualSpacing/>
        <w:ind w:firstLine="482"/>
        <w:spacing w:line="360" w:lineRule="auto"/>
        <w:rPr>
          <w:rFonts w:ascii="宋体" w:hAnsi="宋体" w:cs="宋体"/>
          <w:b/>
          <w:bCs/>
          <w:color w:val="auto"/>
          <w:sz w:val="24"/>
          <w:highlight w:val="none"/>
        </w:rPr>
      </w:pPr>
      <w:r/>
      <w:bookmarkStart w:id="656" w:name="_Toc11195"/>
      <w:r/>
      <w:bookmarkStart w:id="657" w:name="_Toc24875"/>
      <w:r>
        <w:rPr>
          <w:rFonts w:hint="eastAsia" w:ascii="宋体" w:hAnsi="宋体" w:cs="宋体"/>
          <w:b/>
          <w:bCs/>
          <w:color w:val="auto"/>
          <w:sz w:val="24"/>
          <w:highlight w:val="none"/>
        </w:rPr>
        <w:t xml:space="preserve">5.1 人行通行配套布设服务</w:t>
      </w:r>
      <w:bookmarkEnd w:id="656"/>
      <w:r/>
      <w:bookmarkEnd w:id="657"/>
      <w:r/>
      <w:r/>
    </w:p>
    <w:p>
      <w:pPr>
        <w:contextualSpacing/>
        <w:ind w:firstLine="482"/>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（1）配备人行道闸2套</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①选用防尾随、防冲撞设计（抗冲撞力≥500N）。</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②通行速度≥30人/分钟，支持常开/常闭模式切换，具备防夹功能（感应灵敏度可调节），防护等级≥IP54，适配校园出入口人流量需求。</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③闸机材质为304不锈钢，厚度≥1.5mm，外观符合校园整体风格。</w:t>
      </w:r>
      <w:r/>
    </w:p>
    <w:p>
      <w:pPr>
        <w:contextualSpacing/>
        <w:ind w:firstLine="420"/>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（2）配备刷脸机6台</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①人脸快速识别（识别速度≤1秒，识别准确率≥99.9%）。</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②支持人脸识别验证模式，具备活体检测功能（可抵御照片、视频、面具伪造欺骗）。</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③摄像头像素≥200万。</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④夜间补光（补光距离≥3米）。</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⑤防护等级≥IP54。</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⑥支持离线识别（离线存储容量≥10000条）。</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⑦支持人员信息录入、删除、修改，可区分教职工、学生、访客等不同人员类型。</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⑧设置不同出入权限，人员信息同步需要与学校学工系统对接，实现无感同步，实时同步，且同步数据的时候，不影响正常考勤扫脸。</w:t>
      </w:r>
      <w:r/>
    </w:p>
    <w:p>
      <w:pPr>
        <w:contextualSpacing/>
        <w:ind w:firstLine="420"/>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（3）系统集成服务</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w:t>
      </w:r>
      <w:r>
        <w:rPr>
          <w:rFonts w:ascii="宋体" w:hAnsi="宋体" w:cs="宋体"/>
          <w:color w:val="auto"/>
          <w:sz w:val="24"/>
          <w:highlight w:val="none"/>
          <w:lang w:bidi="ar"/>
        </w:rPr>
        <w:t xml:space="preserve">安装位置：明确道闸、刷脸机的安装位置（西门、南门出入口指定区域，确保安装牢固、不影响通行，与校园出入口整体布局协调），安装前需提交安装方案，经采购人确认后实施；安装过程中需保护校园现有设施，避免损坏，施工垃圾及时清理。</w:t>
      </w:r>
      <w:r/>
    </w:p>
    <w:p>
      <w:pPr>
        <w:contextualSpacing/>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lang w:bidi="ar"/>
        </w:rPr>
        <w:t xml:space="preserve">②</w:t>
      </w:r>
      <w:r>
        <w:rPr>
          <w:rFonts w:ascii="宋体" w:hAnsi="宋体" w:cs="宋体"/>
          <w:color w:val="auto"/>
          <w:sz w:val="24"/>
          <w:highlight w:val="none"/>
          <w:lang w:bidi="ar"/>
        </w:rPr>
        <w:t xml:space="preserve">集成服务要求：需完成道闸、刷脸机相关的系统集成内容，确保设备运行稳定，识别准确、通行顺畅；同步完成刷脸机与人脸数据库的对接，支持批量导入人员信息，设置不同人员出入权限（如学生上下学时段通行、访客登记后通行）。</w:t>
      </w:r>
      <w:bookmarkStart w:id="658" w:name="_Toc15146"/>
      <w:r/>
      <w:bookmarkStart w:id="659" w:name="_Toc2101"/>
      <w:r/>
      <w:r/>
    </w:p>
    <w:p>
      <w:pPr>
        <w:numPr>
          <w:ilvl w:val="255"/>
          <w:numId w:val="0"/>
        </w:numPr>
        <w:contextualSpacing/>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5.2 防欺凌AI预警配套布设服务</w:t>
      </w:r>
      <w:bookmarkEnd w:id="658"/>
      <w:r/>
      <w:bookmarkEnd w:id="659"/>
      <w:r/>
      <w:r/>
    </w:p>
    <w:p>
      <w:pPr>
        <w:contextualSpacing/>
        <w:ind w:firstLine="420"/>
        <w:spacing w:line="360" w:lineRule="auto"/>
        <w:rPr>
          <w:rFonts w:ascii="宋体" w:hAnsi="宋体" w:cs="宋体"/>
          <w:color w:val="auto"/>
          <w:sz w:val="24"/>
          <w:highlight w:val="none"/>
          <w:lang w:bidi="ar"/>
        </w:rPr>
      </w:pPr>
      <w:r>
        <w:rPr>
          <w:rFonts w:hint="eastAsia" w:ascii="宋体" w:hAnsi="宋体" w:cs="宋体"/>
          <w:b/>
          <w:bCs/>
          <w:color w:val="auto"/>
          <w:sz w:val="24"/>
          <w:highlight w:val="none"/>
          <w:lang w:bidi="ar"/>
        </w:rPr>
        <w:t xml:space="preserve">（1）配备校园防霸凌人工智能AI报警器10个</w:t>
      </w:r>
      <w:r/>
    </w:p>
    <w:p>
      <w:pPr>
        <w:numPr>
          <w:ilvl w:val="255"/>
          <w:numId w:val="0"/>
        </w:numPr>
        <w:contextualSpacing/>
        <w:ind w:left="479"/>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①冲突行为预警：通过视觉或传感器监测异常肢体冲突。</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②围观事件检测：识别多人聚集可能引发的欺凌前兆。</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③紧急语音报警：通过特定语音指令触发报警。</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④语音识别：复杂环境下的识别，包括人声混叠（多人同时说话）、强背景噪音的识别。</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    ⑤声纹识别。</w:t>
      </w:r>
      <w:r/>
    </w:p>
    <w:p>
      <w:pPr>
        <w:numPr>
          <w:ilvl w:val="255"/>
          <w:numId w:val="0"/>
        </w:numPr>
        <w:contextualSpacing/>
        <w:ind w:firstLine="482"/>
        <w:spacing w:line="360" w:lineRule="auto"/>
        <w:rPr>
          <w:rFonts w:ascii="宋体" w:hAnsi="宋体" w:cs="宋体"/>
          <w:b/>
          <w:bCs/>
          <w:color w:val="auto"/>
          <w:sz w:val="24"/>
          <w:highlight w:val="none"/>
        </w:rPr>
      </w:pPr>
      <w:r/>
      <w:bookmarkStart w:id="660" w:name="_Toc25686"/>
      <w:r/>
      <w:bookmarkStart w:id="661" w:name="_Toc15670"/>
      <w:r>
        <w:rPr>
          <w:rFonts w:hint="eastAsia" w:ascii="宋体" w:hAnsi="宋体" w:cs="宋体"/>
          <w:b/>
          <w:bCs/>
          <w:color w:val="auto"/>
          <w:sz w:val="24"/>
          <w:highlight w:val="none"/>
        </w:rPr>
        <w:t xml:space="preserve">5.3 智能交通数据可视化与预警</w:t>
      </w:r>
      <w:bookmarkEnd w:id="660"/>
      <w:r/>
      <w:bookmarkEnd w:id="661"/>
      <w:r/>
      <w:r/>
    </w:p>
    <w:p>
      <w:pPr>
        <w:numPr>
          <w:ilvl w:val="255"/>
          <w:numId w:val="0"/>
        </w:numPr>
        <w:contextualSpacing/>
        <w:ind w:firstLine="482"/>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（1）交通数据可视化配套服务</w:t>
      </w:r>
      <w:r/>
    </w:p>
    <w:p>
      <w:pPr>
        <w:numPr>
          <w:ilvl w:val="255"/>
          <w:numId w:val="0"/>
        </w:numPr>
        <w:contextualSpacing/>
        <w:ind w:firstLine="480"/>
        <w:spacing w:line="360" w:lineRule="auto"/>
        <w:rPr>
          <w:rFonts w:ascii="宋体" w:hAnsi="宋体" w:cs="宋体"/>
          <w:b/>
          <w:bCs/>
          <w:color w:val="auto"/>
          <w:sz w:val="24"/>
          <w:highlight w:val="none"/>
          <w:lang w:bidi="ar"/>
        </w:rPr>
      </w:pPr>
      <w:r>
        <w:rPr>
          <w:rFonts w:hint="eastAsia" w:ascii="宋体" w:hAnsi="宋体" w:cs="宋体"/>
          <w:color w:val="auto"/>
          <w:sz w:val="24"/>
          <w:highlight w:val="none"/>
          <w:lang w:bidi="ar"/>
        </w:rPr>
        <w:t xml:space="preserve">▲进出校车辆数据、访客数据的实时可视化展示，包括车辆进出数量、高峰时段、访客来源、访客进出时间、车辆类型分布等，可通过图表（柱状图、折线图、饼图）直观展示，支持数据查询、筛选、导出（格式支持Excel）。</w:t>
      </w:r>
      <w:r>
        <w:rPr>
          <w:rFonts w:hint="eastAsia" w:ascii="宋体" w:hAnsi="宋体" w:cs="宋体"/>
          <w:b/>
          <w:bCs/>
          <w:color w:val="auto"/>
          <w:sz w:val="24"/>
          <w:highlight w:val="none"/>
          <w:lang w:bidi="ar"/>
        </w:rPr>
        <w:t xml:space="preserve">（提供软件功能截图并加盖供应商公章）</w:t>
      </w:r>
      <w:r/>
    </w:p>
    <w:p>
      <w:pPr>
        <w:contextualSpacing/>
        <w:ind w:left="420"/>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（2）车辆违章预警配套服务</w:t>
      </w:r>
      <w:r/>
    </w:p>
    <w:p>
      <w:pPr>
        <w:numPr>
          <w:ilvl w:val="255"/>
          <w:numId w:val="0"/>
        </w:num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通过园区出入口及内部关键路段的摄像头，智能识别车辆违停（识别准确率≥98%）、超速（可设置限速阈值，识别准确率≥99%）行为，仅在智能安防平台及相关负责人终端触发报警，同步推送报警信息至安保人员终端，明确报警位置、车辆信息，便于快速处置，支持一键拉黑，同步学校门禁系统，拉黑后车辆将无法进出校园；</w:t>
      </w:r>
      <w:r/>
    </w:p>
    <w:p>
      <w:pPr>
        <w:numPr>
          <w:ilvl w:val="255"/>
          <w:numId w:val="0"/>
        </w:numPr>
        <w:contextualSpacing/>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lang w:bidi="ar"/>
        </w:rPr>
        <w:t xml:space="preserve">②◆车辆超速与违停警报及拉黑处置：实时监管车辆超速行驶或违规停车的自动监测、报警流程，以及后续对违规车辆进行拉黑处置的完整操作过程。</w:t>
      </w:r>
      <w:r>
        <w:rPr>
          <w:rFonts w:hint="eastAsia" w:ascii="宋体" w:hAnsi="宋体" w:cs="宋体"/>
          <w:b/>
          <w:bCs/>
          <w:color w:val="auto"/>
          <w:sz w:val="24"/>
          <w:highlight w:val="none"/>
          <w:lang w:bidi="ar"/>
        </w:rPr>
        <w:t xml:space="preserve">（提供视频演示）</w:t>
      </w:r>
      <w:r/>
    </w:p>
    <w:p>
      <w:pPr>
        <w:contextualSpacing/>
        <w:ind w:firstLine="420"/>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bidi="ar"/>
        </w:rPr>
        <w:t xml:space="preserve">车辆台账管理配套服务</w:t>
      </w:r>
      <w:r/>
    </w:p>
    <w:p>
      <w:pPr>
        <w:numPr>
          <w:ilvl w:val="255"/>
          <w:numId w:val="0"/>
        </w:num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车辆信息登记（含车牌、车辆类型、车主信息等）、黑名单管理，禁止违规车辆（如无登记车辆、黑名单车辆）进出园区；支持访客车辆登记。</w:t>
      </w:r>
      <w:r/>
    </w:p>
    <w:p>
      <w:pPr>
        <w:contextualSpacing/>
        <w:ind w:left="420"/>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（4）交通统计分析配套服务</w:t>
      </w:r>
      <w:r/>
    </w:p>
    <w:p>
      <w:pPr>
        <w:numPr>
          <w:ilvl w:val="255"/>
          <w:numId w:val="0"/>
        </w:num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▲交通数据统计分析，生成月度、季度、年度统计报告，明确车辆通行规律、违停超速次数、高发区域等，为园区交通管理优化提供数据支撑。</w:t>
      </w:r>
      <w:r>
        <w:rPr>
          <w:rFonts w:hint="eastAsia" w:ascii="宋体" w:hAnsi="宋体" w:cs="宋体"/>
          <w:b/>
          <w:bCs/>
          <w:color w:val="auto"/>
          <w:sz w:val="24"/>
          <w:highlight w:val="none"/>
          <w:lang w:bidi="ar"/>
        </w:rPr>
        <w:t xml:space="preserve">（提供软件功能截图并加盖供应商公章）</w:t>
      </w:r>
      <w:r/>
    </w:p>
    <w:p>
      <w:pPr>
        <w:contextualSpacing/>
        <w:ind w:firstLine="420"/>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（5）交通模块门户对接配套服务</w:t>
      </w:r>
      <w:r/>
    </w:p>
    <w:p>
      <w:pPr>
        <w:numPr>
          <w:ilvl w:val="255"/>
          <w:numId w:val="0"/>
        </w:numPr>
        <w:contextualSpacing/>
        <w:ind w:firstLine="482"/>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★软件模块需无缝对接智能安防平台及智慧校园统一门户，实现交通数据、报警信息的统一展示、查询、管理，支持在门户端下达处置指令。（提供承诺函加盖并加盖公章）</w:t>
      </w:r>
      <w:r/>
    </w:p>
    <w:p>
      <w:pPr>
        <w:contextualSpacing/>
        <w:ind w:firstLine="482"/>
        <w:jc w:val="left"/>
        <w:spacing w:line="360" w:lineRule="auto"/>
        <w:rPr>
          <w:color w:val="auto"/>
          <w:highlight w:val="none"/>
        </w:rPr>
      </w:pPr>
      <w:r>
        <w:rPr>
          <w:rFonts w:hint="eastAsia" w:ascii="宋体" w:hAnsi="宋体" w:cs="宋体"/>
          <w:b/>
          <w:bCs/>
          <w:color w:val="auto"/>
          <w:sz w:val="24"/>
          <w:highlight w:val="none"/>
        </w:rPr>
        <w:t xml:space="preserve">6.消控中心场地优化配套实施服务</w:t>
      </w:r>
      <w:r/>
    </w:p>
    <w:p>
      <w:pPr>
        <w:contextualSpacing/>
        <w:ind w:firstLine="480"/>
        <w:jc w:val="left"/>
        <w:spacing w:line="360" w:lineRule="auto"/>
        <w:rPr>
          <w:color w:val="auto"/>
          <w:sz w:val="24"/>
          <w:highlight w:val="none"/>
        </w:rPr>
      </w:pPr>
      <w:r>
        <w:rPr>
          <w:rFonts w:hint="eastAsia"/>
          <w:color w:val="auto"/>
          <w:sz w:val="24"/>
          <w:highlight w:val="none"/>
        </w:rPr>
        <w:t xml:space="preserve">包括但不限于以下内容：</w:t>
      </w:r>
      <w:r/>
    </w:p>
    <w:tbl>
      <w:tblPr>
        <w:tblStyle w:val="1040"/>
        <w:tblW w:w="7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4189"/>
        <w:gridCol w:w="1170"/>
        <w:gridCol w:w="1290"/>
      </w:tblGrid>
      <w:tr>
        <w:trPr>
          <w:jc w:val="center"/>
          <w:trHeight w:val="573"/>
        </w:trPr>
        <w:tc>
          <w:tcPr>
            <w:tcW w:w="121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lang w:bidi="ar"/>
              </w:rPr>
              <w:t xml:space="preserve">序号</w:t>
            </w:r>
            <w:r/>
          </w:p>
        </w:tc>
        <w:tc>
          <w:tcPr>
            <w:tcW w:w="418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lang w:bidi="ar"/>
              </w:rPr>
              <w:t xml:space="preserve">名称</w:t>
            </w:r>
            <w:r/>
          </w:p>
        </w:tc>
        <w:tc>
          <w:tcPr>
            <w:tcW w:w="1170"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lang w:bidi="ar"/>
              </w:rPr>
              <w:t xml:space="preserve">单位</w:t>
            </w:r>
            <w:r/>
          </w:p>
        </w:tc>
        <w:tc>
          <w:tcPr>
            <w:tcW w:w="1290"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lang w:bidi="ar"/>
              </w:rPr>
              <w:t xml:space="preserve">数量</w:t>
            </w:r>
            <w:r/>
          </w:p>
        </w:tc>
      </w:tr>
      <w:tr>
        <w:trPr>
          <w:jc w:val="center"/>
          <w:trHeight w:val="573"/>
        </w:trPr>
        <w:tc>
          <w:tcPr>
            <w:tcW w:w="121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c>
          <w:tcPr>
            <w:tcW w:w="41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原立面拆除（顶+地）</w:t>
            </w:r>
            <w:r/>
          </w:p>
        </w:tc>
        <w:tc>
          <w:tcPr>
            <w:tcW w:w="117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w:t>
            </w:r>
            <w:r/>
          </w:p>
        </w:tc>
        <w:tc>
          <w:tcPr>
            <w:tcW w:w="129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125</w:t>
            </w:r>
            <w:r/>
          </w:p>
        </w:tc>
      </w:tr>
      <w:tr>
        <w:trPr>
          <w:jc w:val="center"/>
          <w:trHeight w:val="573"/>
        </w:trPr>
        <w:tc>
          <w:tcPr>
            <w:tcW w:w="121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c>
          <w:tcPr>
            <w:tcW w:w="41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敲墙</w:t>
            </w:r>
            <w:r/>
          </w:p>
        </w:tc>
        <w:tc>
          <w:tcPr>
            <w:tcW w:w="117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w:t>
            </w:r>
            <w:r/>
          </w:p>
        </w:tc>
        <w:tc>
          <w:tcPr>
            <w:tcW w:w="129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30</w:t>
            </w:r>
            <w:r/>
          </w:p>
        </w:tc>
      </w:tr>
      <w:tr>
        <w:trPr>
          <w:jc w:val="center"/>
          <w:trHeight w:val="573"/>
        </w:trPr>
        <w:tc>
          <w:tcPr>
            <w:tcW w:w="121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3</w:t>
            </w:r>
            <w:r/>
          </w:p>
        </w:tc>
        <w:tc>
          <w:tcPr>
            <w:tcW w:w="41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轻钢龙骨石膏板吊顶</w:t>
            </w:r>
            <w:r/>
          </w:p>
        </w:tc>
        <w:tc>
          <w:tcPr>
            <w:tcW w:w="117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w:t>
            </w:r>
            <w:r/>
          </w:p>
        </w:tc>
        <w:tc>
          <w:tcPr>
            <w:tcW w:w="129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25</w:t>
            </w:r>
            <w:r/>
          </w:p>
        </w:tc>
      </w:tr>
      <w:tr>
        <w:trPr>
          <w:jc w:val="center"/>
          <w:trHeight w:val="573"/>
        </w:trPr>
        <w:tc>
          <w:tcPr>
            <w:tcW w:w="121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4</w:t>
            </w:r>
            <w:r/>
          </w:p>
        </w:tc>
        <w:tc>
          <w:tcPr>
            <w:tcW w:w="41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石膏板三遍腻子批灰油漆</w:t>
            </w:r>
            <w:r/>
          </w:p>
        </w:tc>
        <w:tc>
          <w:tcPr>
            <w:tcW w:w="117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w:t>
            </w:r>
            <w:r/>
          </w:p>
        </w:tc>
        <w:tc>
          <w:tcPr>
            <w:tcW w:w="129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50</w:t>
            </w:r>
            <w:r/>
          </w:p>
        </w:tc>
      </w:tr>
      <w:tr>
        <w:trPr>
          <w:jc w:val="center"/>
          <w:trHeight w:val="573"/>
        </w:trPr>
        <w:tc>
          <w:tcPr>
            <w:tcW w:w="121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5</w:t>
            </w:r>
            <w:r/>
          </w:p>
        </w:tc>
        <w:tc>
          <w:tcPr>
            <w:tcW w:w="41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铝方通吊顶制作</w:t>
            </w:r>
            <w:r/>
          </w:p>
        </w:tc>
        <w:tc>
          <w:tcPr>
            <w:tcW w:w="117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w:t>
            </w:r>
            <w:r/>
          </w:p>
        </w:tc>
        <w:tc>
          <w:tcPr>
            <w:tcW w:w="129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160</w:t>
            </w:r>
            <w:r/>
          </w:p>
        </w:tc>
      </w:tr>
      <w:tr>
        <w:trPr>
          <w:jc w:val="center"/>
          <w:trHeight w:val="573"/>
        </w:trPr>
        <w:tc>
          <w:tcPr>
            <w:tcW w:w="121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6</w:t>
            </w:r>
            <w:r/>
          </w:p>
        </w:tc>
        <w:tc>
          <w:tcPr>
            <w:tcW w:w="41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造型软膜灯箱</w:t>
            </w:r>
            <w:r/>
          </w:p>
        </w:tc>
        <w:tc>
          <w:tcPr>
            <w:tcW w:w="117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个</w:t>
            </w:r>
            <w:r/>
          </w:p>
        </w:tc>
        <w:tc>
          <w:tcPr>
            <w:tcW w:w="129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jc w:val="center"/>
          <w:trHeight w:val="573"/>
        </w:trPr>
        <w:tc>
          <w:tcPr>
            <w:tcW w:w="121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7</w:t>
            </w:r>
            <w:r/>
          </w:p>
        </w:tc>
        <w:tc>
          <w:tcPr>
            <w:tcW w:w="41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墙面造型制作</w:t>
            </w:r>
            <w:r/>
          </w:p>
        </w:tc>
        <w:tc>
          <w:tcPr>
            <w:tcW w:w="117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w:t>
            </w:r>
            <w:r/>
          </w:p>
        </w:tc>
        <w:tc>
          <w:tcPr>
            <w:tcW w:w="129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250</w:t>
            </w:r>
            <w:r/>
          </w:p>
        </w:tc>
      </w:tr>
      <w:tr>
        <w:trPr>
          <w:jc w:val="center"/>
          <w:trHeight w:val="573"/>
        </w:trPr>
        <w:tc>
          <w:tcPr>
            <w:tcW w:w="121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8</w:t>
            </w:r>
            <w:r/>
          </w:p>
        </w:tc>
        <w:tc>
          <w:tcPr>
            <w:tcW w:w="41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隐形门制作</w:t>
            </w:r>
            <w:r/>
          </w:p>
        </w:tc>
        <w:tc>
          <w:tcPr>
            <w:tcW w:w="117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套</w:t>
            </w:r>
            <w:r/>
          </w:p>
        </w:tc>
        <w:tc>
          <w:tcPr>
            <w:tcW w:w="129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3</w:t>
            </w:r>
            <w:r/>
          </w:p>
        </w:tc>
      </w:tr>
      <w:tr>
        <w:trPr>
          <w:jc w:val="center"/>
          <w:trHeight w:val="573"/>
        </w:trPr>
        <w:tc>
          <w:tcPr>
            <w:tcW w:w="121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9</w:t>
            </w:r>
            <w:r/>
          </w:p>
        </w:tc>
        <w:tc>
          <w:tcPr>
            <w:tcW w:w="41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地面静电地板</w:t>
            </w:r>
            <w:r/>
          </w:p>
        </w:tc>
        <w:tc>
          <w:tcPr>
            <w:tcW w:w="117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w:t>
            </w:r>
            <w:r/>
          </w:p>
        </w:tc>
        <w:tc>
          <w:tcPr>
            <w:tcW w:w="129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160</w:t>
            </w:r>
            <w:r/>
          </w:p>
        </w:tc>
      </w:tr>
      <w:tr>
        <w:trPr>
          <w:jc w:val="center"/>
          <w:trHeight w:val="573"/>
        </w:trPr>
        <w:tc>
          <w:tcPr>
            <w:tcW w:w="121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10</w:t>
            </w:r>
            <w:r/>
          </w:p>
        </w:tc>
        <w:tc>
          <w:tcPr>
            <w:tcW w:w="41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电路</w:t>
            </w:r>
            <w:r/>
          </w:p>
        </w:tc>
        <w:tc>
          <w:tcPr>
            <w:tcW w:w="117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w:t>
            </w:r>
            <w:r/>
          </w:p>
        </w:tc>
        <w:tc>
          <w:tcPr>
            <w:tcW w:w="129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160</w:t>
            </w:r>
            <w:r/>
          </w:p>
        </w:tc>
      </w:tr>
      <w:tr>
        <w:trPr>
          <w:jc w:val="center"/>
          <w:trHeight w:val="573"/>
        </w:trPr>
        <w:tc>
          <w:tcPr>
            <w:tcW w:w="121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11</w:t>
            </w:r>
            <w:r/>
          </w:p>
        </w:tc>
        <w:tc>
          <w:tcPr>
            <w:tcW w:w="41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隐藏柜体</w:t>
            </w:r>
            <w:r/>
          </w:p>
        </w:tc>
        <w:tc>
          <w:tcPr>
            <w:tcW w:w="117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w:t>
            </w:r>
            <w:r/>
          </w:p>
        </w:tc>
        <w:tc>
          <w:tcPr>
            <w:tcW w:w="129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26</w:t>
            </w:r>
            <w:r/>
          </w:p>
        </w:tc>
      </w:tr>
      <w:tr>
        <w:trPr>
          <w:jc w:val="center"/>
          <w:trHeight w:val="573"/>
        </w:trPr>
        <w:tc>
          <w:tcPr>
            <w:tcW w:w="121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12</w:t>
            </w:r>
            <w:r/>
          </w:p>
        </w:tc>
        <w:tc>
          <w:tcPr>
            <w:tcW w:w="41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隔断木工基础制作</w:t>
            </w:r>
            <w:r/>
          </w:p>
        </w:tc>
        <w:tc>
          <w:tcPr>
            <w:tcW w:w="117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w:t>
            </w:r>
            <w:r/>
          </w:p>
        </w:tc>
        <w:tc>
          <w:tcPr>
            <w:tcW w:w="129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26</w:t>
            </w:r>
            <w:r/>
          </w:p>
        </w:tc>
      </w:tr>
      <w:tr>
        <w:trPr>
          <w:jc w:val="center"/>
          <w:trHeight w:val="573"/>
        </w:trPr>
        <w:tc>
          <w:tcPr>
            <w:tcW w:w="121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13</w:t>
            </w:r>
            <w:r/>
          </w:p>
        </w:tc>
        <w:tc>
          <w:tcPr>
            <w:tcW w:w="41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玻璃平开门制作</w:t>
            </w:r>
            <w:r/>
          </w:p>
        </w:tc>
        <w:tc>
          <w:tcPr>
            <w:tcW w:w="117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w:t>
            </w:r>
            <w:r/>
          </w:p>
        </w:tc>
        <w:tc>
          <w:tcPr>
            <w:tcW w:w="129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6</w:t>
            </w:r>
            <w:r/>
          </w:p>
        </w:tc>
      </w:tr>
      <w:tr>
        <w:trPr>
          <w:jc w:val="center"/>
          <w:trHeight w:val="573"/>
        </w:trPr>
        <w:tc>
          <w:tcPr>
            <w:tcW w:w="121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14</w:t>
            </w:r>
            <w:r/>
          </w:p>
        </w:tc>
        <w:tc>
          <w:tcPr>
            <w:tcW w:w="41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移门电机</w:t>
            </w:r>
            <w:r/>
          </w:p>
        </w:tc>
        <w:tc>
          <w:tcPr>
            <w:tcW w:w="117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项</w:t>
            </w:r>
            <w:r/>
          </w:p>
        </w:tc>
        <w:tc>
          <w:tcPr>
            <w:tcW w:w="129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jc w:val="center"/>
          <w:trHeight w:val="573"/>
        </w:trPr>
        <w:tc>
          <w:tcPr>
            <w:tcW w:w="121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15</w:t>
            </w:r>
            <w:r/>
          </w:p>
        </w:tc>
        <w:tc>
          <w:tcPr>
            <w:tcW w:w="41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灯具开关</w:t>
            </w:r>
            <w:r/>
          </w:p>
        </w:tc>
        <w:tc>
          <w:tcPr>
            <w:tcW w:w="117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项</w:t>
            </w:r>
            <w:r/>
          </w:p>
        </w:tc>
        <w:tc>
          <w:tcPr>
            <w:tcW w:w="129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jc w:val="center"/>
          <w:trHeight w:val="573"/>
        </w:trPr>
        <w:tc>
          <w:tcPr>
            <w:tcW w:w="121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16</w:t>
            </w:r>
            <w:r/>
          </w:p>
        </w:tc>
        <w:tc>
          <w:tcPr>
            <w:tcW w:w="41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灯带</w:t>
            </w:r>
            <w:r/>
          </w:p>
        </w:tc>
        <w:tc>
          <w:tcPr>
            <w:tcW w:w="117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m</w:t>
            </w:r>
            <w:r/>
          </w:p>
        </w:tc>
        <w:tc>
          <w:tcPr>
            <w:tcW w:w="129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100</w:t>
            </w:r>
            <w:r/>
          </w:p>
        </w:tc>
      </w:tr>
      <w:tr>
        <w:trPr>
          <w:jc w:val="center"/>
          <w:trHeight w:val="573"/>
        </w:trPr>
        <w:tc>
          <w:tcPr>
            <w:tcW w:w="121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17</w:t>
            </w:r>
            <w:r/>
          </w:p>
        </w:tc>
        <w:tc>
          <w:tcPr>
            <w:tcW w:w="41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建筑垃圾外运</w:t>
            </w:r>
            <w:r/>
          </w:p>
        </w:tc>
        <w:tc>
          <w:tcPr>
            <w:tcW w:w="1170" w:type="dxa"/>
            <w:vAlign w:val="center"/>
            <w:textDirection w:val="lrTb"/>
            <w:noWrap w:val="false"/>
          </w:tcPr>
          <w:p>
            <w:pPr>
              <w:jc w:val="center"/>
              <w:widowControl/>
              <w:rPr>
                <w:rFonts w:ascii="宋体" w:hAnsi="宋体" w:cs="宋体"/>
                <w:color w:val="auto"/>
                <w:sz w:val="24"/>
                <w:highlight w:val="none"/>
              </w:rPr>
            </w:pPr>
            <w:r>
              <w:rPr>
                <w:rStyle w:val="1286"/>
                <w:rFonts w:hint="default"/>
                <w:color w:val="auto"/>
                <w:highlight w:val="none"/>
                <w:lang w:bidi="ar"/>
              </w:rPr>
              <w:t xml:space="preserve">项</w:t>
            </w:r>
            <w:r/>
          </w:p>
        </w:tc>
        <w:tc>
          <w:tcPr>
            <w:tcW w:w="129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jc w:val="center"/>
          <w:trHeight w:val="573"/>
        </w:trPr>
        <w:tc>
          <w:tcPr>
            <w:tcW w:w="121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18</w:t>
            </w:r>
            <w:r/>
          </w:p>
        </w:tc>
        <w:tc>
          <w:tcPr>
            <w:tcW w:w="41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保洁</w:t>
            </w:r>
            <w:r/>
          </w:p>
        </w:tc>
        <w:tc>
          <w:tcPr>
            <w:shd w:val="clear" w:color="auto" w:fill="auto"/>
            <w:tcW w:w="1170" w:type="dxa"/>
            <w:vAlign w:val="center"/>
            <w:textDirection w:val="lrTb"/>
            <w:noWrap w:val="false"/>
          </w:tcPr>
          <w:p>
            <w:pPr>
              <w:jc w:val="center"/>
              <w:widowControl/>
              <w:rPr>
                <w:rFonts w:ascii="宋体" w:hAnsi="宋体" w:cs="宋体"/>
                <w:color w:val="auto"/>
                <w:sz w:val="24"/>
                <w:highlight w:val="none"/>
              </w:rPr>
            </w:pPr>
            <w:r>
              <w:rPr>
                <w:rStyle w:val="1286"/>
                <w:rFonts w:hint="default"/>
                <w:color w:val="auto"/>
                <w:highlight w:val="none"/>
                <w:lang w:bidi="ar"/>
              </w:rPr>
              <w:t xml:space="preserve">项</w:t>
            </w:r>
            <w:r/>
          </w:p>
        </w:tc>
        <w:tc>
          <w:tcPr>
            <w:shd w:val="clear" w:color="auto" w:fill="auto"/>
            <w:tcW w:w="129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jc w:val="center"/>
          <w:trHeight w:val="583"/>
        </w:trPr>
        <w:tc>
          <w:tcPr>
            <w:tcW w:w="1219" w:type="dxa"/>
            <w:vAlign w:val="center"/>
            <w:textDirection w:val="lrTb"/>
            <w:noWrap/>
          </w:tcPr>
          <w:p>
            <w:pPr>
              <w:jc w:val="center"/>
              <w:spacing w:before="240"/>
              <w:widowControl/>
              <w:rPr>
                <w:rFonts w:ascii="宋体" w:hAnsi="宋体" w:cs="宋体"/>
                <w:color w:val="auto"/>
                <w:sz w:val="24"/>
                <w:highlight w:val="none"/>
              </w:rPr>
            </w:pPr>
            <w:r>
              <w:rPr>
                <w:rFonts w:hint="eastAsia" w:ascii="宋体" w:hAnsi="宋体" w:cs="宋体"/>
                <w:color w:val="auto"/>
                <w:sz w:val="24"/>
                <w:highlight w:val="none"/>
                <w:lang w:bidi="ar"/>
              </w:rPr>
              <w:t xml:space="preserve">19</w:t>
            </w:r>
            <w:r/>
          </w:p>
        </w:tc>
        <w:tc>
          <w:tcPr>
            <w:tcW w:w="4189" w:type="dxa"/>
            <w:vAlign w:val="center"/>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 w:val="24"/>
                <w:highlight w:val="none"/>
                <w:lang w:bidi="ar"/>
              </w:rPr>
              <w:t xml:space="preserve">脚手架</w:t>
            </w:r>
            <w:r/>
          </w:p>
        </w:tc>
        <w:tc>
          <w:tcPr>
            <w:shd w:val="clear" w:color="auto" w:fill="auto"/>
            <w:tcW w:w="1170" w:type="dxa"/>
            <w:vAlign w:val="center"/>
            <w:textDirection w:val="lrTb"/>
            <w:noWrap w:val="false"/>
          </w:tcPr>
          <w:p>
            <w:pPr>
              <w:jc w:val="center"/>
              <w:spacing w:before="240"/>
              <w:widowControl/>
              <w:rPr>
                <w:rFonts w:ascii="宋体" w:hAnsi="宋体" w:cs="宋体"/>
                <w:color w:val="auto"/>
                <w:sz w:val="24"/>
                <w:highlight w:val="none"/>
              </w:rPr>
            </w:pPr>
            <w:r>
              <w:rPr>
                <w:rStyle w:val="1286"/>
                <w:rFonts w:hint="default"/>
                <w:color w:val="auto"/>
                <w:highlight w:val="none"/>
                <w:lang w:bidi="ar"/>
              </w:rPr>
              <w:t xml:space="preserve">项</w:t>
            </w:r>
            <w:r/>
          </w:p>
        </w:tc>
        <w:tc>
          <w:tcPr>
            <w:shd w:val="clear" w:color="auto" w:fill="auto"/>
            <w:tcW w:w="1290" w:type="dxa"/>
            <w:vAlign w:val="center"/>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bl>
    <w:p>
      <w:pPr>
        <w:numPr>
          <w:ilvl w:val="255"/>
          <w:numId w:val="0"/>
        </w:numPr>
        <w:contextualSpacing/>
        <w:ind w:firstLine="482"/>
        <w:spacing w:before="120" w:line="360" w:lineRule="auto"/>
        <w:rPr>
          <w:rFonts w:ascii="宋体" w:hAnsi="宋体" w:cs="宋体"/>
          <w:b/>
          <w:bCs/>
          <w:color w:val="auto"/>
          <w:sz w:val="24"/>
          <w:highlight w:val="none"/>
        </w:rPr>
      </w:pPr>
      <w:r/>
      <w:bookmarkStart w:id="662" w:name="_Toc7798"/>
      <w:r/>
      <w:bookmarkStart w:id="663" w:name="_Toc9977"/>
      <w:r/>
      <w:bookmarkStart w:id="664" w:name="_Toc10355"/>
      <w:r/>
      <w:r/>
    </w:p>
    <w:p>
      <w:pPr>
        <w:numPr>
          <w:ilvl w:val="255"/>
          <w:numId w:val="0"/>
        </w:numPr>
        <w:contextualSpacing/>
        <w:ind w:firstLine="482"/>
        <w:spacing w:before="12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7.标准化考场专网集成配套服务</w:t>
      </w:r>
      <w:bookmarkEnd w:id="662"/>
      <w:r/>
      <w:bookmarkEnd w:id="663"/>
      <w:r/>
      <w:bookmarkEnd w:id="664"/>
      <w:r/>
      <w:r/>
    </w:p>
    <w:p>
      <w:pPr>
        <w:contextualSpacing/>
        <w:ind w:firstLine="482"/>
        <w:spacing w:line="360" w:lineRule="auto"/>
        <w:rPr>
          <w:rFonts w:ascii="宋体" w:hAnsi="宋体" w:cs="宋体"/>
          <w:b/>
          <w:bCs/>
          <w:color w:val="auto"/>
          <w:sz w:val="24"/>
          <w:highlight w:val="none"/>
        </w:rPr>
      </w:pPr>
      <w:r/>
      <w:bookmarkStart w:id="665" w:name="_Toc19575"/>
      <w:r/>
      <w:bookmarkStart w:id="666" w:name="_Toc24136"/>
      <w:r>
        <w:rPr>
          <w:rFonts w:hint="eastAsia" w:ascii="宋体" w:hAnsi="宋体" w:cs="宋体"/>
          <w:b/>
          <w:bCs/>
          <w:color w:val="auto"/>
          <w:sz w:val="24"/>
          <w:highlight w:val="none"/>
        </w:rPr>
        <w:t xml:space="preserve">7.1 12号楼考试中心使用网络改造清单（35个教室、1个阶梯教室）</w:t>
      </w:r>
      <w:bookmarkEnd w:id="665"/>
      <w:r/>
      <w:bookmarkEnd w:id="666"/>
      <w:r/>
      <w:r/>
    </w:p>
    <w:p>
      <w:pPr>
        <w:contextualSpacing/>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lang w:bidi="ar"/>
        </w:rPr>
        <w:t xml:space="preserve">（1）接入交换机1台</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①交换容量：≥672Gbps/6.72Tbps</w:t>
      </w:r>
      <w:r/>
    </w:p>
    <w:p>
      <w:pPr>
        <w:numPr>
          <w:ilvl w:val="255"/>
          <w:numId w:val="0"/>
        </w:numPr>
        <w:ind w:firstLine="480"/>
        <w:jc w:val="left"/>
        <w:keepNex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②包转发率：≥207Mpps</w:t>
      </w:r>
      <w:r/>
    </w:p>
    <w:p>
      <w:pPr>
        <w:numPr>
          <w:ilvl w:val="255"/>
          <w:numId w:val="0"/>
        </w:numPr>
        <w:ind w:firstLine="480"/>
        <w:jc w:val="left"/>
        <w:keepNex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③≥4个10G/1G SFP+ 接口、≥48个10/100/1000Base-T自适应以太网接口</w:t>
      </w:r>
      <w:r/>
    </w:p>
    <w:p>
      <w:pPr>
        <w:numPr>
          <w:ilvl w:val="255"/>
          <w:numId w:val="0"/>
        </w:numPr>
        <w:ind w:firstLine="480"/>
        <w:jc w:val="left"/>
        <w:keepNex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④≥1个RJ45 Console接口</w:t>
      </w:r>
      <w:r/>
    </w:p>
    <w:p>
      <w:pPr>
        <w:numPr>
          <w:ilvl w:val="255"/>
          <w:numId w:val="0"/>
        </w:numPr>
        <w:ind w:firstLine="480"/>
        <w:jc w:val="left"/>
        <w:keepNex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⑤≥1个固化交流电源、≥1个固化风扇</w:t>
      </w:r>
      <w:r/>
    </w:p>
    <w:p>
      <w:pPr>
        <w:numPr>
          <w:ilvl w:val="255"/>
          <w:numId w:val="0"/>
        </w:numPr>
        <w:contextualSpacing/>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lang w:bidi="ar"/>
        </w:rPr>
        <w:t xml:space="preserve">⑥支持温度监控、温度告警、过温保护</w:t>
      </w:r>
      <w:r/>
    </w:p>
    <w:p>
      <w:pPr>
        <w:numPr>
          <w:ilvl w:val="255"/>
          <w:numId w:val="0"/>
        </w:num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（2）光模块2个</w:t>
      </w:r>
      <w:r/>
    </w:p>
    <w:p>
      <w:pPr>
        <w:numPr>
          <w:ilvl w:val="255"/>
          <w:numId w:val="0"/>
        </w:num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万兆单模双工光模块、波长1310nm、传输距离10KM。</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（3）铠装光纤60米</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①万兆单模双芯LC-LC</w:t>
      </w:r>
      <w:r/>
    </w:p>
    <w:p>
      <w:pPr>
        <w:numPr>
          <w:ilvl w:val="255"/>
          <w:numId w:val="0"/>
        </w:numPr>
        <w:ind w:firstLine="480"/>
        <w:jc w:val="left"/>
        <w:keepNex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②三环陶瓷插芯、3.0mm线径、PVC外皮</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③插入损耗≤2.0dB、回波损耗≥50dB</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④抗拉强度：≥70N</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⑤螺旋不锈钢铠防踩踏、折损、老鼠咬等机械损伤</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（4）机柜1个</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①尺寸：</w:t>
      </w:r>
      <w:r>
        <w:rPr>
          <w:rFonts w:ascii="宋体" w:hAnsi="宋体" w:cs="宋体"/>
          <w:color w:val="auto"/>
          <w:sz w:val="24"/>
          <w:highlight w:val="none"/>
          <w:lang w:bidi="ar"/>
        </w:rPr>
        <w:t xml:space="preserve">600MM宽*590MM深*368MM高</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②主要材料：SPCC优质冷轧钢板制作；厚度：≥1.2mm；前钢化玻璃门</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③表面处理：脱脂、酸洗、磷化、静电喷塑</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④符合ANSI/EIA RS-310-D、IEC297-2、DIN41491；PART1、DIN41494；PART7、GB/T3047.2-92标准；兼容ETSI标准框架结构，静载≥60KG</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⑤快开侧门，方便安装和维修</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⑥可关闭的上部和下部走线通道</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⑦挂墙安装方式</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⑧防护等级：‌≥</w:t>
      </w:r>
      <w:r>
        <w:rPr>
          <w:rFonts w:ascii="宋体" w:hAnsi="宋体" w:cs="宋体"/>
          <w:color w:val="auto"/>
          <w:sz w:val="24"/>
          <w:highlight w:val="none"/>
          <w:lang w:bidi="ar"/>
        </w:rPr>
        <w:t xml:space="preserve">IP20 </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（5）六类网线3050米</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线规标准：23AWG无氧铜线芯 单股线径：≥0.57±0.01mm</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（6）六类网络面板和明盒39个</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①面板86*86mm标准尺寸，自带标签</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②兼容超五类、六类、超六类屏蔽和非屏蔽模块</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③外壳采用抗冲击PC材料</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④免打线安装方式，自带分线端子压接</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⑤模块的底座和分线端子可以分离，底座按压防滑</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⑥线缆颜色标识、模块为A、B线序通用</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rPr>
        <w:t xml:space="preserve">（7）</w:t>
      </w:r>
      <w:r>
        <w:rPr>
          <w:rFonts w:hint="eastAsia" w:ascii="宋体" w:hAnsi="宋体" w:cs="宋体"/>
          <w:color w:val="auto"/>
          <w:sz w:val="24"/>
          <w:highlight w:val="none"/>
          <w:lang w:bidi="ar"/>
        </w:rPr>
        <w:t xml:space="preserve">无线路由器35个</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①‌双核处理器‌，</w:t>
      </w:r>
      <w:bookmarkStart w:id="667" w:name="OLE_LINK4"/>
      <w:r/>
      <w:bookmarkStart w:id="668" w:name="OLE_LINK3"/>
      <w:r>
        <w:rPr>
          <w:rFonts w:hint="eastAsia" w:ascii="宋体" w:hAnsi="宋体" w:cs="宋体"/>
          <w:color w:val="auto"/>
          <w:sz w:val="24"/>
          <w:highlight w:val="none"/>
          <w:lang w:bidi="ar"/>
        </w:rPr>
        <w:t xml:space="preserve">‌≥</w:t>
      </w:r>
      <w:bookmarkEnd w:id="667"/>
      <w:r/>
      <w:bookmarkEnd w:id="668"/>
      <w:r>
        <w:rPr>
          <w:rFonts w:hint="eastAsia" w:ascii="宋体" w:hAnsi="宋体" w:cs="宋体"/>
          <w:color w:val="auto"/>
          <w:sz w:val="24"/>
          <w:highlight w:val="none"/>
          <w:lang w:bidi="ar"/>
        </w:rPr>
        <w:t xml:space="preserve">128MB运行内存和≥8MB Flash存储‌</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②无线规格‌Wi-Fi 5（802.11ac）标准‌，‌双频并发最高无线速率≥1267Mbps‌（其中2.4GHz频段≥400Mbps，5GHz频段≥867Mbps）</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③机身背面提供‌≥1个千兆WAN口和≥3个千兆LAN口</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（8）电源线30米，RVV 3*1.5平方，无氧铜芯，额定电压‌：‌300/500 V‌（符合国标 GB/T 5023-1997）。</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（9）PVC线槽25mm*12.5mm，390米。</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（10）辅材，含线管、插座、插头、水晶头等一批。</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（11）电源插座，35间面试考场专用网络面板旁配套电源插座，包括布线与施工。</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（12）12号楼考试中心网络改造相关系统集成服务1项。</w:t>
      </w:r>
      <w:r/>
    </w:p>
    <w:p>
      <w:pPr>
        <w:contextualSpacing/>
        <w:ind w:firstLine="482"/>
        <w:spacing w:line="360" w:lineRule="auto"/>
        <w:rPr>
          <w:rFonts w:ascii="宋体" w:hAnsi="宋体" w:cs="宋体"/>
          <w:b/>
          <w:bCs/>
          <w:color w:val="auto"/>
          <w:sz w:val="24"/>
          <w:highlight w:val="none"/>
        </w:rPr>
      </w:pPr>
      <w:r/>
      <w:bookmarkStart w:id="669" w:name="_Toc7714"/>
      <w:r/>
      <w:bookmarkStart w:id="670" w:name="_Toc13281"/>
      <w:r>
        <w:rPr>
          <w:rFonts w:hint="eastAsia" w:ascii="宋体" w:hAnsi="宋体" w:cs="宋体"/>
          <w:b/>
          <w:bCs/>
          <w:color w:val="auto"/>
          <w:sz w:val="24"/>
          <w:highlight w:val="none"/>
          <w:lang w:bidi="ar"/>
        </w:rPr>
        <w:t xml:space="preserve">7.2 </w:t>
      </w:r>
      <w:r>
        <w:rPr>
          <w:rFonts w:hint="eastAsia" w:ascii="宋体" w:hAnsi="宋体" w:cs="宋体"/>
          <w:b/>
          <w:bCs/>
          <w:color w:val="auto"/>
          <w:sz w:val="24"/>
          <w:highlight w:val="none"/>
        </w:rPr>
        <w:t xml:space="preserve">14号楼考试中心使用网络改造清单（57个教室、2个阶梯教室）</w:t>
      </w:r>
      <w:bookmarkEnd w:id="669"/>
      <w:r/>
      <w:bookmarkEnd w:id="670"/>
      <w:r/>
      <w:r/>
    </w:p>
    <w:p>
      <w:pPr>
        <w:numPr>
          <w:ilvl w:val="255"/>
          <w:numId w:val="0"/>
        </w:num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（1）接入交换机2台</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①交换容量：≥336Gbps/3.36Tbps</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②包转发率：≥108Mpps/126Mpps</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③≥4个10G/1G SFP+ 接口、≥24个10/100/1000Base-T自适应以太网接口</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④≥1个RJ45 Console接口</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⑤≥1个固化交流电源、≥1个固化风扇</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⑥支持温度监控、温度告警、过温保护</w:t>
      </w:r>
      <w:r/>
    </w:p>
    <w:p>
      <w:pPr>
        <w:numPr>
          <w:ilvl w:val="0"/>
          <w:numId w:val="16"/>
        </w:num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汇聚交换机1台</w:t>
      </w:r>
      <w:r/>
    </w:p>
    <w:p>
      <w:pPr>
        <w:numPr>
          <w:ilvl w:val="255"/>
          <w:numId w:val="0"/>
        </w:numPr>
        <w:contextualSpacing/>
        <w:ind w:firstLine="480"/>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①交换容量：≥2.56Tbps/25.6Tbps</w:t>
      </w:r>
      <w:r/>
    </w:p>
    <w:p>
      <w:pPr>
        <w:numPr>
          <w:ilvl w:val="255"/>
          <w:numId w:val="0"/>
        </w:numPr>
        <w:contextualSpacing/>
        <w:ind w:firstLine="480"/>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②包转发率：≥660Mpps</w:t>
      </w:r>
      <w:r/>
    </w:p>
    <w:p>
      <w:pPr>
        <w:numPr>
          <w:ilvl w:val="255"/>
          <w:numId w:val="0"/>
        </w:num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③≥24个10/100/1000M自适应电口，≥8个1G/10GSFP+光口，≥2个模块化电源插槽</w:t>
      </w:r>
      <w:r/>
    </w:p>
    <w:p>
      <w:pPr>
        <w:numPr>
          <w:ilvl w:val="255"/>
          <w:numId w:val="0"/>
        </w:num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④温度告警功能</w:t>
      </w:r>
      <w:r/>
    </w:p>
    <w:p>
      <w:pPr>
        <w:numPr>
          <w:ilvl w:val="255"/>
          <w:numId w:val="0"/>
        </w:num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⑤风扇调速及风扇故障告警功能</w:t>
      </w:r>
      <w:r/>
    </w:p>
    <w:p>
      <w:pPr>
        <w:numPr>
          <w:ilvl w:val="255"/>
          <w:numId w:val="0"/>
        </w:num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⑥管理口：≥1个MGMT端口、≥1个Console 端口、≥1个USB端口，USB2.0的标准</w:t>
      </w:r>
      <w:r/>
    </w:p>
    <w:p>
      <w:pPr>
        <w:numPr>
          <w:ilvl w:val="255"/>
          <w:numId w:val="0"/>
        </w:num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⑦≥1个扩展插槽，可用于扩展业务板卡</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bidi="ar"/>
        </w:rPr>
        <w:t xml:space="preserve">光模块，万兆多模双工光模块、波长850nm、OM3 光纤上传输300米，OM4光纤上传输400 米，4个</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rPr>
        <w:t xml:space="preserve">（4）</w:t>
      </w:r>
      <w:r>
        <w:rPr>
          <w:rFonts w:hint="eastAsia" w:ascii="宋体" w:hAnsi="宋体" w:cs="宋体"/>
          <w:color w:val="auto"/>
          <w:sz w:val="24"/>
          <w:highlight w:val="none"/>
          <w:lang w:bidi="ar"/>
        </w:rPr>
        <w:t xml:space="preserve">无线路由器57个</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‌双核处理器‌，‌≥128MB运行内存和≥8MB Flash存储‌</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无线规格‌Wi-Fi 5（802.11ac）标准‌，‌双频并发最高无线速率≥1267Mbps‌（其中2.4GHz频段≥400Mbps，5GHz频段≥867Mbps）</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机身背面提供‌≥1个千兆WAN口和≥3个千兆LAN口</w:t>
      </w:r>
      <w:r/>
    </w:p>
    <w:p>
      <w:pPr>
        <w:numPr>
          <w:ilvl w:val="255"/>
          <w:numId w:val="0"/>
        </w:num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（5）铠装光纤230米</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①万兆多模双芯LC-LC</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②三环陶瓷插芯、3.0mm、线径PVC外皮</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③插入损耗≤2.0dB、回波损耗≥50dB</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④抗拉强度：≥70N</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⑤螺旋不锈钢铠防踩踏、折损、老鼠咬等机械损伤</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（6）机柜3个</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①尺寸：600MM宽*590MM深*368MM高</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②主要材料：SPCC优质冷轧钢板制作；厚度：</w:t>
      </w:r>
      <w:bookmarkStart w:id="671" w:name="OLE_LINK5"/>
      <w:r>
        <w:rPr>
          <w:rFonts w:hint="eastAsia" w:ascii="宋体" w:hAnsi="宋体" w:cs="宋体"/>
          <w:color w:val="auto"/>
          <w:sz w:val="24"/>
          <w:highlight w:val="none"/>
          <w:lang w:bidi="ar"/>
        </w:rPr>
        <w:t xml:space="preserve">≥</w:t>
      </w:r>
      <w:bookmarkEnd w:id="671"/>
      <w:r>
        <w:rPr>
          <w:rFonts w:hint="eastAsia" w:ascii="宋体" w:hAnsi="宋体" w:cs="宋体"/>
          <w:color w:val="auto"/>
          <w:sz w:val="24"/>
          <w:highlight w:val="none"/>
          <w:lang w:bidi="ar"/>
        </w:rPr>
        <w:t xml:space="preserve">1.2mm；前钢化玻璃门</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③表面处理：脱脂、酸洗、磷化、静电喷塑</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④符合ANSI/EIA RS-310-D、IEC297-2、DIN41491；PART1、DIN41494；PART7、GB/T3047.2-92标准；兼容ETSI标准框架结构，静载≥60KG</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⑤快开侧门，方便安装和维修</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⑥可关闭的上部和下部走线通道</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⑦挂墙安装方式</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⑧防护等级：≥IP20</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（7）六类网线4880米，线规标准：23AWG无氧铜线芯 单股线径：≥0.57±0.01mm</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（8）六类网络面板和明盒61个</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①面板86*86mm标准尺寸，自带标签</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②兼容超五类、六类、超六类屏蔽和非屏蔽模块</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③外壳采用抗冲击PC材料</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④免打线安装方式，自带分线端子压接</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⑤模块的底座和分线端子可以分离，底座按压防滑</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⑥线缆颜色标识、模块为A、B线序通用</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（9）电源线230米，RVV 3*1.5平方，无氧铜芯，额定电压‌：‌300/500 V‌（符合国标 GB/T 5023-1997），具备 ‌CCC 认证。</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（10）PVC线槽610米，25mm*12.5mm。</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（11）辅材含线管、插座、插头、水晶头等一批。</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（12）电源插座，57间面试考场专用网络面板旁配套电源插座，含布线与施工。</w:t>
      </w:r>
      <w:r/>
    </w:p>
    <w:p>
      <w:pPr>
        <w:numPr>
          <w:ilvl w:val="255"/>
          <w:numId w:val="0"/>
        </w:numPr>
        <w:ind w:firstLine="480"/>
        <w:jc w:val="left"/>
        <w:keepNex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（13）14号楼考试中心网络改造相关系统集成服务1项。</w:t>
      </w:r>
      <w:r/>
    </w:p>
    <w:p>
      <w:pPr>
        <w:contextualSpacing/>
        <w:ind w:firstLine="482"/>
        <w:spacing w:line="360" w:lineRule="auto"/>
        <w:rPr>
          <w:rFonts w:ascii="宋体" w:hAnsi="宋体" w:cs="宋体"/>
          <w:b/>
          <w:bCs/>
          <w:color w:val="auto"/>
          <w:sz w:val="24"/>
          <w:highlight w:val="none"/>
        </w:rPr>
      </w:pPr>
      <w:r/>
      <w:bookmarkStart w:id="672" w:name="_Toc28435"/>
      <w:r/>
      <w:bookmarkStart w:id="673" w:name="_Toc26276"/>
      <w:r>
        <w:rPr>
          <w:rFonts w:hint="eastAsia" w:ascii="宋体" w:hAnsi="宋体" w:cs="宋体"/>
          <w:b/>
          <w:bCs/>
          <w:color w:val="auto"/>
          <w:sz w:val="24"/>
          <w:highlight w:val="none"/>
        </w:rPr>
        <w:t xml:space="preserve">7.3 15号楼考试中心使用网络改造清单（1个阶梯教室）</w:t>
      </w:r>
      <w:bookmarkEnd w:id="672"/>
      <w:r/>
      <w:bookmarkEnd w:id="673"/>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bidi="ar"/>
        </w:rPr>
        <w:t xml:space="preserve">接入交换机1台</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交换容量：≥336Gbps</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包转发率：≥56Mpps</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≥8个10/100/1000Mbps 自适应千兆电口、固化≥2个SFP千兆光口</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VLAN、ACL、端口镜像、端口聚合、防环路、防私接</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WEB页管理</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（2）光模块2个，千兆单模双工光模块、波长1310nm、传输距离10KM</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（3）铠装光纤60米</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①单模双芯LC-LC</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②三环陶瓷插芯、3.0mm线径、PVC外皮</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③插入损耗≤2.0dB、回波损耗≥50dB</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④抗拉强度：≥70N</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⑤螺旋不锈钢铠防踩踏、折损、老鼠咬等机械损伤</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bidi="ar"/>
        </w:rPr>
        <w:t xml:space="preserve">六类网线130米，线规标准：23AWG无氧铜线芯 单股线径：≥0.57±0.01mm。</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bidi="ar"/>
        </w:rPr>
        <w:t xml:space="preserve">六类网络面板和明盒2个。</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①面板86*86mm标准尺寸，自带标签</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②兼容超五类、六类、超六类屏蔽和非屏蔽模块</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③外壳采用抗冲击PC材料</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④免打线安装方式，自带分线端子压接</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⑤模块的底座和分线端子可以分离，底座按压防滑</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⑥线缆颜色标识、模块为A、B线序通用</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bidi="ar"/>
        </w:rPr>
        <w:t xml:space="preserve">PVC线槽30米，25mm*12.5mm。</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rPr>
        <w:t xml:space="preserve">（7）</w:t>
      </w:r>
      <w:r>
        <w:rPr>
          <w:rFonts w:hint="eastAsia" w:ascii="宋体" w:hAnsi="宋体" w:cs="宋体"/>
          <w:color w:val="auto"/>
          <w:sz w:val="24"/>
          <w:highlight w:val="none"/>
          <w:lang w:bidi="ar"/>
        </w:rPr>
        <w:t xml:space="preserve">辅材1批，含线管、水晶头等。</w:t>
      </w:r>
      <w:r/>
    </w:p>
    <w:p>
      <w:pPr>
        <w:contextualSpacing/>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lang w:bidi="ar"/>
        </w:rPr>
        <w:t xml:space="preserve">（8）15号楼考试中心网络改造相关系统集成服务1项。</w:t>
      </w:r>
      <w:bookmarkStart w:id="674" w:name="_Toc3808"/>
      <w:r/>
      <w:bookmarkStart w:id="675" w:name="_Toc19020"/>
      <w:r/>
      <w:bookmarkStart w:id="676" w:name="_Toc26262"/>
      <w:r/>
      <w:r/>
    </w:p>
    <w:p>
      <w:pPr>
        <w:contextualSpacing/>
        <w:ind w:firstLine="482"/>
        <w:jc w:val="left"/>
        <w:spacing w:line="360" w:lineRule="auto"/>
        <w:rPr>
          <w:color w:val="auto"/>
          <w:highlight w:val="none"/>
        </w:rPr>
      </w:pPr>
      <w:r>
        <w:rPr>
          <w:rFonts w:hint="eastAsia" w:ascii="宋体" w:hAnsi="宋体" w:cs="宋体"/>
          <w:b/>
          <w:bCs/>
          <w:color w:val="auto"/>
          <w:sz w:val="24"/>
          <w:highlight w:val="none"/>
        </w:rPr>
        <w:t xml:space="preserve">8.监控系统改造及增补</w:t>
      </w:r>
      <w:bookmarkEnd w:id="674"/>
      <w:r/>
      <w:bookmarkEnd w:id="675"/>
      <w:r/>
      <w:bookmarkEnd w:id="676"/>
      <w:r>
        <w:rPr>
          <w:rFonts w:hint="eastAsia" w:ascii="宋体" w:hAnsi="宋体" w:cs="宋体"/>
          <w:b/>
          <w:bCs/>
          <w:color w:val="auto"/>
          <w:sz w:val="24"/>
          <w:highlight w:val="none"/>
        </w:rPr>
        <w:t xml:space="preserve">要求</w:t>
      </w:r>
      <w:r/>
    </w:p>
    <w:p>
      <w:pPr>
        <w:contextualSpacing/>
        <w:ind w:firstLine="482"/>
        <w:jc w:val="left"/>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8.1 12号楼监控升级改造</w:t>
      </w:r>
      <w:r/>
    </w:p>
    <w:p>
      <w:pPr>
        <w:contextualSpacing/>
        <w:ind w:firstLine="482"/>
        <w:jc w:val="left"/>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（1）配备400W全彩摄像机24台</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①传感器：1/2.7" Progressive Scan CMOS</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②最低照度：彩色：0.005 Lux </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③快门：1/3 s~1/100,000 s</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④日夜切换模式：ICR红外滤片式  </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⑤SmartIR，防止夜间红外过曝</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⑥背光补偿，强光抑制，3D数字降噪，数字  宽动态，适应不同使用环境</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⑦开放型网络视频接口，ISAPI，SDK，GB28181协议</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⑧1个内置麦克风</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⑨不低于</w:t>
      </w:r>
      <w:r>
        <w:rPr>
          <w:rFonts w:ascii="宋体" w:hAnsi="宋体" w:cs="宋体"/>
          <w:color w:val="auto"/>
          <w:sz w:val="24"/>
          <w:highlight w:val="none"/>
          <w:lang w:bidi="ar"/>
        </w:rPr>
        <w:t xml:space="preserve">IP67防尘防水设计</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⑩移动侦测（支持人形检测），异常</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⑪1个RJ45 10 M/100 M自适应以太网口</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⑫红外波长范围：不低于</w:t>
      </w:r>
      <w:r>
        <w:rPr>
          <w:rFonts w:ascii="宋体" w:hAnsi="宋体" w:cs="宋体"/>
          <w:color w:val="auto"/>
          <w:sz w:val="24"/>
          <w:highlight w:val="none"/>
          <w:lang w:bidi="ar"/>
        </w:rPr>
        <w:t xml:space="preserve">850 nm</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⑬防补光过曝</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⑭补光灯类型：智能补光，可切换白光灯、红外灯</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⑮补光距离：红外光最远可达50 m，白光最远可达30 m</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⑯分辨率：不低于</w:t>
      </w:r>
      <w:r>
        <w:rPr>
          <w:rFonts w:ascii="宋体" w:hAnsi="宋体" w:cs="宋体"/>
          <w:color w:val="auto"/>
          <w:sz w:val="24"/>
          <w:highlight w:val="none"/>
          <w:lang w:bidi="ar"/>
        </w:rPr>
        <w:t xml:space="preserve">2560×1440</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⑰主码流帧率分辨率：50 Hz：25 fps（2560 × 1440，1920 × 1080，1280 × 720）</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⑱子码流帧率分辨率：50 Hz：25 fps（768 × 432，640 × 480，640 × 360）</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⑲视频压缩标准：主码流：H.265/H.264/Smart264/Smart265，支持超级智能编码</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⑳子码流：H.265/H.264</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㉑视频压缩码率：32 Kbps~8 Mbps</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㉒H.264编码类型：BaseLine Profile/Main Profile/High Profile</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㉓H.265编码类型：Main Profile</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㉔码率控制：定码率，变码率</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㉕日夜转换模式：白天，夜晚，自动，定时切换</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㉖图像增强：背光补偿，强光抑制，3D数字降噪</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㉗图像设置：镜像，饱和度，亮度，对比度，锐度，AGC，白平衡通过客户端或者浏览器可调</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㉘音频环境噪声过滤</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㉙音频采样率：8 kHz/16 kHz</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㉚音频压缩标准：G.711alaw/AAC-LC</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㉛音频压缩码率：64 Kbps（G.711alaw）/16~64 Kbps（AAC-LC）</w:t>
      </w:r>
      <w:r/>
    </w:p>
    <w:p>
      <w:p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（2）24口POE千兆交换机1台</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①交换容量：≥56Gbps</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②包转发率：≥41Mpps</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③≥24个10/100/1000Mbps自适应的POE电口 、≥2个 10/100/1000Mbps自适应电口、≥2个1Gbps千兆光口</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④48V国标POE供电，总功率≥375W，为监控摄像头等设备直接通过网线供电</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⑤机架式安装或桌面式安装</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（3）超五类网线1400米，线规标准：24AWG无氧铜、单股线径：≥0.50±0.008mm。</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（4）辅材1批，含PVC管、波纹管、管卡、水晶头等。</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（5）12号楼监控改造相关系统集成服务1项。</w:t>
      </w:r>
      <w:r/>
    </w:p>
    <w:p>
      <w:pPr>
        <w:contextualSpacing/>
        <w:ind w:firstLine="482"/>
        <w:jc w:val="left"/>
        <w:spacing w:line="360" w:lineRule="auto"/>
        <w:rPr>
          <w:b/>
          <w:bCs/>
          <w:color w:val="auto"/>
          <w:sz w:val="24"/>
          <w:highlight w:val="none"/>
        </w:rPr>
      </w:pPr>
      <w:r>
        <w:rPr>
          <w:rFonts w:hint="eastAsia" w:ascii="宋体" w:hAnsi="宋体" w:cs="宋体"/>
          <w:b/>
          <w:bCs/>
          <w:color w:val="auto"/>
          <w:sz w:val="24"/>
          <w:highlight w:val="none"/>
        </w:rPr>
        <w:t xml:space="preserve">8.2 </w:t>
      </w:r>
      <w:r>
        <w:rPr>
          <w:rFonts w:hint="eastAsia" w:ascii="宋体" w:hAnsi="宋体" w:cs="宋体"/>
          <w:b/>
          <w:bCs/>
          <w:color w:val="auto"/>
          <w:sz w:val="24"/>
          <w:highlight w:val="none"/>
          <w:lang w:bidi="ar"/>
        </w:rPr>
        <w:t xml:space="preserve">14号楼监控升级改造清单</w:t>
      </w:r>
      <w:r/>
    </w:p>
    <w:p>
      <w:pPr>
        <w:contextualSpacing/>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（1）配备</w:t>
      </w:r>
      <w:r>
        <w:rPr>
          <w:rFonts w:hint="eastAsia" w:ascii="宋体" w:hAnsi="宋体" w:cs="宋体"/>
          <w:color w:val="auto"/>
          <w:sz w:val="24"/>
          <w:highlight w:val="none"/>
          <w:lang w:bidi="ar"/>
        </w:rPr>
        <w:t xml:space="preserve">400W全彩摄像机44台</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①传感器：1/2.7" Progressive Scan CMOS</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②最低照度：彩色：0.005 Lux </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③快门：1/3 s~1/100,000 s</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④日夜切换模式：ICR红外滤片式  </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⑤SmartIR，防止夜间红外过曝</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⑥背光补偿，强光抑制，3D数字降噪，数字宽动态，适应不同使用环境</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⑦开放型网络视频接口，ISAPI，SDK，GB28181协议</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⑧1个内置麦克风</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⑨不低于</w:t>
      </w:r>
      <w:r>
        <w:rPr>
          <w:rFonts w:ascii="宋体" w:hAnsi="宋体" w:cs="宋体"/>
          <w:color w:val="auto"/>
          <w:sz w:val="24"/>
          <w:highlight w:val="none"/>
          <w:lang w:bidi="ar"/>
        </w:rPr>
        <w:t xml:space="preserve">IP67防尘防水设计</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⑩移动侦测（支持人形检测），异常</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⑪1个RJ45 10 M/100 M自适应以太网口</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⑫红外波长范围：不低于</w:t>
      </w:r>
      <w:r>
        <w:rPr>
          <w:rFonts w:ascii="宋体" w:hAnsi="宋体" w:cs="宋体"/>
          <w:color w:val="auto"/>
          <w:sz w:val="24"/>
          <w:highlight w:val="none"/>
          <w:lang w:bidi="ar"/>
        </w:rPr>
        <w:t xml:space="preserve">850 nm</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⑬防补光过曝</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⑭补光灯类型：智能补光，可切换白光灯、红外灯</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⑮补光距离：红外光最远可达50 m，白光最远可达30 m</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⑯分辨率：不低于</w:t>
      </w:r>
      <w:r>
        <w:rPr>
          <w:rFonts w:ascii="宋体" w:hAnsi="宋体" w:cs="宋体"/>
          <w:color w:val="auto"/>
          <w:sz w:val="24"/>
          <w:highlight w:val="none"/>
          <w:lang w:bidi="ar"/>
        </w:rPr>
        <w:t xml:space="preserve">2560 </w:t>
      </w:r>
      <w:r>
        <w:rPr>
          <w:rFonts w:hint="eastAsia" w:ascii="宋体" w:hAnsi="宋体" w:cs="宋体"/>
          <w:color w:val="auto"/>
          <w:sz w:val="24"/>
          <w:highlight w:val="none"/>
          <w:lang w:bidi="ar"/>
        </w:rPr>
        <w:t xml:space="preserve">×</w:t>
      </w:r>
      <w:r>
        <w:rPr>
          <w:rFonts w:ascii="宋体" w:hAnsi="宋体" w:cs="宋体"/>
          <w:color w:val="auto"/>
          <w:sz w:val="24"/>
          <w:highlight w:val="none"/>
          <w:lang w:bidi="ar"/>
        </w:rPr>
        <w:t xml:space="preserve"> 1440</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⑰主码流帧率分辨率：50 Hz：25 fps（2560 × 1440，1920 × 1080，1280 × 720）</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⑱子码流帧率分辨率：50 Hz：25 fps（768 × 432，640 × 480，640 × 360）</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⑲视频压缩标准：主码流：H.265/H.264/Smart264/Smart265，支持超级智能编码</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⑳子码流：H.265/H.264</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㉑视频压缩码率：32 Kbps~8 Mbps</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㉒H.264编码类型：BaseLine Profile/Main Profile/High Profile</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㉓H.265编码类型：Main Profile</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㉔码率控制：定码率，变码率</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㉕日夜转换模式：白天，夜晚，自动，定时切换</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㉖图像增强：背光补偿，强光抑制，3D数字降噪</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㉗图像设置：镜像，饱和度，亮度，对比度，锐度，AGC，白平衡通过客户端或者浏览器可调</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㉘音频环境噪声过滤</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㉙音频采样率：8 kHz/16 kHz</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㉚音频压缩标准：G.711alaw/AAC-LC</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㉛音频压缩码率：64 Kbps（G.711alaw）/16~64 Kbps（AAC-LC）</w:t>
      </w:r>
      <w:r/>
    </w:p>
    <w:p>
      <w:pPr>
        <w:contextualSpacing/>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bidi="ar"/>
        </w:rPr>
        <w:t xml:space="preserve">24口POE千兆交换机2台</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①交换容量：≥56Gbps</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②包转发率：≥41Mpps</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③≥24个10/100/1000Mbps自适应的POE电口 、≥2个 10/100/1000Mbps自适应电口、≥2个1Gbps千兆光口</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④48V国标POE供电，总功率≥375W，为监控摄像头等设备直接通过网线供电</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⑤机架式安装或桌面式安装</w:t>
      </w:r>
      <w:r/>
    </w:p>
    <w:p>
      <w:pPr>
        <w:contextualSpacing/>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bidi="ar"/>
        </w:rPr>
        <w:t xml:space="preserve">超五类网线3200米，线规标准：24AWG无氧铜、单股线径：≥0.50±0.008mm。</w:t>
      </w:r>
      <w:r/>
    </w:p>
    <w:p>
      <w:p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rPr>
        <w:t xml:space="preserve">（4）</w:t>
      </w:r>
      <w:r>
        <w:rPr>
          <w:rFonts w:hint="eastAsia" w:ascii="宋体" w:hAnsi="宋体" w:cs="宋体"/>
          <w:color w:val="auto"/>
          <w:sz w:val="24"/>
          <w:highlight w:val="none"/>
          <w:lang w:bidi="ar"/>
        </w:rPr>
        <w:t xml:space="preserve">辅材1批，含PVC管、波纹管、管卡、水晶头等。</w:t>
      </w:r>
      <w:r/>
    </w:p>
    <w:p>
      <w:p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（5）14号楼监控改造相关系统集成服务1项。</w:t>
      </w:r>
      <w:r/>
    </w:p>
    <w:p>
      <w:pPr>
        <w:contextualSpacing/>
        <w:ind w:firstLine="420"/>
        <w:jc w:val="left"/>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8.3 15号楼监控升级改造清单</w:t>
      </w:r>
      <w:r/>
    </w:p>
    <w:p>
      <w:p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（1）配备400W全彩摄像机4台</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①传感器：1/2.7" Progressive Scan CMOS</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②最低照度：彩色：0.005 Lux </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③快门：1/3 s~1/100,000 s</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④日夜切换模式：ICR红外滤片式  </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⑤SmartIR，防止夜间红外过曝</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⑥背光补偿，强光抑制，3D数字降噪，数字宽动态，适应不同使用环境</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⑦开放型网络视频接口，ISAPI，SDK，GB28181协议</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⑧1个内置麦克风</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⑨符合IP67防尘防水设计</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⑩移动侦测（支持人形检测），异常</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⑪1个RJ45 10 M/100 M自适应以太网口</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⑫红外波长范围：不低于</w:t>
      </w:r>
      <w:r>
        <w:rPr>
          <w:rFonts w:ascii="宋体" w:hAnsi="宋体" w:cs="宋体"/>
          <w:color w:val="auto"/>
          <w:sz w:val="24"/>
          <w:highlight w:val="none"/>
          <w:lang w:bidi="ar"/>
        </w:rPr>
        <w:t xml:space="preserve">850 nm</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⑬防补光过曝</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⑭补光灯类型：智能补光，可切换白光灯、红外灯</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⑮补光距离：红外光最远可达50 m，白光最远可达30 m</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⑯分辨率：不低于</w:t>
      </w:r>
      <w:r>
        <w:rPr>
          <w:rFonts w:ascii="宋体" w:hAnsi="宋体" w:cs="宋体"/>
          <w:color w:val="auto"/>
          <w:sz w:val="24"/>
          <w:highlight w:val="none"/>
          <w:lang w:bidi="ar"/>
        </w:rPr>
        <w:t xml:space="preserve">2560 </w:t>
      </w:r>
      <w:r>
        <w:rPr>
          <w:rFonts w:hint="eastAsia" w:ascii="宋体" w:hAnsi="宋体" w:cs="宋体"/>
          <w:color w:val="auto"/>
          <w:sz w:val="24"/>
          <w:highlight w:val="none"/>
          <w:lang w:bidi="ar"/>
        </w:rPr>
        <w:t xml:space="preserve">×</w:t>
      </w:r>
      <w:r>
        <w:rPr>
          <w:rFonts w:ascii="宋体" w:hAnsi="宋体" w:cs="宋体"/>
          <w:color w:val="auto"/>
          <w:sz w:val="24"/>
          <w:highlight w:val="none"/>
          <w:lang w:bidi="ar"/>
        </w:rPr>
        <w:t xml:space="preserve"> 1440</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⑰主码流帧率分辨率：50 Hz：25 fps（2560 × 1440，1920 × 1080，1280 × 720）</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⑱子码流帧率分辨率：50 Hz：25 fps（768 × 432，640 × 480，640 × 360）</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⑲视频压缩标准：主码流：H.265/H.264/Smart264/Smart265，支持超级智能编码</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⑳子码流：H.265/H.264</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㉑视频压缩码率：32 Kbps~8 Mbps</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㉒H.264编码类型：BaseLine Profile/Main Profile/High Profile</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㉓H.265编码类型：Main Profile</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㉔码率控制：定码率，变码率</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㉕日夜转换模式：白天，夜晚，自动，定时切换</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㉖图像增强：背光补偿，强光抑制，3D数字降噪</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㉗图像设置：镜像，饱和度，亮度，对比度，锐度，AGC，白平衡通过客户端或者浏览器可调</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㉘音频环境噪声过滤</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㉙音频采样率：8 kHz/16 kHz</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㉚音频压缩标准：G.711alaw/AAC-LC</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㉛音频压缩码率：64 Kbps（G.711alaw）/16~64 Kbps（AAC-LC）</w:t>
      </w:r>
      <w:r/>
    </w:p>
    <w:p>
      <w:p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（2）8口POE千兆交换机1台</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①交换容量：≥20Gbps</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②包转发率：≥14Mpps</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③≥8个10/100/1000Mbps自适应的POE电口、≥2个10/100/1000Mbps自适应电口</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④48V国标POE 供电，总功率≥120W，为监控摄像头等设备直接通过网线供电</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（3）超五类网线300米，线规标准：24AWG无氧铜、单股线径：≥0.50±0.008mm。</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（4）辅材1批，含PVC管、波纹管、管卡、水晶头等。</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（5）15号楼监控改造相关系统集成服务1项。</w:t>
      </w:r>
      <w:r/>
    </w:p>
    <w:p>
      <w:pPr>
        <w:contextualSpacing/>
        <w:ind w:firstLine="420"/>
        <w:jc w:val="left"/>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8.4 考试视频录像</w:t>
      </w:r>
      <w:r/>
    </w:p>
    <w:p>
      <w:p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（1）磁盘阵列（考试中心）1台</w:t>
      </w:r>
      <w:r/>
    </w:p>
    <w:p>
      <w:pPr>
        <w:contextualSpacing/>
        <w:ind w:firstLine="480"/>
        <w:spacing w:line="360" w:lineRule="auto"/>
        <w:rPr>
          <w:rFonts w:ascii="宋体" w:hAnsi="宋体" w:cs="宋体"/>
          <w:b/>
          <w:bCs/>
          <w:color w:val="auto"/>
          <w:sz w:val="24"/>
          <w:highlight w:val="none"/>
          <w:lang w:bidi="ar"/>
        </w:rPr>
      </w:pPr>
      <w:r>
        <w:rPr>
          <w:rFonts w:hint="eastAsia" w:ascii="宋体" w:hAnsi="宋体" w:cs="宋体"/>
          <w:color w:val="auto"/>
          <w:sz w:val="24"/>
          <w:highlight w:val="none"/>
          <w:lang w:bidi="ar"/>
        </w:rPr>
        <w:t xml:space="preserve">①标配1个RS232串口/CONSOLE接口，1个VGA接口，1个HDMI接口，2个USB2.0接口，2个USB3.0接口，3个2.5G网口，1个2.5G管理网口，1个Esata接口，支持PCIe插槽，采用可热插拔1+1AC220V电源。</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②▲单设备配置≥64位多核处理器，标配8GB内存，内置EMMC系统盘，硬盘数量可按需配置，最大可配置24块。</w:t>
      </w:r>
      <w:r>
        <w:rPr>
          <w:rFonts w:hint="eastAsia" w:ascii="宋体" w:hAnsi="宋体" w:cs="宋体"/>
          <w:b/>
          <w:bCs/>
          <w:color w:val="auto"/>
          <w:sz w:val="24"/>
          <w:highlight w:val="none"/>
          <w:lang w:bidi="ar"/>
        </w:rPr>
        <w:t xml:space="preserve">（</w:t>
      </w:r>
      <w:r>
        <w:rPr>
          <w:rFonts w:hint="eastAsia" w:ascii="宋体" w:hAnsi="宋体" w:cs="宋体"/>
          <w:b/>
          <w:bCs/>
          <w:color w:val="auto"/>
          <w:sz w:val="24"/>
          <w:highlight w:val="none"/>
          <w:lang w:bidi="ar"/>
        </w:rPr>
        <w:t xml:space="preserve">提供国</w:t>
      </w:r>
      <w:r>
        <w:rPr>
          <w:rFonts w:hint="eastAsia" w:ascii="宋体" w:hAnsi="宋体" w:cs="宋体"/>
          <w:b/>
          <w:bCs/>
          <w:color w:val="auto"/>
          <w:sz w:val="24"/>
          <w:szCs w:val="24"/>
          <w:highlight w:val="none"/>
          <w:lang w:bidi="ar"/>
        </w:rPr>
        <w:t xml:space="preserve">家</w:t>
      </w:r>
      <w:r>
        <w:rPr>
          <w:rFonts w:hint="eastAsia" w:cs="宋体"/>
          <w:b/>
          <w:bCs/>
          <w:color w:val="auto"/>
          <w:sz w:val="24"/>
          <w:szCs w:val="24"/>
          <w:highlight w:val="none"/>
          <w:lang w:val="en-US" w:eastAsia="zh-CN" w:bidi="ar"/>
        </w:rPr>
        <w:t xml:space="preserve">认可</w:t>
      </w:r>
      <w:r>
        <w:rPr>
          <w:rFonts w:hint="eastAsia" w:ascii="宋体" w:hAnsi="宋体" w:cs="宋体"/>
          <w:b/>
          <w:bCs/>
          <w:color w:val="auto"/>
          <w:sz w:val="24"/>
          <w:szCs w:val="24"/>
          <w:highlight w:val="none"/>
          <w:lang w:bidi="ar"/>
        </w:rPr>
        <w:t xml:space="preserve">的认</w:t>
      </w:r>
      <w:r>
        <w:rPr>
          <w:rFonts w:hint="eastAsia" w:ascii="宋体" w:hAnsi="宋体" w:cs="宋体"/>
          <w:b/>
          <w:bCs/>
          <w:color w:val="auto"/>
          <w:sz w:val="24"/>
          <w:highlight w:val="none"/>
          <w:lang w:bidi="ar"/>
        </w:rPr>
        <w:t xml:space="preserve">证机构出具的处于有效期内的带CNAS或CMA标志检测报告并加盖供应商公章</w:t>
      </w:r>
      <w:r>
        <w:rPr>
          <w:rFonts w:hint="eastAsia" w:ascii="宋体" w:hAnsi="宋体" w:cs="宋体"/>
          <w:b/>
          <w:bCs/>
          <w:color w:val="auto"/>
          <w:sz w:val="24"/>
          <w:highlight w:val="none"/>
          <w:lang w:bidi="ar"/>
        </w:rPr>
        <w:t xml:space="preserve">）</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③最多支持2个风扇，可热插拔冗余温控调速风扇。</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④可通过IE浏览器设置RAID组为RAID0、RAID1、RAID5、RAID6、RAID10、RAID50、VRAID模式，并支持RAID即建即用（RAID创建后拔掉任意一块硬盘都不影响数据读写）。</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⑤应能在RAID内丢失2块（含）以上硬盘但至少有1块正常磁盘时，无需等待丢失盘恢复，保留的硬盘中的数据可正常读出，且新数据可正常写入。</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⑥RAID模式下，当RAID内某一块硬盘发生故障，更换该硬盘或热备盘替换时，可自动进行RAID重构。当RAID处于降级或重构状态下，不影响数据写入。且存储的数据不丢失。</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⑦▲支持录像存储过程中加入特殊字段，防止录像被篡改或伪造，以保证录像的原始性及完整性。可对录像的某个时间点添加标签，并可进行查询、回放、下载。</w:t>
      </w:r>
      <w:r>
        <w:rPr>
          <w:rFonts w:hint="eastAsia" w:ascii="宋体" w:hAnsi="宋体" w:cs="宋体"/>
          <w:b/>
          <w:bCs/>
          <w:color w:val="auto"/>
          <w:sz w:val="24"/>
          <w:highlight w:val="none"/>
          <w:lang w:bidi="ar"/>
        </w:rPr>
        <w:t xml:space="preserve">（</w:t>
      </w:r>
      <w:r>
        <w:rPr>
          <w:rFonts w:hint="eastAsia" w:ascii="宋体" w:hAnsi="宋体" w:cs="宋体"/>
          <w:b/>
          <w:bCs/>
          <w:color w:val="auto"/>
          <w:sz w:val="24"/>
          <w:highlight w:val="none"/>
          <w:lang w:bidi="ar"/>
        </w:rPr>
        <w:t xml:space="preserve">提供国</w:t>
      </w:r>
      <w:r>
        <w:rPr>
          <w:rFonts w:hint="eastAsia" w:ascii="宋体" w:hAnsi="宋体" w:cs="宋体"/>
          <w:b/>
          <w:bCs/>
          <w:color w:val="auto"/>
          <w:sz w:val="24"/>
          <w:szCs w:val="24"/>
          <w:highlight w:val="none"/>
          <w:lang w:bidi="ar"/>
        </w:rPr>
        <w:t xml:space="preserve">家</w:t>
      </w:r>
      <w:r>
        <w:rPr>
          <w:rFonts w:hint="eastAsia" w:cs="宋体"/>
          <w:b/>
          <w:bCs/>
          <w:color w:val="auto"/>
          <w:sz w:val="24"/>
          <w:szCs w:val="24"/>
          <w:highlight w:val="none"/>
          <w:lang w:val="en-US" w:eastAsia="zh-CN" w:bidi="ar"/>
        </w:rPr>
        <w:t xml:space="preserve">认可</w:t>
      </w:r>
      <w:r>
        <w:rPr>
          <w:rFonts w:hint="eastAsia" w:ascii="宋体" w:hAnsi="宋体" w:cs="宋体"/>
          <w:b/>
          <w:bCs/>
          <w:color w:val="auto"/>
          <w:sz w:val="24"/>
          <w:szCs w:val="24"/>
          <w:highlight w:val="none"/>
          <w:lang w:bidi="ar"/>
        </w:rPr>
        <w:t xml:space="preserve">的</w:t>
      </w:r>
      <w:r>
        <w:rPr>
          <w:rFonts w:hint="eastAsia" w:ascii="宋体" w:hAnsi="宋体" w:cs="宋体"/>
          <w:b/>
          <w:bCs/>
          <w:color w:val="auto"/>
          <w:sz w:val="24"/>
          <w:highlight w:val="none"/>
          <w:lang w:bidi="ar"/>
        </w:rPr>
        <w:t xml:space="preserve">认证机构出具的处于有效期内的带CNAS或CMA标志检测报告并加盖供应商公章</w:t>
      </w:r>
      <w:r>
        <w:rPr>
          <w:rFonts w:hint="eastAsia" w:ascii="宋体" w:hAnsi="宋体" w:cs="宋体"/>
          <w:b/>
          <w:bCs/>
          <w:color w:val="auto"/>
          <w:sz w:val="24"/>
          <w:highlight w:val="none"/>
          <w:lang w:bidi="ar"/>
        </w:rPr>
        <w:t xml:space="preserve">）</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⑧可接入MPEG4、H.264、H.265、Smart265、SVAC编码格式和分辨率为4096×2160的前端设备并存储录像文件。</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⑨可将接入样机的网络设备的IP地址、端口号等信息以excel形式进行导入导出。</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⑩应能预录报警触发前1-40min的视频录像。</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⑪当接入的视频图像的警戒区域内探测到移动目标时，可给出报警提示信息并进行录像。</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⑫通过一键配置快速部署网络，时间，阵列，存储池。一键配置完成后添加通道关联存储池即可直接录像。</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⑬管理口支持切换为数据口使用，提升设备的接入和冗余能力。</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⑭▲支持对存储硬盘进行SMART检测，并可自动分析当前磁盘的健康度，磁盘健康度状态可提醒用户关注。</w:t>
      </w:r>
      <w:r>
        <w:rPr>
          <w:rFonts w:hint="eastAsia" w:ascii="宋体" w:hAnsi="宋体" w:cs="宋体"/>
          <w:b/>
          <w:bCs/>
          <w:color w:val="auto"/>
          <w:sz w:val="24"/>
          <w:highlight w:val="none"/>
          <w:lang w:bidi="ar"/>
        </w:rPr>
        <w:t xml:space="preserve">（</w:t>
      </w:r>
      <w:r>
        <w:rPr>
          <w:rFonts w:hint="eastAsia" w:ascii="宋体" w:hAnsi="宋体" w:cs="宋体"/>
          <w:b/>
          <w:bCs/>
          <w:color w:val="auto"/>
          <w:sz w:val="24"/>
          <w:highlight w:val="none"/>
          <w:lang w:bidi="ar"/>
        </w:rPr>
        <w:t xml:space="preserve">提供</w:t>
      </w:r>
      <w:r>
        <w:rPr>
          <w:rFonts w:hint="eastAsia" w:ascii="宋体" w:hAnsi="宋体" w:cs="宋体"/>
          <w:b/>
          <w:bCs/>
          <w:color w:val="auto"/>
          <w:sz w:val="24"/>
          <w:szCs w:val="24"/>
          <w:highlight w:val="none"/>
          <w:lang w:bidi="ar"/>
        </w:rPr>
        <w:t xml:space="preserve">国家</w:t>
      </w:r>
      <w:r>
        <w:rPr>
          <w:rFonts w:hint="eastAsia" w:cs="宋体"/>
          <w:b/>
          <w:bCs/>
          <w:color w:val="auto"/>
          <w:sz w:val="24"/>
          <w:szCs w:val="24"/>
          <w:highlight w:val="none"/>
          <w:lang w:val="en-US" w:eastAsia="zh-CN" w:bidi="ar"/>
        </w:rPr>
        <w:t xml:space="preserve">认可</w:t>
      </w:r>
      <w:r>
        <w:rPr>
          <w:rFonts w:hint="eastAsia" w:ascii="宋体" w:hAnsi="宋体" w:cs="宋体"/>
          <w:b/>
          <w:bCs/>
          <w:color w:val="auto"/>
          <w:sz w:val="24"/>
          <w:szCs w:val="24"/>
          <w:highlight w:val="none"/>
          <w:lang w:bidi="ar"/>
        </w:rPr>
        <w:t xml:space="preserve">的</w:t>
      </w:r>
      <w:r>
        <w:rPr>
          <w:rFonts w:hint="eastAsia" w:ascii="宋体" w:hAnsi="宋体" w:cs="宋体"/>
          <w:b/>
          <w:bCs/>
          <w:color w:val="auto"/>
          <w:sz w:val="24"/>
          <w:highlight w:val="none"/>
          <w:lang w:bidi="ar"/>
        </w:rPr>
        <w:t xml:space="preserve">认证机构出具的处于有效期内的带CNAS或CMA标志检测报告并加盖供应商公章</w:t>
      </w:r>
      <w:r>
        <w:rPr>
          <w:rFonts w:hint="eastAsia" w:ascii="宋体" w:hAnsi="宋体" w:cs="宋体"/>
          <w:b/>
          <w:bCs/>
          <w:color w:val="auto"/>
          <w:sz w:val="24"/>
          <w:highlight w:val="none"/>
          <w:lang w:bidi="ar"/>
        </w:rPr>
        <w:t xml:space="preserve">）</w:t>
      </w:r>
      <w:r/>
    </w:p>
    <w:p>
      <w:p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（2）企业级8T硬盘14块，企业级、容量为8TB‌、接口传输速率为SATA 6Gb/s、转速7200rpm、256M缓存、5年质保。</w:t>
      </w:r>
      <w:r/>
    </w:p>
    <w:p>
      <w:p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备注：因考试中心要求，考试期间监控视频才开启录制，并单独存储，容量要求小。</w:t>
      </w:r>
      <w:r/>
    </w:p>
    <w:p>
      <w:pPr>
        <w:contextualSpacing/>
        <w:ind w:firstLine="420"/>
        <w:jc w:val="left"/>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8.5</w:t>
      </w:r>
      <w:r>
        <w:rPr>
          <w:rFonts w:hint="eastAsia" w:ascii="宋体" w:hAnsi="宋体" w:cs="宋体"/>
          <w:b/>
          <w:bCs/>
          <w:color w:val="auto"/>
          <w:sz w:val="28"/>
          <w:szCs w:val="28"/>
          <w:highlight w:val="none"/>
          <w:lang w:bidi="ar"/>
        </w:rPr>
        <w:t xml:space="preserve"> </w:t>
      </w:r>
      <w:r>
        <w:rPr>
          <w:rFonts w:hint="eastAsia" w:ascii="宋体" w:hAnsi="宋体" w:cs="宋体"/>
          <w:b/>
          <w:bCs/>
          <w:color w:val="auto"/>
          <w:sz w:val="24"/>
          <w:highlight w:val="none"/>
          <w:lang w:bidi="ar"/>
        </w:rPr>
        <w:t xml:space="preserve">安防平台中心视频录像</w:t>
      </w:r>
      <w:r/>
    </w:p>
    <w:p>
      <w:p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（1）128路24盘位硬盘录像机1台</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①WEB、本地GUI界面操作。</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②最大128路网络视频接入，网络性能1280Mbps接入、1280Mbps存储、1024Mbps转发。</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③不开智能 2路32M@30 fps; 2路24M@30 fps; 4路 16 MP@30 fps; 5路 12 MP@30 fps; 8路 8 MP@30 fps; 12路 5 MP@30 f</w:t>
      </w:r>
      <w:r>
        <w:rPr>
          <w:rFonts w:hint="eastAsia" w:ascii="宋体" w:hAnsi="宋体" w:cs="宋体"/>
          <w:color w:val="auto"/>
          <w:sz w:val="24"/>
          <w:highlight w:val="none"/>
          <w:lang w:bidi="ar"/>
        </w:rPr>
        <w:t xml:space="preserve">ps; 16路 4 MP@30 fps; 32路 1080p@30 fps; 72路 720P@30 fps; 128路 D1@30 fps解码。或开智能 1路 32 MP@30 fps; 1路 24 MP@30 fps; 2路 16 MP@30 fps; 2路 12 MP@30 fps; 4路 8 MP@30 fps; 6路 5 MP@30 fps; 8路 4 MP@30 fps; 16路 1080p@30 fps; 36路 720P@30 fps; 80路 D1@30 fps 解码，最大16路视频回放。</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④32 MP; 24 MP; 16 MP; 12 MP; 8 MP; 6 MP; 5 MP; 4 MP; 3 MP; 1080p; 960p; 720p; D1; CIF; QCIF IPC分辨率接入。</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⑤前智能：人脸检测比对、周界防范、视频结构化、通用行为分析、立体行为分析、人群分布、人数统计、热度图、车牌识别、智能动检。</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⑥8路后智能人脸检测比对； 或8路后智能视频结构化； 或32路后智能周界防范；或32路后智能动检。</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⑦最大40个人脸库，共30万张人脸图片。</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⑧24个内置SATA接口，单盘最大容量支持20T，可配置成单盘，支持Raid0、Raid1、Raid5、Raid6、Raid10、JBOD等各种数据保护模式。</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⑨N+M集群管理功能，当主机发生故障时，备机可替换故障主机继续录像，故障恢复后，备机可将存储的录像回传至故障主机。</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⑩iSCSI扩展存储功能，支持iSCSI方式对接IP SAN设备，实现扩容存储。</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⑪电子云台，将全景画面中多个感兴趣区域提取成单独细节画面，当区域内有人、车目标经过时对应细节画面随目标跟踪展示。</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⑫提供主动注册服务，前端相机支持以主动注册方式添加到设备上。</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⑬主动注册客户端功能，设备可以以主动注册方式添加到平台。</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⑭32路报警输入、16路报警输出。</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⑮4个USB接口（2个前置USB2.0接口、2个后置USB3.0接口）。</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⑯4个2500Mbps以太网口，支持4个不同段IP地址的IPC设备接入，支持将多网口设置同一个IP地址，实现数据链路冗余。</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⑰2路VGA输出，4路HDMI输出。同源模式：VGA1和VGA2最大支持1080P显示，HDMI1和HDMI2最大支持4K显示，HDMI3最大支持8K显示，HDMI4最大支持1080P显示；异源模式：VGA1和HDMI1 同源输出，VGA2和HDMI2 同源输出，VGA1和VGA2最大支持1080P显示，HDMI1、HDMI2和HDMI3最大支持4K显示，HDMI4最大支持1080P显示。</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⑱可接驳ONVIF、RTSP协议的第三方摄像机和主流品牌摄像机。</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⑲Smart H.265/H.265/Smart H.264/H.264，支持一键添加IPC并自动切换到H.265。</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⑳支持IPv4、IPv6、HTTP、UPnP、NTP、 RTSP、SADP、SNMP、PPPoE、DNS、FTP、ONVIF 22.06网络协议。</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㉑硬盘、外接USB存储设备、DVD刻录等存储方式，支持U盘，eSATA方式，DVD刻录备份方式。</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㉒切片回放功能，将录像切片等分成若干段视频进行多路同时回放。</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㉓即时回放功能，在预览画面下回放指定通道的录像。抽拉式硬盘热插拔机箱。</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㉔盘组管理功能，实现视频录像的定向存储。</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㉕配额管理功能，实现按通道分配不同的录像天数进行存储。</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㉖语音对讲，客户端、WEB与NVR之间以及通过NVR与网络摄像机之间进行语音对讲；NVR与网络摄像机之间进行语音对讲。</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㉗断网续传功能，能对前端摄像机断网这段时间内SD卡中的录像回传到NVR。</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㉘远程管理IPC功能，支持对前端IPC远程升级，支持远程对IPC的编码配置修改等操作。</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㉙远程零通道预览功能，可将接入的多路视频图像多画面显示在一路视频图像上。</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㉚走廊模式功能，支持IPC画面旋转90°或270°，成9:16走廊模式。</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㉛预览通道拖动保存、自定义布局（双目、三目、四目枪机接入）。</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㉜3+1全景相机、哈勃、天阙、守望者等多目相机配套接入SmartIPC接入、绊线入侵、区域入侵、场景变化、移动侦测、人脸检测、物品遗留和物品搬移时，可给出报警/联动/上传，同时支持智能动检、人群分布、热度图、人数统计、车牌检测（支持卡口ITC、球机）、智能跟踪球。</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㉝接入热成像相机 ，当触发 火情检测，冷点检测，热点检测，测温检测，温差检测，打电话检测，吸烟检测，烟雾检测等报警时，可联动录像、抓拍并保存图片、弹出报警画面、声音警告、上传中心、发送邮件、触发报警输出，并按通道、时间、类型检索报警图片。</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㉞鱼眼矫正功能，本地和web端在预览和回放模式下，支持对接入鱼眼视频以拼接的方式进行矫正功能。</w:t>
      </w:r>
      <w:r/>
    </w:p>
    <w:p>
      <w:p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（2）企业级16T硬盘20块，企业级、容量为16TB‌、接口传输速率为SATA 6Gb/s、转速7200rpm、256M缓存、5年质保。</w:t>
      </w:r>
      <w:r/>
    </w:p>
    <w:p>
      <w:pPr>
        <w:contextualSpacing/>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备注：接入学校监控平台，监控视频要求保留不少于1个月。</w:t>
      </w:r>
      <w:r/>
    </w:p>
    <w:p>
      <w:p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（3）85寸电视1台</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①85英寸、4K分辨率</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②背光方式：Mini LED、分区≥1040分区、响应时间≥6.5ms、峰值亮度：≥2000nits</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③色域：量子点≥96%DCI-P3</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④刷新率≥288HZ超高刷</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⑤无线频段：2.4G&amp;5G</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⑥系统：CPU核心≥4核、运行内存≥3GB、存储内存≥64GB</w:t>
      </w:r>
      <w:r/>
    </w:p>
    <w:p>
      <w:pPr>
        <w:contextualSpacing/>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lang w:bidi="ar"/>
        </w:rPr>
        <w:t xml:space="preserve">⑦配备承重100KG移动支架。</w:t>
      </w:r>
      <w:bookmarkStart w:id="677" w:name="_Toc11022"/>
      <w:r/>
      <w:bookmarkStart w:id="678" w:name="_Toc8625"/>
      <w:r/>
      <w:bookmarkStart w:id="679" w:name="_Toc652"/>
      <w:r/>
      <w:r/>
    </w:p>
    <w:p>
      <w:pPr>
        <w:contextualSpacing/>
        <w:ind w:firstLine="482"/>
        <w:jc w:val="left"/>
        <w:spacing w:line="360" w:lineRule="auto"/>
        <w:rPr>
          <w:color w:val="auto"/>
          <w:highlight w:val="none"/>
        </w:rPr>
      </w:pPr>
      <w:r>
        <w:rPr>
          <w:rFonts w:hint="eastAsia" w:ascii="宋体" w:hAnsi="宋体" w:cs="宋体"/>
          <w:b/>
          <w:bCs/>
          <w:color w:val="auto"/>
          <w:sz w:val="24"/>
          <w:highlight w:val="none"/>
        </w:rPr>
        <w:t xml:space="preserve">9.全域统一授时配套布设服务</w:t>
      </w:r>
      <w:bookmarkEnd w:id="677"/>
      <w:r/>
      <w:bookmarkEnd w:id="678"/>
      <w:r/>
      <w:bookmarkEnd w:id="679"/>
      <w:r/>
      <w:r/>
    </w:p>
    <w:p>
      <w:pPr>
        <w:contextualSpacing/>
        <w:ind w:firstLine="480"/>
        <w:jc w:val="left"/>
        <w:spacing w:line="360" w:lineRule="auto"/>
        <w:rPr>
          <w:color w:val="auto"/>
          <w:sz w:val="24"/>
          <w:highlight w:val="none"/>
        </w:rPr>
      </w:pPr>
      <w:r>
        <w:rPr>
          <w:rFonts w:hint="eastAsia"/>
          <w:color w:val="auto"/>
          <w:sz w:val="24"/>
          <w:highlight w:val="none"/>
        </w:rPr>
        <w:t xml:space="preserve">（1）NTP统一授时器1台</w:t>
      </w:r>
      <w:r/>
    </w:p>
    <w:p>
      <w:pPr>
        <w:contextualSpacing/>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①网络协议：NTP标准协议</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    ②性能：GPS、北斗混合时钟参考模式，一级网络时间，同步精度1µs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    ③用户终端同步授时精度：1-50ms（局域网典型值）</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    ④天线接口：BNC，1路，L1，1575.42MHz、BeiDou B1</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    ⑤网口：RJ-45，1路，10/100M自适应以太网接口（每秒可处理10000次以上的授时请求）</w:t>
      </w:r>
      <w:r/>
    </w:p>
    <w:p>
      <w:p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（2）4位数字时钟195台</w:t>
      </w:r>
      <w:r/>
    </w:p>
    <w:p>
      <w:pPr>
        <w:contextualSpacing/>
        <w:ind w:left="639" w:hanging="240"/>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①</w:t>
      </w:r>
      <w:r>
        <w:rPr>
          <w:rFonts w:ascii="宋体" w:hAnsi="宋体" w:cs="宋体"/>
          <w:color w:val="auto"/>
          <w:sz w:val="24"/>
          <w:highlight w:val="none"/>
          <w:lang w:bidi="ar"/>
        </w:rPr>
        <w:t xml:space="preserve">产品尺寸：长：45CM、高 16CM、宽2.5CM</w:t>
      </w:r>
      <w:r/>
    </w:p>
    <w:p>
      <w:pPr>
        <w:contextualSpacing/>
        <w:ind w:left="639" w:hanging="240"/>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②</w:t>
      </w:r>
      <w:r>
        <w:rPr>
          <w:rFonts w:ascii="宋体" w:hAnsi="宋体" w:cs="宋体"/>
          <w:color w:val="auto"/>
          <w:sz w:val="24"/>
          <w:highlight w:val="none"/>
          <w:lang w:bidi="ar"/>
        </w:rPr>
        <w:t xml:space="preserve">面板材质：有机玻璃</w:t>
      </w:r>
      <w:r/>
    </w:p>
    <w:p>
      <w:pPr>
        <w:contextualSpacing/>
        <w:ind w:left="639" w:hanging="240"/>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③</w:t>
      </w:r>
      <w:r>
        <w:rPr>
          <w:rFonts w:ascii="宋体" w:hAnsi="宋体" w:cs="宋体"/>
          <w:color w:val="auto"/>
          <w:sz w:val="24"/>
          <w:highlight w:val="none"/>
          <w:lang w:bidi="ar"/>
        </w:rPr>
        <w:t xml:space="preserve">显示材质：LED灯珠</w:t>
      </w:r>
      <w:r/>
    </w:p>
    <w:p>
      <w:pPr>
        <w:contextualSpacing/>
        <w:ind w:left="639" w:hanging="240"/>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④</w:t>
      </w:r>
      <w:r>
        <w:rPr>
          <w:rFonts w:ascii="宋体" w:hAnsi="宋体" w:cs="宋体"/>
          <w:color w:val="auto"/>
          <w:sz w:val="24"/>
          <w:highlight w:val="none"/>
          <w:lang w:bidi="ar"/>
        </w:rPr>
        <w:t xml:space="preserve">显示要求：4位数显（小时、分钟）字体颜色：红色</w:t>
      </w:r>
      <w:r/>
    </w:p>
    <w:p>
      <w:pPr>
        <w:contextualSpacing/>
        <w:ind w:left="639" w:hanging="240"/>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⑤</w:t>
      </w:r>
      <w:r>
        <w:rPr>
          <w:rFonts w:ascii="宋体" w:hAnsi="宋体" w:cs="宋体"/>
          <w:color w:val="auto"/>
          <w:sz w:val="24"/>
          <w:highlight w:val="none"/>
          <w:lang w:bidi="ar"/>
        </w:rPr>
        <w:t xml:space="preserve">平均使用寿命：≥10W 小时</w:t>
      </w:r>
      <w:r/>
    </w:p>
    <w:p>
      <w:pPr>
        <w:contextualSpacing/>
        <w:ind w:left="639" w:hanging="240"/>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⑥</w:t>
      </w:r>
      <w:r>
        <w:rPr>
          <w:rFonts w:ascii="宋体" w:hAnsi="宋体" w:cs="宋体"/>
          <w:color w:val="auto"/>
          <w:sz w:val="24"/>
          <w:highlight w:val="none"/>
          <w:lang w:bidi="ar"/>
        </w:rPr>
        <w:t xml:space="preserve">红外遥控：≤10M</w:t>
      </w:r>
      <w:r/>
    </w:p>
    <w:p>
      <w:pPr>
        <w:contextualSpacing/>
        <w:ind w:left="639" w:hanging="240"/>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⑦</w:t>
      </w:r>
      <w:r>
        <w:rPr>
          <w:rFonts w:ascii="宋体" w:hAnsi="宋体" w:cs="宋体"/>
          <w:color w:val="auto"/>
          <w:sz w:val="24"/>
          <w:highlight w:val="none"/>
          <w:lang w:bidi="ar"/>
        </w:rPr>
        <w:t xml:space="preserve">断电数据保存：≥7 天</w:t>
      </w:r>
      <w:r/>
    </w:p>
    <w:p>
      <w:pPr>
        <w:contextualSpacing/>
        <w:ind w:firstLine="480"/>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⑧</w:t>
      </w:r>
      <w:r>
        <w:rPr>
          <w:rFonts w:ascii="宋体" w:hAnsi="宋体" w:cs="宋体"/>
          <w:color w:val="auto"/>
          <w:sz w:val="24"/>
          <w:highlight w:val="none"/>
          <w:lang w:bidi="ar"/>
        </w:rPr>
        <w:t xml:space="preserve">▲时间误差：断网后仍可依靠内置高精度晶振维持时间准确性，误差小于±1 秒/天。</w:t>
      </w:r>
      <w:r>
        <w:rPr>
          <w:rFonts w:ascii="宋体" w:hAnsi="宋体" w:cs="宋体"/>
          <w:b/>
          <w:bCs/>
          <w:color w:val="auto"/>
          <w:sz w:val="24"/>
          <w:highlight w:val="none"/>
          <w:lang w:bidi="ar"/>
        </w:rPr>
        <w:t xml:space="preserve">（提供国家</w:t>
      </w:r>
      <w:r>
        <w:rPr>
          <w:rFonts w:hint="eastAsia" w:cs="宋体"/>
          <w:b/>
          <w:bCs/>
          <w:color w:val="auto"/>
          <w:sz w:val="24"/>
          <w:szCs w:val="24"/>
          <w:highlight w:val="none"/>
          <w:lang w:val="en-US" w:eastAsia="zh-CN" w:bidi="ar"/>
        </w:rPr>
        <w:t xml:space="preserve">认可</w:t>
      </w:r>
      <w:r>
        <w:rPr>
          <w:rFonts w:ascii="宋体" w:hAnsi="宋体" w:cs="宋体"/>
          <w:b/>
          <w:bCs/>
          <w:color w:val="auto"/>
          <w:sz w:val="24"/>
          <w:highlight w:val="none"/>
          <w:lang w:bidi="ar"/>
        </w:rPr>
        <w:t xml:space="preserve">的认证机构出具的处于有效期内的带CNAS或CMA标志检测报告并加盖供应商公章）</w:t>
      </w:r>
      <w:r/>
    </w:p>
    <w:p>
      <w:pPr>
        <w:contextualSpacing/>
        <w:ind w:firstLine="480"/>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⑨</w:t>
      </w:r>
      <w:r>
        <w:rPr>
          <w:rFonts w:ascii="宋体" w:hAnsi="宋体" w:cs="宋体"/>
          <w:color w:val="auto"/>
          <w:sz w:val="24"/>
          <w:highlight w:val="none"/>
          <w:lang w:bidi="ar"/>
        </w:rPr>
        <w:t xml:space="preserve">校时方式：NTP 协议</w:t>
      </w:r>
      <w:r>
        <w:rPr>
          <w:rFonts w:ascii="宋体" w:hAnsi="宋体" w:cs="宋体"/>
          <w:color w:val="auto"/>
          <w:sz w:val="24"/>
          <w:highlight w:val="none"/>
          <w:lang w:bidi="ar"/>
        </w:rPr>
        <w:br/>
      </w:r>
      <w:r>
        <w:rPr>
          <w:rFonts w:hint="eastAsia" w:ascii="宋体" w:hAnsi="宋体" w:cs="宋体"/>
          <w:color w:val="auto"/>
          <w:sz w:val="24"/>
          <w:highlight w:val="none"/>
          <w:lang w:bidi="ar"/>
        </w:rPr>
        <w:t xml:space="preserve">    ⑩</w:t>
      </w:r>
      <w:r>
        <w:rPr>
          <w:rFonts w:ascii="宋体" w:hAnsi="宋体" w:cs="宋体"/>
          <w:color w:val="auto"/>
          <w:sz w:val="24"/>
          <w:highlight w:val="none"/>
          <w:lang w:bidi="ar"/>
        </w:rPr>
        <w:t xml:space="preserve">供电方式：USB+适配器</w:t>
      </w:r>
      <w:r>
        <w:rPr>
          <w:rFonts w:ascii="宋体" w:hAnsi="宋体" w:cs="宋体"/>
          <w:color w:val="auto"/>
          <w:sz w:val="24"/>
          <w:highlight w:val="none"/>
          <w:lang w:bidi="ar"/>
        </w:rPr>
        <w:br/>
      </w:r>
      <w:r>
        <w:rPr>
          <w:rFonts w:hint="eastAsia" w:ascii="宋体" w:hAnsi="宋体" w:cs="宋体"/>
          <w:color w:val="auto"/>
          <w:sz w:val="24"/>
          <w:highlight w:val="none"/>
          <w:lang w:bidi="ar"/>
        </w:rPr>
        <w:t xml:space="preserve">    </w:t>
      </w:r>
      <w:r>
        <w:rPr>
          <w:rFonts w:ascii="宋体" w:hAnsi="宋体" w:cs="宋体"/>
          <w:color w:val="auto"/>
          <w:sz w:val="24"/>
          <w:highlight w:val="none"/>
          <w:lang w:bidi="ar"/>
        </w:rPr>
        <w:t xml:space="preserve">⑪安装方式：壁挂</w:t>
      </w:r>
      <w:r/>
    </w:p>
    <w:p>
      <w:p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（3）16口交换机19台</w:t>
      </w:r>
      <w:r/>
    </w:p>
    <w:p>
      <w:pPr>
        <w:contextualSpacing/>
        <w:ind w:firstLine="480"/>
        <w:jc w:val="left"/>
        <w:spacing w:line="360" w:lineRule="auto"/>
        <w:rPr>
          <w:rFonts w:ascii="宋体" w:hAnsi="宋体" w:cs="宋体"/>
          <w:color w:val="auto"/>
          <w:sz w:val="24"/>
          <w:highlight w:val="none"/>
          <w:lang w:bidi="ar"/>
        </w:rPr>
      </w:pPr>
      <w:r>
        <w:rPr>
          <w:rFonts w:ascii="宋体" w:hAnsi="宋体" w:cs="宋体"/>
          <w:color w:val="auto"/>
          <w:sz w:val="24"/>
          <w:highlight w:val="none"/>
          <w:lang w:bidi="ar"/>
        </w:rPr>
        <w:t xml:space="preserve">①交换容量≥30Gbps、包转发率：≥20Mpps。</w:t>
      </w:r>
      <w:r/>
    </w:p>
    <w:p>
      <w:pPr>
        <w:contextualSpacing/>
        <w:ind w:firstLine="480"/>
        <w:jc w:val="left"/>
        <w:spacing w:line="360" w:lineRule="auto"/>
        <w:rPr>
          <w:rFonts w:ascii="宋体" w:hAnsi="宋体" w:cs="宋体"/>
          <w:color w:val="auto"/>
          <w:sz w:val="24"/>
          <w:highlight w:val="none"/>
          <w:lang w:bidi="ar"/>
        </w:rPr>
      </w:pPr>
      <w:r>
        <w:rPr>
          <w:rFonts w:ascii="宋体" w:hAnsi="宋体" w:cs="宋体"/>
          <w:color w:val="auto"/>
          <w:sz w:val="24"/>
          <w:highlight w:val="none"/>
          <w:lang w:bidi="ar"/>
        </w:rPr>
        <w:t xml:space="preserve">②接口≥16个</w:t>
      </w:r>
      <w:r>
        <w:rPr>
          <w:rFonts w:hint="eastAsia" w:ascii="宋体" w:hAnsi="宋体" w:cs="宋体"/>
          <w:color w:val="auto"/>
          <w:sz w:val="24"/>
          <w:highlight w:val="none"/>
          <w:lang w:bidi="ar"/>
        </w:rPr>
        <w:t xml:space="preserve">10/100/1000Mbps 自适应千兆电口‌，支持端口防雷。</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    ③支持‌802.1Q VLAN‌、广播风暴抑制、端口限速及端口隔离 </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    ④具备 DHCP Snooping、端口镜像及环路保护功能。</w:t>
      </w:r>
      <w:r/>
    </w:p>
    <w:p>
      <w:p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（4）机柜9台</w:t>
      </w:r>
      <w:r/>
    </w:p>
    <w:p>
      <w:pPr>
        <w:contextualSpacing/>
        <w:ind w:left="399"/>
        <w:jc w:val="left"/>
        <w:spacing w:line="360" w:lineRule="auto"/>
        <w:rPr>
          <w:rFonts w:ascii="宋体" w:hAnsi="宋体" w:cs="宋体"/>
          <w:color w:val="auto"/>
          <w:sz w:val="24"/>
          <w:highlight w:val="none"/>
          <w:lang w:bidi="ar"/>
        </w:rPr>
      </w:pPr>
      <w:r>
        <w:rPr>
          <w:rFonts w:ascii="宋体" w:hAnsi="宋体" w:cs="宋体"/>
          <w:color w:val="auto"/>
          <w:sz w:val="24"/>
          <w:highlight w:val="none"/>
          <w:lang w:bidi="ar"/>
        </w:rPr>
        <w:t xml:space="preserve">①尺寸：600MM宽*590MM深*368MM高</w:t>
      </w:r>
      <w:r>
        <w:rPr>
          <w:rFonts w:ascii="宋体" w:hAnsi="宋体" w:cs="宋体"/>
          <w:color w:val="auto"/>
          <w:sz w:val="24"/>
          <w:highlight w:val="none"/>
          <w:lang w:bidi="ar"/>
        </w:rPr>
        <w:br/>
      </w:r>
      <w:r>
        <w:rPr>
          <w:rFonts w:ascii="宋体" w:hAnsi="宋体" w:cs="宋体"/>
          <w:color w:val="auto"/>
          <w:sz w:val="24"/>
          <w:highlight w:val="none"/>
          <w:lang w:bidi="ar"/>
        </w:rPr>
        <w:t xml:space="preserve">②主要材料：SPCC优质冷轧钢板制作；厚度：≥1.2mm；前钢化玻璃门</w:t>
      </w:r>
      <w:r>
        <w:rPr>
          <w:rFonts w:ascii="宋体" w:hAnsi="宋体" w:cs="宋体"/>
          <w:color w:val="auto"/>
          <w:sz w:val="24"/>
          <w:highlight w:val="none"/>
          <w:lang w:bidi="ar"/>
        </w:rPr>
        <w:br/>
      </w:r>
      <w:r>
        <w:rPr>
          <w:rFonts w:ascii="宋体" w:hAnsi="宋体" w:cs="宋体"/>
          <w:color w:val="auto"/>
          <w:sz w:val="24"/>
          <w:highlight w:val="none"/>
          <w:lang w:bidi="ar"/>
        </w:rPr>
        <w:t xml:space="preserve">③表面处理：脱脂、酸洗、磷化、静电喷塑</w:t>
      </w:r>
      <w:r>
        <w:rPr>
          <w:rFonts w:ascii="宋体" w:hAnsi="宋体" w:cs="宋体"/>
          <w:color w:val="auto"/>
          <w:sz w:val="24"/>
          <w:highlight w:val="none"/>
          <w:lang w:bidi="ar"/>
        </w:rPr>
        <w:br/>
      </w:r>
      <w:r>
        <w:rPr>
          <w:rFonts w:ascii="宋体" w:hAnsi="宋体" w:cs="宋体"/>
          <w:color w:val="auto"/>
          <w:sz w:val="24"/>
          <w:highlight w:val="none"/>
          <w:lang w:bidi="ar"/>
        </w:rPr>
        <w:t xml:space="preserve">④静载不低于60KG</w:t>
      </w:r>
      <w:r>
        <w:rPr>
          <w:rFonts w:ascii="宋体" w:hAnsi="宋体" w:cs="宋体"/>
          <w:color w:val="auto"/>
          <w:sz w:val="24"/>
          <w:highlight w:val="none"/>
          <w:lang w:bidi="ar"/>
        </w:rPr>
        <w:br/>
      </w:r>
      <w:r>
        <w:rPr>
          <w:rFonts w:ascii="宋体" w:hAnsi="宋体" w:cs="宋体"/>
          <w:color w:val="auto"/>
          <w:sz w:val="24"/>
          <w:highlight w:val="none"/>
          <w:lang w:bidi="ar"/>
        </w:rPr>
        <w:t xml:space="preserve">⑤支持快开侧门，方便安装和维修</w:t>
      </w:r>
      <w:r>
        <w:rPr>
          <w:rFonts w:ascii="宋体" w:hAnsi="宋体" w:cs="宋体"/>
          <w:color w:val="auto"/>
          <w:sz w:val="24"/>
          <w:highlight w:val="none"/>
          <w:lang w:bidi="ar"/>
        </w:rPr>
        <w:br/>
      </w:r>
      <w:r>
        <w:rPr>
          <w:rFonts w:ascii="宋体" w:hAnsi="宋体" w:cs="宋体"/>
          <w:color w:val="auto"/>
          <w:sz w:val="24"/>
          <w:highlight w:val="none"/>
          <w:lang w:bidi="ar"/>
        </w:rPr>
        <w:t xml:space="preserve">⑥可关闭的上部和下部走线通道</w:t>
      </w:r>
      <w:r>
        <w:rPr>
          <w:rFonts w:ascii="宋体" w:hAnsi="宋体" w:cs="宋体"/>
          <w:color w:val="auto"/>
          <w:sz w:val="24"/>
          <w:highlight w:val="none"/>
          <w:lang w:bidi="ar"/>
        </w:rPr>
        <w:br/>
      </w:r>
      <w:r>
        <w:rPr>
          <w:rFonts w:ascii="宋体" w:hAnsi="宋体" w:cs="宋体"/>
          <w:color w:val="auto"/>
          <w:sz w:val="24"/>
          <w:highlight w:val="none"/>
          <w:lang w:bidi="ar"/>
        </w:rPr>
        <w:t xml:space="preserve">⑦挂墙安装方式</w:t>
      </w:r>
      <w:r>
        <w:rPr>
          <w:rFonts w:ascii="宋体" w:hAnsi="宋体" w:cs="宋体"/>
          <w:color w:val="auto"/>
          <w:sz w:val="24"/>
          <w:highlight w:val="none"/>
          <w:lang w:bidi="ar"/>
        </w:rPr>
        <w:br/>
      </w:r>
      <w:r>
        <w:rPr>
          <w:rFonts w:ascii="宋体" w:hAnsi="宋体" w:cs="宋体"/>
          <w:color w:val="auto"/>
          <w:sz w:val="24"/>
          <w:highlight w:val="none"/>
          <w:lang w:bidi="ar"/>
        </w:rPr>
        <w:t xml:space="preserve">⑧防护等级：IP20</w:t>
      </w:r>
      <w:r/>
    </w:p>
    <w:p>
      <w:p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（5）超五类网线9600米，线规：24AWG无氧铜、单股线径：0.50±0.008mm。</w:t>
      </w:r>
      <w:r/>
    </w:p>
    <w:p>
      <w:p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（6）辅材1批，含PVC管、线槽、波纹管、管卡、水晶头等。</w:t>
      </w:r>
      <w:r/>
    </w:p>
    <w:p>
      <w:pPr>
        <w:contextualSpacing/>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（7）统一授时数字时钟相关系统集成服务1项。</w:t>
      </w:r>
      <w:r/>
    </w:p>
    <w:p>
      <w:pPr>
        <w:contextualSpacing/>
        <w:jc w:val="left"/>
        <w:spacing w:line="360" w:lineRule="auto"/>
        <w:rPr>
          <w:rFonts w:ascii="宋体" w:hAnsi="宋体" w:cs="宋体"/>
          <w:color w:val="auto"/>
          <w:sz w:val="24"/>
          <w:highlight w:val="none"/>
          <w:lang w:bidi="ar"/>
        </w:rPr>
      </w:pPr>
      <w:r>
        <w:rPr>
          <w:rFonts w:ascii="宋体" w:hAnsi="宋体" w:cs="宋体"/>
          <w:color w:val="auto"/>
          <w:sz w:val="24"/>
          <w:highlight w:val="none"/>
          <w:lang w:bidi="ar"/>
        </w:rPr>
      </w:r>
      <w:r/>
    </w:p>
    <w:p>
      <w:pPr>
        <w:contextualSpacing/>
        <w:ind w:firstLine="42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（三）售后服务要求</w:t>
      </w:r>
      <w:r/>
    </w:p>
    <w:p>
      <w:pPr>
        <w:contextualSpacing/>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1.售后服务</w:t>
      </w:r>
      <w:r/>
    </w:p>
    <w:p>
      <w:pPr>
        <w:contextualSpacing/>
        <w:ind w:firstLine="42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★本次项目中涉及的系统软件须提供验收合格后3年7*24小时的技术支持服务和远程技术支持；硬件提供验收合格后3年7*24硬件原厂技术支持与售后服务。</w:t>
      </w:r>
      <w:r>
        <w:rPr>
          <w:rFonts w:hint="eastAsia" w:ascii="宋体" w:hAnsi="宋体" w:cs="宋体"/>
          <w:b/>
          <w:bCs/>
          <w:color w:val="auto"/>
          <w:sz w:val="24"/>
          <w:highlight w:val="none"/>
        </w:rPr>
        <w:t xml:space="preserve">（提供承诺函并加盖公章）</w:t>
      </w:r>
      <w:r/>
    </w:p>
    <w:p>
      <w:pPr>
        <w:contextualSpacing/>
        <w:ind w:firstLine="42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2.故障应急处置服务</w:t>
      </w:r>
      <w:r/>
    </w:p>
    <w:p>
      <w:pPr>
        <w:contextualSpacing/>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供应商提供7×24小时上门服务响应，服务包含相关软件服务，在保修期内，如设备出现故障，接到故障通知后30分钟内响应，如需现场服务1小时内到达现场，并在用户规定时间内修复。如果修复不了的，在用户规定时间内提供同一品牌、同一型号、同等配置或更优型号备用设备进行替换，保证系统正常运行。</w:t>
      </w:r>
      <w:r>
        <w:rPr>
          <w:rFonts w:hint="eastAsia" w:ascii="宋体" w:hAnsi="宋体" w:cs="宋体"/>
          <w:b/>
          <w:bCs/>
          <w:color w:val="auto"/>
          <w:sz w:val="24"/>
          <w:highlight w:val="none"/>
        </w:rPr>
        <w:t xml:space="preserve">（提供承诺函并加盖公章）</w:t>
      </w:r>
      <w:r/>
    </w:p>
    <w:p>
      <w:pPr>
        <w:contextualSpacing/>
        <w:ind w:firstLine="42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3.硬件维护服务</w:t>
      </w:r>
      <w:r/>
    </w:p>
    <w:p>
      <w:pPr>
        <w:contextualSpacing/>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质保期间，每季度安排专业技术人员对硬件设备进行一次全面检测与维护，及时排查潜在故障；若硬件设备出现非人为损坏，免费更换故障部件，确保硬件设备正常运行，保障软件算力支撑不中断。</w:t>
      </w:r>
      <w:r/>
    </w:p>
    <w:p>
      <w:pPr>
        <w:contextualSpacing/>
        <w:ind w:firstLine="42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4.软件升级服务</w:t>
      </w:r>
      <w:r/>
    </w:p>
    <w:p>
      <w:pPr>
        <w:contextualSpacing/>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质保期间，提供软件运维服务，应根据行业发展及学校需求，免费提供软件版本升级服务，及时优化软件功能、修复漏洞，确保软件始终处于稳定、高效地运行状态，升级过程不影响正常使用，无需额外支付升级费用。</w:t>
      </w:r>
      <w:r/>
    </w:p>
    <w:p>
      <w:pPr>
        <w:contextualSpacing/>
        <w:ind w:firstLine="42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5.人员培训服务</w:t>
      </w:r>
      <w:r/>
    </w:p>
    <w:p>
      <w:pPr>
        <w:contextualSpacing/>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软硬件部署调试完毕后，为学校相关工作人员提供免费培训服务，讲解硬件设备的基础操作及日常维护注意事项、软件各模块的使用方法，确保相关工作人员能够熟练操作软硬件。</w:t>
      </w:r>
      <w:r/>
    </w:p>
    <w:p>
      <w:pPr>
        <w:contextualSpacing/>
        <w:ind w:firstLine="42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6.数据安全要求</w:t>
      </w:r>
      <w:r/>
    </w:p>
    <w:p>
      <w:pPr>
        <w:contextualSpacing/>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项目应采取多重数据安全防护措施，保障项目相关数据的安全与隐私，定期对数据进行备份，防止数据丢失、泄露。接受学校信息安全管理，及时对发现的漏洞进行修复。负责项目售后阶段的技术支撑。</w:t>
      </w:r>
      <w:r/>
    </w:p>
    <w:p>
      <w:pPr>
        <w:contextualSpacing/>
        <w:ind w:firstLine="42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7.驻场服务要求</w:t>
      </w:r>
      <w:r/>
    </w:p>
    <w:p>
      <w:pPr>
        <w:contextualSpacing/>
        <w:ind w:firstLine="42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本项目须在项目质保期内容在项目现场安排2名技术人员提供驻场服务，主要负责项目售后阶段的现场技术支持，要求熟悉本项目相关的系统平台，且有一定的技术开发能力，能及时解决客户的相关问题。 </w:t>
      </w:r>
      <w:r/>
    </w:p>
    <w:p>
      <w:pPr>
        <w:contextualSpacing/>
        <w:ind w:firstLine="420"/>
        <w:spacing w:line="360" w:lineRule="auto"/>
        <w:rPr>
          <w:rFonts w:ascii="宋体" w:hAnsi="宋体" w:cs="宋体"/>
          <w:b/>
          <w:bCs/>
          <w:color w:val="auto"/>
          <w:sz w:val="24"/>
          <w:highlight w:val="none"/>
        </w:rPr>
      </w:pPr>
      <w:r>
        <w:rPr>
          <w:rFonts w:ascii="宋体" w:hAnsi="宋体" w:cs="宋体"/>
          <w:b/>
          <w:bCs/>
          <w:color w:val="auto"/>
          <w:sz w:val="24"/>
          <w:highlight w:val="none"/>
        </w:rPr>
      </w:r>
      <w:r/>
    </w:p>
    <w:p>
      <w:pPr>
        <w:contextualSpacing/>
        <w:ind w:firstLine="24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（四）现场勘察要求</w:t>
      </w:r>
      <w:r/>
    </w:p>
    <w:p>
      <w:pPr>
        <w:contextualSpacing/>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所涉及到的各个系统都需接入学校智慧校园平台，且需要提供完整对接方案，内容包括各个系统对接、数据对接、身份认证对接；考虑到系统的复杂性，为保证项目建设的质量，供应商应通过现场踏勘充分理解采购需求，因未充分了解项目需求造成遗漏报价等情况由供应商承担责任。若不踏勘，则不得以未踏勘现场为由向采购人提出其他任何要求。</w:t>
      </w:r>
      <w:r>
        <w:rPr>
          <w:rFonts w:hint="eastAsia" w:ascii="宋体" w:hAnsi="宋体" w:cs="宋体"/>
          <w:b/>
          <w:bCs/>
          <w:color w:val="auto"/>
          <w:sz w:val="24"/>
          <w:highlight w:val="none"/>
          <w:lang w:val="en-US" w:eastAsia="zh-CN"/>
        </w:rPr>
        <w:t xml:space="preserve">本项目仅安排一次集中现场踏勘，不再另行组织补勘、二次踏勘，由此产生一切不利后果及风险由供应商自行承担。供应商未在指定踏勘时间到场参与，或已完成踏勘后要求再次现场勘查的，采购人均不予接受。</w:t>
      </w:r>
      <w:r>
        <w:rPr>
          <w:rFonts w:hint="eastAsia" w:ascii="宋体" w:hAnsi="宋体" w:cs="宋体"/>
          <w:b/>
          <w:bCs/>
          <w:color w:val="auto"/>
          <w:sz w:val="24"/>
          <w:highlight w:val="none"/>
        </w:rPr>
        <w:t xml:space="preserve">参与踏勘人员须现场提交以下材料加盖供应商公章：授权委托书、</w:t>
      </w:r>
      <w:r>
        <w:rPr>
          <w:rFonts w:hint="eastAsia" w:ascii="宋体" w:hAnsi="宋体" w:cs="宋体"/>
          <w:b/>
          <w:bCs/>
          <w:color w:val="auto"/>
          <w:sz w:val="24"/>
          <w:highlight w:val="none"/>
          <w:lang w:val="en-US" w:eastAsia="zh-CN"/>
        </w:rPr>
        <w:t xml:space="preserve">被</w:t>
      </w:r>
      <w:r>
        <w:rPr>
          <w:rFonts w:hint="eastAsia" w:ascii="宋体" w:hAnsi="宋体" w:cs="宋体"/>
          <w:b/>
          <w:bCs/>
          <w:color w:val="auto"/>
          <w:sz w:val="24"/>
          <w:highlight w:val="none"/>
        </w:rPr>
        <w:t xml:space="preserve">授权人身份证原件及复印件、法定代表人身份证复印件、报名成功确认函。</w:t>
      </w:r>
      <w:r/>
    </w:p>
    <w:p>
      <w:pPr>
        <w:contextualSpacing/>
        <w:spacing w:line="360" w:lineRule="auto"/>
        <w:rPr>
          <w:rStyle w:val="1301"/>
          <w:rFonts w:cs="宋体"/>
          <w:color w:val="auto"/>
          <w:highlight w:val="none"/>
        </w:rPr>
      </w:pPr>
      <w:r>
        <w:rPr>
          <w:rFonts w:cs="宋体"/>
          <w:color w:val="auto"/>
          <w:highlight w:val="none"/>
        </w:rPr>
      </w:r>
      <w:r/>
    </w:p>
    <w:p>
      <w:pPr>
        <w:contextualSpacing/>
        <w:ind w:firstLine="42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（五）验收标准</w:t>
      </w:r>
      <w:r/>
    </w:p>
    <w:p>
      <w:pPr>
        <w:contextualSpacing/>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1.提供安装实施、调试及培训服务，直到符合技术要求，采购人做最终验收。</w:t>
      </w:r>
      <w:r>
        <w:rPr>
          <w:rFonts w:hint="eastAsia" w:ascii="宋体" w:hAnsi="宋体" w:cs="宋体"/>
          <w:color w:val="auto"/>
          <w:sz w:val="24"/>
          <w:highlight w:val="none"/>
        </w:rPr>
        <w:br/>
      </w:r>
      <w:r>
        <w:rPr>
          <w:rFonts w:hint="eastAsia" w:ascii="宋体" w:hAnsi="宋体" w:cs="宋体"/>
          <w:color w:val="auto"/>
          <w:sz w:val="24"/>
          <w:highlight w:val="none"/>
        </w:rPr>
        <w:t xml:space="preserve">   </w:t>
      </w:r>
      <w:r>
        <w:rPr>
          <w:rFonts w:hint="eastAsia" w:ascii="宋体" w:hAnsi="宋体" w:cs="宋体"/>
          <w:color w:val="auto"/>
          <w:sz w:val="24"/>
          <w:highlight w:val="none"/>
        </w:rPr>
        <w:tab/>
      </w:r>
      <w:r>
        <w:rPr>
          <w:rFonts w:hint="eastAsia" w:ascii="宋体" w:hAnsi="宋体" w:cs="宋体"/>
          <w:color w:val="auto"/>
          <w:sz w:val="24"/>
          <w:highlight w:val="none"/>
        </w:rPr>
        <w:t xml:space="preserve">2.采购人组织项目验收时，可邀请相关领域专家组成履约验收组，根据采购文件和成交供应商的响应文件进行履约验收，成交供应商必须全程参加，验收完毕后一致作出验收结果报告。</w:t>
      </w:r>
      <w:r>
        <w:rPr>
          <w:rFonts w:hint="eastAsia" w:ascii="宋体" w:hAnsi="宋体" w:cs="宋体"/>
          <w:color w:val="auto"/>
          <w:sz w:val="24"/>
          <w:highlight w:val="none"/>
        </w:rPr>
        <w:br/>
      </w:r>
      <w:r>
        <w:rPr>
          <w:rFonts w:hint="eastAsia" w:ascii="宋体" w:hAnsi="宋体" w:cs="宋体"/>
          <w:color w:val="auto"/>
          <w:sz w:val="24"/>
          <w:highlight w:val="none"/>
        </w:rPr>
        <w:t xml:space="preserve">  </w:t>
      </w:r>
      <w:r>
        <w:rPr>
          <w:rFonts w:hint="eastAsia" w:ascii="宋体" w:hAnsi="宋体" w:cs="宋体"/>
          <w:color w:val="auto"/>
          <w:sz w:val="24"/>
          <w:highlight w:val="none"/>
        </w:rPr>
        <w:tab/>
      </w:r>
      <w:r>
        <w:rPr>
          <w:rFonts w:hint="eastAsia" w:ascii="宋体" w:hAnsi="宋体" w:cs="宋体"/>
          <w:color w:val="auto"/>
          <w:sz w:val="24"/>
          <w:highlight w:val="none"/>
        </w:rPr>
        <w:t xml:space="preserve">3.交付文档验收要求：项目的工作内容及成果文档的提交应覆盖以下内容</w:t>
      </w:r>
      <w:r>
        <w:rPr>
          <w:rFonts w:hint="eastAsia" w:ascii="宋体" w:hAnsi="宋体" w:cs="宋体"/>
          <w:color w:val="auto"/>
          <w:sz w:val="24"/>
          <w:highlight w:val="none"/>
          <w:lang w:eastAsia="zh-CN"/>
        </w:rPr>
        <w:t xml:space="preserve">：</w:t>
      </w:r>
      <w:r/>
    </w:p>
    <w:p>
      <w:pPr>
        <w:contextualSpacing/>
        <w:ind w:left="479"/>
        <w:spacing w:line="360" w:lineRule="auto"/>
        <w:rPr>
          <w:rFonts w:ascii="宋体" w:hAnsi="宋体" w:cs="宋体"/>
          <w:color w:val="auto"/>
          <w:sz w:val="24"/>
          <w:highlight w:val="none"/>
        </w:rPr>
      </w:pPr>
      <w:r>
        <w:rPr>
          <w:rFonts w:hint="eastAsia" w:ascii="宋体" w:hAnsi="宋体" w:cs="宋体"/>
          <w:color w:val="auto"/>
          <w:sz w:val="24"/>
          <w:highlight w:val="none"/>
        </w:rPr>
        <w:t xml:space="preserve">（1）项目相关系统的体系架构及描述；</w:t>
      </w:r>
      <w:r>
        <w:rPr>
          <w:rFonts w:hint="eastAsia" w:ascii="宋体" w:hAnsi="宋体" w:cs="宋体"/>
          <w:color w:val="auto"/>
          <w:sz w:val="24"/>
          <w:highlight w:val="none"/>
        </w:rPr>
        <w:br/>
      </w:r>
      <w:r>
        <w:rPr>
          <w:rFonts w:hint="eastAsia" w:ascii="宋体" w:hAnsi="宋体" w:cs="宋体"/>
          <w:color w:val="auto"/>
          <w:sz w:val="24"/>
          <w:highlight w:val="none"/>
        </w:rPr>
        <w:t xml:space="preserve">（2）提供的其它技术手册，包括：①需求分析报告（含软件功能需求与数据要求），</w:t>
      </w:r>
      <w:r/>
    </w:p>
    <w:p>
      <w:pPr>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②实施文档（包括建设、承建、监理、风评、审计），③会议文档，④实施开发报告（承建单位），⑤监理总结报告（如果项目有监理），⑥软件培训资料，⑦软件使用操作手册，⑧项目验收报告。</w:t>
      </w:r>
      <w:r/>
    </w:p>
    <w:p>
      <w:pPr>
        <w:pStyle w:val="1072"/>
        <w:ind w:firstLine="482"/>
        <w:tabs>
          <w:tab w:val="clear" w:pos="0" w:leader="none"/>
          <w:tab w:val="left" w:pos="567" w:leader="none"/>
        </w:tabs>
        <w:rPr>
          <w:rFonts w:ascii="宋体" w:hAnsi="宋体" w:cs="宋体"/>
          <w:b/>
          <w:bCs/>
          <w:color w:val="auto"/>
          <w:sz w:val="24"/>
          <w:highlight w:val="none"/>
        </w:rPr>
      </w:pPr>
      <w:r>
        <w:rPr>
          <w:rFonts w:hint="eastAsia" w:ascii="宋体" w:hAnsi="宋体" w:cs="宋体"/>
          <w:b/>
          <w:bCs/>
          <w:color w:val="auto"/>
          <w:sz w:val="24"/>
          <w:highlight w:val="none"/>
        </w:rPr>
        <w:t xml:space="preserve">（六）实质性要求</w:t>
      </w:r>
      <w:r/>
    </w:p>
    <w:tbl>
      <w:tblPr>
        <w:tblStyle w:val="1040"/>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4815"/>
        <w:gridCol w:w="3023"/>
      </w:tblGrid>
      <w:t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实质性条款</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证明材料</w:t>
            </w:r>
            <w:r/>
          </w:p>
        </w:tc>
      </w:tr>
      <w:t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软件需具备良好的兼容性，可无缝对接后续智能安防平台及智慧校园统一门户，支持后期功能升级扩展，相关技术参数需符合采购文件对软件系统的要求。</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lang w:bidi="ar"/>
              </w:rPr>
              <w:t xml:space="preserve">提供承诺函加盖并加盖公章</w:t>
            </w:r>
            <w:r>
              <w:rPr>
                <w:rFonts w:hint="eastAsia" w:ascii="宋体" w:hAnsi="宋体" w:cs="宋体"/>
                <w:b/>
                <w:bCs/>
                <w:color w:val="auto"/>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与现有系统无缝对接：软件模块需支持与已建成的两套消防系统、烟杆报警平台进行全量数据对接，全面采集两类系统的所有报警信息，包括但不限于火灾报警（烟杆报警平台触发的烟雾报警、温度报警等，报警灵敏度可调节）、设备故障报警、状态异常报警（水压异常、水位异常联动报警等），实现报警信息的全量覆盖、无遗漏采集。</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lang w:bidi="ar"/>
              </w:rPr>
              <w:t xml:space="preserve">提供承诺函加盖并加盖公章</w:t>
            </w:r>
            <w:r>
              <w:rPr>
                <w:rFonts w:hint="eastAsia" w:ascii="宋体" w:hAnsi="宋体" w:cs="宋体"/>
                <w:b/>
                <w:bCs/>
                <w:color w:val="auto"/>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严格按照智慧校园统一门户系统的接入标准（遵循</w:t>
            </w:r>
            <w:r>
              <w:rPr>
                <w:rFonts w:hint="eastAsia" w:ascii="宋体" w:hAnsi="宋体" w:cs="宋体"/>
                <w:color w:val="auto"/>
                <w:sz w:val="24"/>
                <w:highlight w:val="none"/>
                <w:lang w:bidi="ar"/>
              </w:rPr>
              <w:t xml:space="preserve">采购人</w:t>
            </w:r>
            <w:r>
              <w:rPr>
                <w:rFonts w:hint="eastAsia" w:ascii="宋体" w:hAnsi="宋体" w:cs="宋体"/>
                <w:color w:val="auto"/>
                <w:sz w:val="24"/>
                <w:highlight w:val="none"/>
              </w:rPr>
              <w:t xml:space="preserve">提供的门户接口规范、数据标准），完成消防报警对接与可视化预警模块与统一门户的无缝接入，实现数据互通、功能联动，满足采购项目对系统统一性、集成性的要求。</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lang w:bidi="ar"/>
              </w:rPr>
              <w:t xml:space="preserve">提供承诺函加盖并加盖公章</w:t>
            </w:r>
            <w:r>
              <w:rPr>
                <w:rFonts w:hint="eastAsia" w:ascii="宋体" w:hAnsi="宋体" w:cs="宋体"/>
                <w:b/>
                <w:bCs/>
                <w:color w:val="auto"/>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软件需无缝对接智能安防平台及智慧校园统一门户，实现巡检数据的统一展示、查询、管理，符合采购统一管理要求。</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lang w:bidi="ar"/>
              </w:rPr>
              <w:t xml:space="preserve">提供承诺函加盖并加盖公章</w:t>
            </w:r>
            <w:r>
              <w:rPr>
                <w:rFonts w:hint="eastAsia" w:ascii="宋体" w:hAnsi="宋体" w:cs="宋体"/>
                <w:b/>
                <w:bCs/>
                <w:color w:val="auto"/>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软件模块需无缝对接智能安防平台及智慧校园统一门户，实现交通数据、报警信息的统一展示、查询、管理，支持在门户端下达处置指令。</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lang w:bidi="ar"/>
              </w:rPr>
              <w:t xml:space="preserve">提供承诺函加盖并加盖公章</w:t>
            </w:r>
            <w:r>
              <w:rPr>
                <w:rFonts w:hint="eastAsia" w:ascii="宋体" w:hAnsi="宋体" w:cs="宋体"/>
                <w:b/>
                <w:bCs/>
                <w:color w:val="auto"/>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本次项目中涉及的系统软件须提供验收合格后3年7*24小时的技术支持服务和远程技术支持；硬件提供验收合格后3年7*24硬件原厂技术支持与售后服务。</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lang w:bidi="ar"/>
              </w:rPr>
              <w:t xml:space="preserve">提供承诺函加盖并加盖公章</w:t>
            </w:r>
            <w:r>
              <w:rPr>
                <w:rFonts w:hint="eastAsia" w:ascii="宋体" w:hAnsi="宋体" w:cs="宋体"/>
                <w:b/>
                <w:bCs/>
                <w:color w:val="auto"/>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供应商提供7×24小时上门服务响应，服务包含相关软件服务，在保修期内，如设备出现故障，接到故障通知后30分钟内响应，如需现场服务1小时内到达现场，并在用户规定时间内修复。如果修复不了的，在用户规定时间内提供同一品牌、同一型号、同等配置或更优型号备用设备进行替换，保证系统正常运行。</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lang w:bidi="ar"/>
              </w:rPr>
              <w:t xml:space="preserve">提供承诺函加盖并加盖公章</w:t>
            </w:r>
            <w:r>
              <w:rPr>
                <w:rFonts w:hint="eastAsia" w:ascii="宋体" w:hAnsi="宋体" w:cs="宋体"/>
                <w:b/>
                <w:bCs/>
                <w:color w:val="auto"/>
                <w:sz w:val="24"/>
                <w:highlight w:val="none"/>
              </w:rPr>
              <w:t xml:space="preserve">。</w:t>
            </w:r>
            <w:r/>
          </w:p>
        </w:tc>
      </w:tr>
    </w:tbl>
    <w:p>
      <w:pPr>
        <w:pStyle w:val="1072"/>
        <w:ind w:firstLine="241"/>
        <w:tabs>
          <w:tab w:val="clear" w:pos="0" w:leader="none"/>
          <w:tab w:val="left" w:pos="567" w:leader="none"/>
        </w:tabs>
        <w:rPr>
          <w:rFonts w:ascii="宋体" w:hAnsi="宋体" w:cs="宋体"/>
          <w:b/>
          <w:bCs/>
          <w:color w:val="auto"/>
          <w:sz w:val="24"/>
          <w:highlight w:val="none"/>
        </w:rPr>
      </w:pPr>
      <w:r>
        <w:rPr>
          <w:rFonts w:ascii="宋体" w:hAnsi="宋体" w:cs="宋体"/>
          <w:b/>
          <w:bCs/>
          <w:color w:val="auto"/>
          <w:sz w:val="24"/>
          <w:highlight w:val="none"/>
        </w:rPr>
      </w:r>
      <w:r/>
    </w:p>
    <w:p>
      <w:pPr>
        <w:pStyle w:val="1072"/>
        <w:ind w:firstLine="482"/>
        <w:tabs>
          <w:tab w:val="clear" w:pos="0" w:leader="none"/>
          <w:tab w:val="left" w:pos="567" w:leader="none"/>
        </w:tabs>
        <w:rPr>
          <w:rFonts w:ascii="宋体" w:hAnsi="宋体" w:cs="宋体"/>
          <w:b/>
          <w:bCs/>
          <w:color w:val="auto"/>
          <w:sz w:val="24"/>
          <w:highlight w:val="none"/>
        </w:rPr>
      </w:pPr>
      <w:r>
        <w:rPr>
          <w:rFonts w:hint="eastAsia" w:ascii="宋体" w:hAnsi="宋体" w:cs="宋体"/>
          <w:b/>
          <w:bCs/>
          <w:color w:val="auto"/>
          <w:sz w:val="24"/>
          <w:highlight w:val="none"/>
        </w:rPr>
        <w:t xml:space="preserve">（七）演示</w:t>
      </w:r>
      <w:r/>
    </w:p>
    <w:p>
      <w:pPr>
        <w:contextualSpacing/>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1.上传演示视频的形式</w:t>
      </w:r>
      <w:r/>
    </w:p>
    <w:p>
      <w:pPr>
        <w:contextualSpacing/>
        <w:ind w:firstLine="480"/>
        <w:spacing w:line="360" w:lineRule="auto"/>
        <w:rPr>
          <w:rFonts w:ascii="宋体" w:hAnsi="宋体" w:cs="宋体"/>
          <w:color w:val="auto"/>
          <w:sz w:val="24"/>
          <w:highlight w:val="none"/>
        </w:rPr>
      </w:pPr>
      <w:r>
        <w:rPr>
          <w:rStyle w:val="1301"/>
          <w:rFonts w:hint="eastAsia" w:cs="宋体"/>
          <w:color w:val="auto"/>
          <w:highlight w:val="none"/>
        </w:rPr>
        <w:t xml:space="preserve">供应商</w:t>
      </w:r>
      <w:r>
        <w:rPr>
          <w:rFonts w:hint="eastAsia" w:ascii="宋体" w:hAnsi="宋体" w:cs="宋体"/>
          <w:color w:val="auto"/>
          <w:sz w:val="24"/>
          <w:highlight w:val="none"/>
        </w:rPr>
        <w:t xml:space="preserve">需按照采购文件规定的演示内容制作演示视频文件，视频文件的格式为*.mp4或*.avi，</w:t>
      </w:r>
      <w:r>
        <w:rPr>
          <w:rStyle w:val="1301"/>
          <w:rFonts w:hint="eastAsia" w:cs="宋体"/>
          <w:color w:val="auto"/>
          <w:highlight w:val="none"/>
        </w:rPr>
        <w:t xml:space="preserve">供应商</w:t>
      </w:r>
      <w:r>
        <w:rPr>
          <w:rFonts w:hint="eastAsia" w:ascii="宋体" w:hAnsi="宋体" w:cs="宋体"/>
          <w:color w:val="auto"/>
          <w:sz w:val="24"/>
          <w:highlight w:val="none"/>
        </w:rPr>
        <w:t xml:space="preserve">须将视频文件分段压缩为*.zip文件上传（单个文件不得大于50M，所有文件总共不得大于300M）。文件上传方式见《操作手册》规定，上传的演示视频将作为投标文件的组成部分，视频时长总计不超过15分钟。</w:t>
      </w:r>
      <w:r/>
    </w:p>
    <w:p>
      <w:pPr>
        <w:contextualSpacing/>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2.演示内容如下：</w:t>
      </w:r>
      <w:r/>
    </w:p>
    <w:p>
      <w:pPr>
        <w:contextualSpacing/>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（1）私有化模型部署：根据客户需求，可在指定环境中进行私有模型的独立部署，提供部署成功后运行命令的完整截图，以及展示调用模型并成功返回结果的界面截图。</w:t>
      </w:r>
      <w:r>
        <w:rPr>
          <w:rFonts w:hint="eastAsia" w:ascii="宋体" w:hAnsi="宋体" w:cs="宋体"/>
          <w:b/>
          <w:bCs/>
          <w:color w:val="auto"/>
          <w:sz w:val="24"/>
          <w:highlight w:val="none"/>
        </w:rPr>
        <w:t xml:space="preserve">（提供视频演示）</w:t>
      </w:r>
      <w:r/>
    </w:p>
    <w:p>
      <w:pPr>
        <w:contextualSpacing/>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（2）烟感报警联动摄像头：一旦烟感装置检测到烟雾或火情，系统将立即触发联动机制，自动调取附近摄像头的实时画面，支持在报警节目快速确认并推送至智慧校园系统。</w:t>
      </w:r>
      <w:r>
        <w:rPr>
          <w:rFonts w:hint="eastAsia" w:ascii="宋体" w:hAnsi="宋体" w:cs="宋体"/>
          <w:b/>
          <w:bCs/>
          <w:color w:val="auto"/>
          <w:sz w:val="24"/>
          <w:highlight w:val="none"/>
        </w:rPr>
        <w:t xml:space="preserve">（提供视频演示）</w:t>
      </w:r>
      <w:r/>
    </w:p>
    <w:p>
      <w:pPr>
        <w:contextualSpacing/>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（3）AI智能巡检：接入多个摄像头，支持根据实际需求灵活设置巡检规则（火灾、消防通道、人员安全等），自动进行实时巡检，并生成详细的巡检分析报告（时间、地点、风险描述、风险程度、建议措施）。</w:t>
      </w:r>
      <w:r>
        <w:rPr>
          <w:rFonts w:hint="eastAsia" w:ascii="宋体" w:hAnsi="宋体" w:cs="宋体"/>
          <w:b/>
          <w:bCs/>
          <w:color w:val="auto"/>
          <w:sz w:val="24"/>
          <w:highlight w:val="none"/>
        </w:rPr>
        <w:t xml:space="preserve">（提供视频演示）</w:t>
      </w:r>
      <w:r/>
    </w:p>
    <w:p>
      <w:pPr>
        <w:contextualSpacing/>
        <w:ind w:firstLine="24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4）视频中人脸识别与搜索：上传任意一段包含人物画面的视频文件，系统将对视频内的每一帧画面进行智能分析，自动识别并提取所有出现的人脸特征数据；并对接学校的智慧校园系统，支持直接获取对应的学校学生或者教职工信息。</w:t>
      </w:r>
      <w:r>
        <w:rPr>
          <w:rFonts w:hint="eastAsia" w:ascii="宋体" w:hAnsi="宋体" w:cs="宋体"/>
          <w:b/>
          <w:bCs/>
          <w:color w:val="auto"/>
          <w:sz w:val="24"/>
          <w:highlight w:val="none"/>
        </w:rPr>
        <w:t xml:space="preserve">（提供视频演示）</w:t>
      </w:r>
      <w:r/>
    </w:p>
    <w:p>
      <w:pPr>
        <w:contextualSpacing/>
        <w:ind w:firstLine="24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（5）车辆超速与违停警报及拉黑处置：实时监管车辆超速行驶或违规停车的自动监测、报警流程，以及后续对违规车辆进行拉黑处置的完整操作过程。</w:t>
      </w:r>
      <w:r>
        <w:rPr>
          <w:rFonts w:hint="eastAsia" w:ascii="宋体" w:hAnsi="宋体" w:cs="宋体"/>
          <w:b/>
          <w:bCs/>
          <w:color w:val="auto"/>
          <w:sz w:val="24"/>
          <w:highlight w:val="none"/>
        </w:rPr>
        <w:t xml:space="preserve">（提供视频演示）</w:t>
      </w:r>
      <w:r/>
    </w:p>
    <w:p>
      <w:pPr>
        <w:contextualSpacing/>
        <w:spacing w:line="360" w:lineRule="auto"/>
        <w:rPr>
          <w:rFonts w:ascii="宋体" w:hAnsi="宋体" w:cs="宋体"/>
          <w:color w:val="auto"/>
          <w:sz w:val="24"/>
          <w:highlight w:val="none"/>
        </w:rPr>
      </w:pPr>
      <w:r>
        <w:rPr>
          <w:rFonts w:ascii="宋体" w:hAnsi="宋体" w:cs="宋体"/>
          <w:color w:val="auto"/>
          <w:sz w:val="24"/>
          <w:highlight w:val="none"/>
        </w:rPr>
      </w:r>
      <w:r/>
    </w:p>
    <w:p>
      <w:pPr>
        <w:pStyle w:val="1072"/>
        <w:ind w:firstLine="482"/>
        <w:rPr>
          <w:rFonts w:ascii="宋体" w:hAnsi="宋体" w:cs="宋体"/>
          <w:b/>
          <w:bCs/>
          <w:color w:val="auto"/>
          <w:sz w:val="24"/>
          <w:highlight w:val="none"/>
          <w:u w:val="single"/>
        </w:rPr>
      </w:pPr>
      <w:r>
        <w:rPr>
          <w:rFonts w:hint="eastAsia" w:ascii="宋体" w:hAnsi="宋体" w:cs="宋体"/>
          <w:b/>
          <w:bCs/>
          <w:color w:val="auto"/>
          <w:sz w:val="24"/>
          <w:highlight w:val="none"/>
        </w:rPr>
        <w:t xml:space="preserve">（八）采购标的对应的中小企业划分标准所属行业一览表</w:t>
      </w:r>
      <w:r/>
    </w:p>
    <w:tbl>
      <w:tblPr>
        <w:tblStyle w:val="104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1"/>
        <w:gridCol w:w="3766"/>
        <w:gridCol w:w="4371"/>
      </w:tblGrid>
      <w:tr>
        <w:trPr>
          <w:cantSplit/>
          <w:jc w:val="center"/>
        </w:trPr>
        <w:tc>
          <w:tcPr>
            <w:tcW w:w="65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009"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采购标的</w:t>
            </w:r>
            <w:r/>
          </w:p>
        </w:tc>
        <w:tc>
          <w:tcPr>
            <w:tcW w:w="2332"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对应中小企业划分标准所属行业</w:t>
            </w:r>
            <w:r/>
          </w:p>
        </w:tc>
      </w:tr>
      <w:tr>
        <w:trPr>
          <w:cantSplit/>
          <w:jc w:val="center"/>
          <w:trHeight w:val="291"/>
        </w:trPr>
        <w:tc>
          <w:tcPr>
            <w:tcW w:w="65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2009"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江苏省常州技师学院消防控制中心及监控网络改造提升服务项目</w:t>
            </w:r>
            <w:r/>
          </w:p>
        </w:tc>
        <w:tc>
          <w:tcPr>
            <w:tcW w:w="2332"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其他未列明行</w:t>
            </w:r>
            <w:r>
              <w:rPr>
                <w:rFonts w:hint="eastAsia"/>
                <w:color w:val="auto"/>
                <w:sz w:val="24"/>
                <w:highlight w:val="none"/>
              </w:rPr>
              <w:t xml:space="preserve">业</w:t>
            </w:r>
            <w:r/>
          </w:p>
        </w:tc>
      </w:tr>
    </w:tbl>
    <w:p>
      <w:pPr>
        <w:jc w:val="left"/>
        <w:widowControl/>
        <w:rPr>
          <w:rFonts w:ascii="宋体" w:hAnsi="宋体"/>
          <w:color w:val="auto"/>
          <w:sz w:val="24"/>
          <w:highlight w:val="none"/>
        </w:rPr>
      </w:pPr>
      <w:r>
        <w:rPr>
          <w:rFonts w:ascii="宋体" w:hAnsi="宋体"/>
          <w:color w:val="auto"/>
          <w:sz w:val="24"/>
          <w:highlight w:val="none"/>
        </w:rPr>
      </w:r>
      <w:r/>
    </w:p>
    <w:p>
      <w:pPr>
        <w:jc w:val="center"/>
        <w:keepLines w:val="0"/>
        <w:keepNext w:val="0"/>
        <w:pageBreakBefore/>
        <w:spacing w:line="360" w:lineRule="auto"/>
        <w:widowControl w:val="off"/>
        <w:rPr>
          <w:b/>
          <w:color w:val="auto"/>
          <w:sz w:val="36"/>
          <w:szCs w:val="36"/>
          <w:highlight w:val="none"/>
        </w:rPr>
        <w:outlineLvl w:val="0"/>
      </w:pPr>
      <w:r>
        <w:rPr>
          <w:b/>
          <w:color w:val="auto"/>
          <w:sz w:val="36"/>
          <w:szCs w:val="36"/>
          <w:highlight w:val="none"/>
        </w:rPr>
        <w:t xml:space="preserve">第五章   合同草案条款</w:t>
      </w:r>
      <w:bookmarkEnd w:id="636"/>
      <w:r/>
      <w:r/>
    </w:p>
    <w:p>
      <w:pPr>
        <w:spacing w:line="480" w:lineRule="auto"/>
        <w:rPr>
          <w:rFonts w:ascii="黑体" w:hAnsi="黑体" w:eastAsia="黑体"/>
          <w:color w:val="auto"/>
          <w:sz w:val="28"/>
          <w:szCs w:val="28"/>
          <w:highlight w:val="none"/>
          <w:u w:val="single"/>
        </w:rPr>
      </w:pPr>
      <w:r>
        <w:rPr>
          <w:rFonts w:hint="eastAsia" w:ascii="黑体" w:hAnsi="黑体" w:eastAsia="黑体"/>
          <w:color w:val="auto"/>
          <w:sz w:val="28"/>
          <w:szCs w:val="28"/>
          <w:highlight w:val="none"/>
        </w:rPr>
        <w:t xml:space="preserve">合同编号：</w:t>
      </w:r>
      <w:r>
        <w:rPr>
          <w:rFonts w:hint="eastAsia" w:ascii="黑体" w:hAnsi="黑体" w:eastAsia="黑体"/>
          <w:color w:val="auto"/>
          <w:sz w:val="28"/>
          <w:szCs w:val="28"/>
          <w:highlight w:val="none"/>
          <w:u w:val="single"/>
        </w:rPr>
        <w:t xml:space="preserve">          </w:t>
      </w:r>
      <w:r/>
    </w:p>
    <w:p>
      <w:pPr>
        <w:jc w:val="right"/>
        <w:rPr>
          <w:rFonts w:ascii="仿宋" w:hAnsi="仿宋" w:eastAsia="仿宋"/>
          <w:color w:val="auto"/>
          <w:sz w:val="30"/>
          <w:szCs w:val="30"/>
          <w:highlight w:val="none"/>
        </w:rPr>
      </w:pPr>
      <w:r>
        <w:rPr>
          <w:rFonts w:hint="eastAsia" w:ascii="仿宋" w:hAnsi="仿宋" w:eastAsia="仿宋"/>
          <w:color w:val="auto"/>
          <w:sz w:val="30"/>
          <w:szCs w:val="30"/>
          <w:highlight w:val="none"/>
        </w:rPr>
        <w:t xml:space="preserve">参考格式</w:t>
      </w:r>
      <w:r/>
    </w:p>
    <w:p>
      <w:pPr>
        <w:jc w:val="right"/>
        <w:rPr>
          <w:rFonts w:ascii="仿宋" w:hAnsi="仿宋" w:eastAsia="仿宋"/>
          <w:color w:val="auto"/>
          <w:sz w:val="30"/>
          <w:szCs w:val="30"/>
          <w:highlight w:val="none"/>
        </w:rPr>
      </w:pPr>
      <w:r>
        <w:rPr>
          <w:rFonts w:ascii="仿宋" w:hAnsi="仿宋" w:eastAsia="仿宋"/>
          <w:color w:val="auto"/>
          <w:sz w:val="30"/>
          <w:szCs w:val="30"/>
          <w:highlight w:val="none"/>
        </w:rPr>
      </w:r>
      <w:r/>
    </w:p>
    <w:p>
      <w:pPr>
        <w:pStyle w:val="1047"/>
        <w:rPr>
          <w:color w:val="auto"/>
          <w:highlight w:val="none"/>
        </w:rPr>
      </w:pPr>
      <w:r>
        <w:rPr>
          <w:color w:val="auto"/>
          <w:highlight w:val="none"/>
        </w:rPr>
      </w:r>
      <w:r/>
    </w:p>
    <w:p>
      <w:pPr>
        <w:rPr>
          <w:color w:val="auto"/>
          <w:highlight w:val="none"/>
        </w:rPr>
      </w:pPr>
      <w:r>
        <w:rPr>
          <w:color w:val="auto"/>
          <w:highlight w:val="none"/>
        </w:rPr>
      </w:r>
      <w:r/>
    </w:p>
    <w:p>
      <w:pPr>
        <w:pStyle w:val="1047"/>
        <w:rPr>
          <w:color w:val="auto"/>
          <w:highlight w:val="none"/>
        </w:rPr>
      </w:pPr>
      <w:r>
        <w:rPr>
          <w:color w:val="auto"/>
          <w:highlight w:val="none"/>
        </w:rPr>
      </w:r>
      <w:r/>
    </w:p>
    <w:p>
      <w:pPr>
        <w:rPr>
          <w:color w:val="auto"/>
          <w:highlight w:val="none"/>
        </w:rPr>
      </w:pPr>
      <w:r>
        <w:rPr>
          <w:color w:val="auto"/>
          <w:highlight w:val="none"/>
        </w:rPr>
      </w:r>
      <w:r/>
    </w:p>
    <w:p>
      <w:pPr>
        <w:ind w:right="-58"/>
        <w:jc w:val="center"/>
        <w:rPr>
          <w:rFonts w:ascii="黑体" w:hAnsi="黑体" w:eastAsia="黑体"/>
          <w:bCs/>
          <w:color w:val="auto"/>
          <w:sz w:val="48"/>
          <w:szCs w:val="44"/>
          <w:highlight w:val="none"/>
        </w:rPr>
      </w:pPr>
      <w:r>
        <w:rPr>
          <w:rFonts w:hint="eastAsia" w:ascii="华文中宋" w:hAnsi="华文中宋" w:eastAsia="华文中宋"/>
          <w:color w:val="auto"/>
          <w:sz w:val="48"/>
          <w:szCs w:val="28"/>
          <w:highlight w:val="none"/>
        </w:rPr>
        <w:t xml:space="preserve">江苏省常州技师学院消防控制中心及监控网络改造提升服务项目</w:t>
      </w:r>
      <w:r/>
    </w:p>
    <w:p>
      <w:pPr>
        <w:jc w:val="center"/>
        <w:spacing w:line="480" w:lineRule="auto"/>
        <w:rPr>
          <w:rFonts w:ascii="黑体" w:hAnsi="黑体" w:eastAsia="黑体"/>
          <w:bCs/>
          <w:color w:val="auto"/>
          <w:sz w:val="48"/>
          <w:szCs w:val="44"/>
          <w:highlight w:val="none"/>
        </w:rPr>
      </w:pPr>
      <w:r>
        <w:rPr>
          <w:rFonts w:hint="eastAsia" w:ascii="黑体" w:hAnsi="黑体" w:eastAsia="黑体"/>
          <w:bCs/>
          <w:color w:val="auto"/>
          <w:sz w:val="48"/>
          <w:szCs w:val="44"/>
          <w:highlight w:val="none"/>
        </w:rPr>
        <w:t xml:space="preserve">政府采购合同</w:t>
      </w:r>
      <w:r/>
    </w:p>
    <w:p>
      <w:pPr>
        <w:pStyle w:val="1047"/>
        <w:rPr>
          <w:color w:val="auto"/>
          <w:highlight w:val="none"/>
        </w:rPr>
      </w:pPr>
      <w:r>
        <w:rPr>
          <w:color w:val="auto"/>
          <w:highlight w:val="none"/>
        </w:rPr>
      </w:r>
      <w:r/>
    </w:p>
    <w:p>
      <w:pPr>
        <w:jc w:val="left"/>
        <w:rPr>
          <w:rFonts w:ascii="楷体" w:hAnsi="楷体" w:eastAsia="楷体"/>
          <w:color w:val="auto"/>
          <w:sz w:val="24"/>
          <w:highlight w:val="none"/>
        </w:rPr>
      </w:pPr>
      <w:r>
        <w:rPr>
          <w:rFonts w:ascii="楷体" w:hAnsi="楷体" w:eastAsia="楷体"/>
          <w:color w:val="auto"/>
          <w:sz w:val="24"/>
          <w:highlight w:val="none"/>
        </w:rPr>
      </w:r>
      <w:r/>
    </w:p>
    <w:p>
      <w:pPr>
        <w:jc w:val="left"/>
        <w:rPr>
          <w:rFonts w:ascii="楷体" w:hAnsi="楷体" w:eastAsia="楷体"/>
          <w:color w:val="auto"/>
          <w:sz w:val="24"/>
          <w:highlight w:val="none"/>
        </w:rPr>
      </w:pPr>
      <w:r>
        <w:rPr>
          <w:rFonts w:ascii="楷体" w:hAnsi="楷体" w:eastAsia="楷体"/>
          <w:color w:val="auto"/>
          <w:sz w:val="24"/>
          <w:highlight w:val="none"/>
        </w:rPr>
      </w:r>
      <w:r/>
    </w:p>
    <w:p>
      <w:pPr>
        <w:spacing w:before="120" w:line="240" w:lineRule="atLeast"/>
        <w:rPr>
          <w:rFonts w:ascii="楷体" w:hAnsi="楷体" w:eastAsia="楷体"/>
          <w:color w:val="auto"/>
          <w:sz w:val="24"/>
          <w:highlight w:val="none"/>
        </w:rPr>
      </w:pPr>
      <w:r>
        <w:rPr>
          <w:rFonts w:hint="eastAsia" w:ascii="楷体" w:hAnsi="楷体" w:eastAsia="楷体"/>
          <w:color w:val="auto"/>
          <w:sz w:val="24"/>
          <w:highlight w:val="none"/>
        </w:rPr>
        <w:t xml:space="preserve"> </w:t>
      </w:r>
      <w:r/>
    </w:p>
    <w:p>
      <w:pPr>
        <w:rPr>
          <w:rFonts w:ascii="黑体" w:hAnsi="黑体" w:eastAsia="黑体"/>
          <w:color w:val="auto"/>
          <w:sz w:val="32"/>
          <w:szCs w:val="28"/>
          <w:highlight w:val="none"/>
        </w:rPr>
      </w:pPr>
      <w:r>
        <w:rPr>
          <w:rFonts w:ascii="黑体" w:hAnsi="黑体" w:eastAsia="黑体"/>
          <w:color w:val="auto"/>
          <w:sz w:val="32"/>
          <w:szCs w:val="28"/>
          <w:highlight w:val="none"/>
        </w:rPr>
      </w:r>
      <w:r/>
    </w:p>
    <w:p>
      <w:pPr>
        <w:ind w:left="2560" w:hanging="964"/>
        <w:spacing w:before="120" w:line="240" w:lineRule="atLeast"/>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甲方：江苏省常州技师学院</w:t>
      </w:r>
      <w:r/>
    </w:p>
    <w:p>
      <w:pPr>
        <w:ind w:firstLine="1606"/>
        <w:spacing w:before="120" w:line="240" w:lineRule="atLeast"/>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乙方：</w:t>
      </w:r>
      <w:r/>
    </w:p>
    <w:p>
      <w:pPr>
        <w:ind w:firstLine="1400"/>
        <w:spacing w:before="120" w:line="240" w:lineRule="atLeast"/>
        <w:rPr>
          <w:rFonts w:ascii="黑体" w:hAnsi="黑体" w:eastAsia="黑体"/>
          <w:color w:val="auto"/>
          <w:sz w:val="28"/>
          <w:highlight w:val="none"/>
        </w:rPr>
      </w:pPr>
      <w:r>
        <w:rPr>
          <w:rFonts w:ascii="黑体" w:hAnsi="黑体" w:eastAsia="黑体"/>
          <w:color w:val="auto"/>
          <w:sz w:val="28"/>
          <w:highlight w:val="none"/>
        </w:rPr>
      </w:r>
      <w:r/>
    </w:p>
    <w:p>
      <w:pPr>
        <w:ind w:firstLine="1400"/>
        <w:spacing w:before="120" w:line="240" w:lineRule="atLeast"/>
        <w:rPr>
          <w:rFonts w:ascii="黑体" w:hAnsi="黑体" w:eastAsia="黑体"/>
          <w:color w:val="auto"/>
          <w:sz w:val="28"/>
          <w:highlight w:val="none"/>
        </w:rPr>
      </w:pPr>
      <w:r>
        <w:rPr>
          <w:rFonts w:ascii="黑体" w:hAnsi="黑体" w:eastAsia="黑体"/>
          <w:color w:val="auto"/>
          <w:sz w:val="28"/>
          <w:highlight w:val="none"/>
        </w:rPr>
      </w:r>
      <w:r/>
    </w:p>
    <w:p>
      <w:pPr>
        <w:pStyle w:val="1047"/>
        <w:rPr>
          <w:color w:val="auto"/>
          <w:highlight w:val="none"/>
        </w:rPr>
      </w:pPr>
      <w:r>
        <w:rPr>
          <w:color w:val="auto"/>
          <w:highlight w:val="none"/>
        </w:rPr>
      </w:r>
      <w:r/>
    </w:p>
    <w:p>
      <w:pPr>
        <w:rPr>
          <w:color w:val="auto"/>
          <w:highlight w:val="none"/>
        </w:rPr>
      </w:pPr>
      <w:r>
        <w:rPr>
          <w:color w:val="auto"/>
          <w:highlight w:val="none"/>
        </w:rPr>
      </w:r>
      <w:r/>
    </w:p>
    <w:p>
      <w:pPr>
        <w:jc w:val="center"/>
        <w:spacing w:before="120" w:line="240" w:lineRule="atLeast"/>
        <w:rPr>
          <w:rFonts w:ascii="黑体" w:hAnsi="黑体" w:eastAsia="黑体"/>
          <w:color w:val="auto"/>
          <w:sz w:val="28"/>
          <w:highlight w:val="none"/>
        </w:rPr>
      </w:pPr>
      <w:r>
        <w:rPr>
          <w:rFonts w:hint="eastAsia" w:ascii="黑体" w:hAnsi="黑体" w:eastAsia="黑体"/>
          <w:color w:val="auto"/>
          <w:sz w:val="28"/>
          <w:highlight w:val="none"/>
        </w:rPr>
        <w:t xml:space="preserve">签订日期：</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年</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月</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日</w:t>
      </w:r>
      <w:r/>
    </w:p>
    <w:p>
      <w:pPr>
        <w:spacing w:before="120" w:line="240" w:lineRule="atLeast"/>
        <w:rPr>
          <w:rFonts w:ascii="仿宋" w:hAnsi="仿宋" w:eastAsia="仿宋"/>
          <w:color w:val="auto"/>
          <w:sz w:val="32"/>
          <w:szCs w:val="32"/>
          <w:highlight w:val="none"/>
        </w:rPr>
        <w:sectPr>
          <w:headerReference w:type="even" r:id="rId11"/>
          <w:headerReference w:type="first" r:id="rId12"/>
          <w:footerReference w:type="even" r:id="rId18"/>
          <w:footerReference w:type="first" r:id="rId19"/>
          <w:footnotePr/>
          <w:endnotePr/>
          <w:type w:val="nextPage"/>
          <w:pgSz w:w="11906" w:h="16838" w:orient="portrait"/>
          <w:pgMar w:top="1276" w:right="1474" w:bottom="1276" w:left="1276" w:header="709" w:footer="321" w:gutter="0"/>
          <w:cols w:num="1" w:sep="0" w:space="720" w:equalWidth="1"/>
          <w:docGrid w:linePitch="360"/>
        </w:sectPr>
      </w:pPr>
      <w:r>
        <w:rPr>
          <w:rFonts w:ascii="仿宋" w:hAnsi="仿宋" w:eastAsia="仿宋"/>
          <w:color w:val="auto"/>
          <w:sz w:val="32"/>
          <w:szCs w:val="32"/>
          <w:highlight w:val="none"/>
        </w:rPr>
      </w:r>
      <w:r/>
    </w:p>
    <w:p>
      <w:pPr>
        <w:ind w:firstLine="480"/>
        <w:jc w:val="left"/>
        <w:spacing w:line="360" w:lineRule="auto"/>
        <w:rPr>
          <w:rFonts w:ascii="宋体" w:hAnsi="宋体" w:cs="宋体"/>
          <w:bCs/>
          <w:color w:val="auto"/>
          <w:sz w:val="24"/>
          <w:highlight w:val="none"/>
          <w:u w:val="single"/>
        </w:rPr>
      </w:pPr>
      <w:r>
        <w:rPr>
          <w:rFonts w:hint="eastAsia" w:ascii="宋体" w:hAnsi="宋体" w:cs="宋体"/>
          <w:color w:val="auto"/>
          <w:sz w:val="24"/>
          <w:highlight w:val="none"/>
          <w:u w:val="single"/>
        </w:rPr>
        <w:t xml:space="preserve">2026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宋体" w:hAnsi="宋体"/>
          <w:color w:val="auto"/>
          <w:sz w:val="24"/>
          <w:highlight w:val="none"/>
          <w:u w:val="single"/>
        </w:rPr>
        <w:t xml:space="preserve">江苏省常州技师学院</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竞争性磋商</w:t>
      </w:r>
      <w:r>
        <w:rPr>
          <w:rFonts w:hint="eastAsia" w:ascii="宋体" w:hAnsi="宋体" w:cs="宋体"/>
          <w:color w:val="auto"/>
          <w:sz w:val="24"/>
          <w:highlight w:val="none"/>
        </w:rPr>
        <w:t xml:space="preserve">对</w:t>
      </w:r>
      <w:r>
        <w:rPr>
          <w:rFonts w:hint="eastAsia" w:ascii="宋体" w:hAnsi="宋体"/>
          <w:color w:val="auto"/>
          <w:sz w:val="24"/>
          <w:highlight w:val="none"/>
          <w:u w:val="single"/>
        </w:rPr>
        <w:t xml:space="preserve">江苏省常州技师学院消防控制中心及监控网络改造提升服务项目</w:t>
      </w:r>
      <w:r>
        <w:rPr>
          <w:rFonts w:hint="eastAsia" w:ascii="宋体" w:hAnsi="宋体" w:cs="宋体"/>
          <w:color w:val="auto"/>
          <w:sz w:val="24"/>
          <w:highlight w:val="none"/>
        </w:rPr>
        <w:t xml:space="preserve">进行了采购。经评定，</w:t>
      </w:r>
      <w:r>
        <w:rPr>
          <w:rFonts w:hint="eastAsia" w:ascii="宋体" w:hAnsi="宋体" w:cs="宋体"/>
          <w:color w:val="auto"/>
          <w:sz w:val="24"/>
          <w:highlight w:val="none"/>
          <w:u w:val="single"/>
        </w:rPr>
        <w:t xml:space="preserve"> （成交供应商名称） </w:t>
      </w:r>
      <w:r>
        <w:rPr>
          <w:rFonts w:hint="eastAsia" w:ascii="宋体" w:hAnsi="宋体" w:cs="宋体"/>
          <w:color w:val="auto"/>
          <w:sz w:val="24"/>
          <w:highlight w:val="none"/>
        </w:rPr>
        <w:t xml:space="preserve">为该项目中标人。现于中标通知书发出之日起三十日内，按照</w:t>
      </w:r>
      <w:r>
        <w:rPr>
          <w:rFonts w:hint="eastAsia"/>
          <w:color w:val="auto"/>
          <w:sz w:val="24"/>
          <w:highlight w:val="none"/>
        </w:rPr>
        <w:t xml:space="preserve">采购</w:t>
      </w:r>
      <w:r>
        <w:rPr>
          <w:rFonts w:hint="eastAsia" w:ascii="宋体" w:hAnsi="宋体" w:cs="宋体"/>
          <w:color w:val="auto"/>
          <w:sz w:val="24"/>
          <w:highlight w:val="none"/>
        </w:rPr>
        <w:t xml:space="preserve">文件确定的事项签订本合同。</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根据《中华人民共和国民法典》、《中华人民共和国政府采购法》等相关法律法规之规定，按照平等、自愿、公平和诚实信用的原则，经</w:t>
      </w:r>
      <w:r>
        <w:rPr>
          <w:rFonts w:hint="eastAsia" w:ascii="宋体" w:hAnsi="宋体"/>
          <w:color w:val="auto"/>
          <w:sz w:val="24"/>
          <w:highlight w:val="none"/>
          <w:u w:val="single"/>
        </w:rPr>
        <w:t xml:space="preserve">江苏省常州技师学院</w:t>
      </w:r>
      <w:r>
        <w:rPr>
          <w:rFonts w:hint="eastAsia" w:ascii="宋体" w:hAnsi="宋体" w:cs="宋体"/>
          <w:color w:val="auto"/>
          <w:sz w:val="24"/>
          <w:highlight w:val="none"/>
        </w:rPr>
        <w:t xml:space="preserve">以下简称：甲方)和</w:t>
      </w:r>
      <w:r>
        <w:rPr>
          <w:rFonts w:hint="eastAsia" w:ascii="宋体" w:hAnsi="宋体" w:cs="宋体"/>
          <w:color w:val="auto"/>
          <w:sz w:val="24"/>
          <w:highlight w:val="none"/>
          <w:u w:val="single"/>
        </w:rPr>
        <w:t xml:space="preserve">   （成交供应商名称）   </w:t>
      </w:r>
      <w:r>
        <w:rPr>
          <w:rFonts w:hint="eastAsia" w:ascii="宋体" w:hAnsi="宋体" w:cs="宋体"/>
          <w:color w:val="auto"/>
          <w:sz w:val="24"/>
          <w:highlight w:val="none"/>
        </w:rPr>
        <w:t xml:space="preserve">(以下简称：乙方)协商一致，约定以下合同条款，以兹共同遵守、全面履行。</w:t>
      </w:r>
      <w:r/>
    </w:p>
    <w:p>
      <w:pPr>
        <w:ind w:firstLine="482"/>
        <w:spacing w:line="360" w:lineRule="auto"/>
        <w:rPr>
          <w:b/>
          <w:color w:val="auto"/>
          <w:sz w:val="24"/>
          <w:highlight w:val="none"/>
        </w:rPr>
      </w:pPr>
      <w:r>
        <w:rPr>
          <w:rFonts w:hint="eastAsia"/>
          <w:b/>
          <w:color w:val="auto"/>
          <w:sz w:val="24"/>
          <w:highlight w:val="none"/>
        </w:rPr>
        <w:t xml:space="preserve">一、合同组成部分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1.本合同及其补充合同、变更协议。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2.成交通知书。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3.响应文件（含澄清或者说明文件）。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hint="eastAsia"/>
          <w:color w:val="auto"/>
          <w:sz w:val="24"/>
          <w:highlight w:val="none"/>
        </w:rPr>
        <w:t xml:space="preserve">采购</w:t>
      </w:r>
      <w:r>
        <w:rPr>
          <w:rFonts w:hint="eastAsia" w:ascii="宋体" w:hAnsi="宋体"/>
          <w:color w:val="auto"/>
          <w:sz w:val="24"/>
          <w:highlight w:val="none"/>
        </w:rPr>
        <w:t xml:space="preserve">文件（含澄清或者修改文件）。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5.其他相关</w:t>
      </w:r>
      <w:r>
        <w:rPr>
          <w:rFonts w:hint="eastAsia"/>
          <w:color w:val="auto"/>
          <w:sz w:val="24"/>
          <w:highlight w:val="none"/>
        </w:rPr>
        <w:t xml:space="preserve">采购</w:t>
      </w:r>
      <w:r>
        <w:rPr>
          <w:rFonts w:hint="eastAsia" w:ascii="宋体" w:hAnsi="宋体"/>
          <w:color w:val="auto"/>
          <w:sz w:val="24"/>
          <w:highlight w:val="none"/>
        </w:rPr>
        <w:t xml:space="preserve">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双方有关项目的洽商、变更等书面协议或文件视为本合同的组成部分。</w:t>
      </w:r>
      <w:r/>
    </w:p>
    <w:p>
      <w:pPr>
        <w:ind w:firstLine="482"/>
        <w:spacing w:line="360" w:lineRule="auto"/>
        <w:rPr>
          <w:b/>
          <w:color w:val="auto"/>
          <w:sz w:val="24"/>
          <w:highlight w:val="none"/>
        </w:rPr>
      </w:pPr>
      <w:r>
        <w:rPr>
          <w:rFonts w:hint="eastAsia"/>
          <w:b/>
          <w:color w:val="auto"/>
          <w:sz w:val="24"/>
          <w:highlight w:val="none"/>
        </w:rPr>
        <w:t xml:space="preserve">二、合同标的内容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1.项目名称</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江苏省常州技师学院消防控制中心及监控网络改造提升服务项目。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2.项目内容：</w:t>
      </w:r>
      <w:r>
        <w:rPr>
          <w:rFonts w:hint="eastAsia" w:asciiTheme="minorEastAsia" w:hAnsiTheme="minorEastAsia" w:eastAsiaTheme="minorEastAsia"/>
          <w:color w:val="auto"/>
          <w:sz w:val="24"/>
          <w:highlight w:val="none"/>
        </w:rPr>
        <w:t xml:space="preserve">本项目是江苏省常州技师学院消防控制中心及监控网络改造提升服务项目。因常州市人事考试工作需要，计划对江苏省常州技师学院考点相关设施进行改造翻新。原消控中</w:t>
      </w:r>
      <w:bookmarkStart w:id="745" w:name="_GoBack"/>
      <w:r/>
      <w:bookmarkEnd w:id="745"/>
      <w:r>
        <w:rPr>
          <w:rFonts w:hint="eastAsia" w:asciiTheme="minorEastAsia" w:hAnsiTheme="minorEastAsia" w:eastAsiaTheme="minorEastAsia"/>
          <w:color w:val="auto"/>
          <w:sz w:val="24"/>
          <w:highlight w:val="none"/>
        </w:rPr>
        <w:t xml:space="preserve">心建于2012年，目前消控中心及配套设施已老旧，无法满足日常使用需求，现计划对消控中心显示系统、边缘计算盒子、消防模块、交通模块、治安模块、智能安防平台、消控室装修及教学楼专用局域网、监控系统、统一授时等进行提升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3.服务范围：江苏省常州技师学院消控中心及12、14、15号楼。</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4.服务期限：</w:t>
      </w:r>
      <w:r>
        <w:rPr>
          <w:rFonts w:hint="eastAsia" w:ascii="宋体" w:hAnsi="宋体" w:cs="宋体"/>
          <w:color w:val="auto"/>
          <w:sz w:val="24"/>
          <w:highlight w:val="none"/>
        </w:rPr>
        <w:t xml:space="preserve">签订生效之日起50日内完成项目平台部署及相关设备安装调试并通过</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验收。</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合同履行期限修</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三、合同价款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本合同总价为：¥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元人民币）。</w:t>
      </w:r>
      <w:r/>
    </w:p>
    <w:p>
      <w:pPr>
        <w:ind w:firstLine="482"/>
        <w:spacing w:line="360" w:lineRule="auto"/>
        <w:rPr>
          <w:rFonts w:ascii="宋体" w:hAnsi="宋体"/>
          <w:b/>
          <w:bCs/>
          <w:color w:val="auto"/>
          <w:sz w:val="24"/>
          <w:highlight w:val="none"/>
        </w:rPr>
      </w:pPr>
      <w:r/>
      <w:bookmarkStart w:id="680" w:name="_Toc60748168"/>
      <w:r>
        <w:rPr>
          <w:rFonts w:hint="eastAsia" w:ascii="宋体" w:hAnsi="宋体"/>
          <w:b/>
          <w:bCs/>
          <w:color w:val="auto"/>
          <w:sz w:val="24"/>
          <w:highlight w:val="none"/>
        </w:rPr>
        <w:t xml:space="preserve">四、付款方式和发票开具方式</w:t>
      </w:r>
      <w:bookmarkEnd w:id="68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1.本合同项下所有款项均以人民币支付。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2.结算原则：按固定总价进行结算。</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3.支付方式：合同签订后，满足合同约定支付条件的，自收到发票后30天内支付合同金额的50%；项目结束并验收合格，满足合同约定支付条件的，自收到发票后30天内支付至合同金额的100%。</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4.发票开具方式：乙方在结算时需提供合规且符合甲方要求的增值税专用发票。</w:t>
      </w:r>
      <w:r/>
    </w:p>
    <w:p>
      <w:pPr>
        <w:ind w:firstLine="482"/>
        <w:spacing w:line="360" w:lineRule="auto"/>
        <w:rPr>
          <w:rFonts w:hint="default" w:ascii="宋体" w:hAnsi="宋体" w:eastAsia="宋体"/>
          <w:b/>
          <w:color w:val="auto"/>
          <w:sz w:val="24"/>
          <w:highlight w:val="none"/>
          <w:lang w:val="en-US" w:eastAsia="zh-CN"/>
        </w:rPr>
      </w:pPr>
      <w:r>
        <w:rPr>
          <w:rFonts w:hint="eastAsia" w:ascii="宋体" w:hAnsi="宋体"/>
          <w:b/>
          <w:color w:val="auto"/>
          <w:sz w:val="24"/>
          <w:highlight w:val="none"/>
        </w:rPr>
        <w:t xml:space="preserve">五、</w:t>
      </w:r>
      <w:r>
        <w:rPr>
          <w:rFonts w:hint="eastAsia" w:ascii="宋体" w:hAnsi="宋体"/>
          <w:b/>
          <w:color w:val="auto"/>
          <w:sz w:val="24"/>
          <w:highlight w:val="none"/>
          <w:lang w:val="en-US" w:eastAsia="zh-CN"/>
        </w:rPr>
        <w:t xml:space="preserve">售后服务要求</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1.售后服务</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本次项目中涉及的系统软件须提供验收合格后3年7*24小时的技术支持服务和远程技术支持；硬件提供验收合格后3年7*24硬件原厂技术支持与售后服务。</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2.故障应急处置服务</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本项目供应商提供7×24小时上门服务响应，服务包含相关软件服务，在保修期内，如设备出现故障，接到故障通知后30分钟内响应，如需现场服务1小时内到达现场，并在用户规定时间内修复。如果修复不了的，在用户规定时间内提供同一品牌、同一型号、同等配置或更优型号备用设备进行替换，保证系统正常运行。</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3.硬件维护服务</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质保期间，每季度安排专业技术人员对硬件设备进行一次全面检测与维护，及时排查潜在故障；若硬件设备出现非人为损坏，免费更换故障部件，确保硬件设备正常运行，保障软件算力支撑不中断。</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4.软件升级服务</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质保期间，提供软件运维服务，应根据行业发展及学校需求，免费提供软件版本升级服务，及时优化软件功能、修复漏洞，确保软件始终处于稳定、高效地运行状态，升级过程不影响正常使用，无需额外支付升级费用。</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5.人员培训服务</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软硬件部署调试完毕后，为学校相关工作人员提供免费培训服务，讲解硬件设备的基础操作及日常维护注意事项、软件各模块的使用方法，确保相关工作人员能够熟练操作软硬件。</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6.数据安全要求</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项目应采取多重数据安全防护措施，保障项目相关数据的安全与隐私，定期对数据进行备份，防止数据丢失、泄露。接受学校信息安全管理，及时对发现的漏洞进行修复。负责项目售后阶段的技术支撑。</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7.驻场服务要求</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本项目须在项目质保期内容在项目现场安排2名技术人员提供驻场服务，主要负责项目售后阶段的现场技术支持，要求熟悉本项目相关的系统平台，且有一定的技术开发能力，能及时解决客户的相关问题。</w:t>
      </w:r>
      <w:r/>
    </w:p>
    <w:p>
      <w:pPr>
        <w:ind w:firstLine="482"/>
        <w:spacing w:line="360" w:lineRule="auto"/>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 xml:space="preserve">六、验收标准</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 xml:space="preserve">1.</w:t>
      </w:r>
      <w:r>
        <w:rPr>
          <w:rFonts w:hint="eastAsia" w:ascii="宋体" w:hAnsi="宋体" w:eastAsia="宋体"/>
          <w:color w:val="auto"/>
          <w:sz w:val="24"/>
          <w:highlight w:val="none"/>
        </w:rPr>
        <w:t xml:space="preserve">提供安装实施、调试及培训服务，直到符合技术要求，</w:t>
      </w:r>
      <w:r>
        <w:rPr>
          <w:rFonts w:hint="eastAsia" w:ascii="宋体" w:hAnsi="宋体" w:eastAsia="宋体"/>
          <w:color w:val="auto"/>
          <w:sz w:val="24"/>
          <w:highlight w:val="none"/>
          <w:lang w:val="en-US" w:eastAsia="zh-CN"/>
        </w:rPr>
        <w:t xml:space="preserve">甲方</w:t>
      </w:r>
      <w:r>
        <w:rPr>
          <w:rFonts w:hint="eastAsia" w:ascii="宋体" w:hAnsi="宋体" w:eastAsia="宋体"/>
          <w:color w:val="auto"/>
          <w:sz w:val="24"/>
          <w:highlight w:val="none"/>
        </w:rPr>
        <w:t xml:space="preserve">做最终验收。</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 xml:space="preserve">2.甲方</w:t>
      </w:r>
      <w:r>
        <w:rPr>
          <w:rFonts w:hint="eastAsia" w:ascii="宋体" w:hAnsi="宋体" w:eastAsia="宋体"/>
          <w:color w:val="auto"/>
          <w:sz w:val="24"/>
          <w:highlight w:val="none"/>
        </w:rPr>
        <w:t xml:space="preserve">组织项目验收时，可邀请相关领域专家组成履约验收组，根据采购文件和</w:t>
      </w:r>
      <w:r>
        <w:rPr>
          <w:rFonts w:hint="eastAsia" w:ascii="宋体" w:hAnsi="宋体" w:eastAsia="宋体"/>
          <w:color w:val="auto"/>
          <w:sz w:val="24"/>
          <w:highlight w:val="none"/>
          <w:lang w:val="en-US" w:eastAsia="zh-CN"/>
        </w:rPr>
        <w:t xml:space="preserve">乙方</w:t>
      </w:r>
      <w:r>
        <w:rPr>
          <w:rFonts w:hint="eastAsia" w:ascii="宋体" w:hAnsi="宋体" w:eastAsia="宋体"/>
          <w:color w:val="auto"/>
          <w:sz w:val="24"/>
          <w:highlight w:val="none"/>
        </w:rPr>
        <w:t xml:space="preserve">的响应文件进行履约验收，</w:t>
      </w:r>
      <w:r>
        <w:rPr>
          <w:rFonts w:hint="eastAsia" w:ascii="宋体" w:hAnsi="宋体" w:eastAsia="宋体"/>
          <w:color w:val="auto"/>
          <w:sz w:val="24"/>
          <w:highlight w:val="none"/>
          <w:lang w:val="en-US" w:eastAsia="zh-CN"/>
        </w:rPr>
        <w:t xml:space="preserve">乙方</w:t>
      </w:r>
      <w:r>
        <w:rPr>
          <w:rFonts w:hint="eastAsia" w:ascii="宋体" w:hAnsi="宋体" w:eastAsia="宋体"/>
          <w:color w:val="auto"/>
          <w:sz w:val="24"/>
          <w:highlight w:val="none"/>
        </w:rPr>
        <w:t xml:space="preserve">必须全程参加，验收完毕后一致作出验收结果报告。</w:t>
      </w:r>
      <w:r/>
    </w:p>
    <w:p>
      <w:pPr>
        <w:numPr>
          <w:ilvl w:val="0"/>
          <w:numId w:val="0"/>
        </w:num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 xml:space="preserve">3.</w:t>
      </w:r>
      <w:r>
        <w:rPr>
          <w:rFonts w:hint="eastAsia" w:ascii="宋体" w:hAnsi="宋体" w:eastAsia="宋体"/>
          <w:color w:val="auto"/>
          <w:sz w:val="24"/>
          <w:highlight w:val="none"/>
        </w:rPr>
        <w:t xml:space="preserve">交付文档验收要求：项目的工作内容及成果文档的提交应覆盖以下内容，</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（1）项目相关系统的体系架构及描述；</w:t>
      </w:r>
      <w:r/>
    </w:p>
    <w:p>
      <w:pPr>
        <w:ind w:firstLine="480"/>
        <w:jc w:val="left"/>
        <w:spacing w:line="360" w:lineRule="auto"/>
        <w:rPr>
          <w:rFonts w:hint="default" w:ascii="宋体" w:hAnsi="宋体" w:eastAsia="宋体"/>
          <w:color w:val="auto"/>
          <w:sz w:val="24"/>
          <w:highlight w:val="none"/>
          <w:lang w:val="en-US" w:eastAsia="zh-CN"/>
        </w:rPr>
      </w:pPr>
      <w:r>
        <w:rPr>
          <w:rFonts w:hint="eastAsia" w:ascii="宋体" w:hAnsi="宋体" w:eastAsia="宋体"/>
          <w:color w:val="auto"/>
          <w:sz w:val="24"/>
          <w:highlight w:val="none"/>
        </w:rPr>
        <w:t xml:space="preserve">（2）提供的其它技术手册，包括：①需求分析报告（含软件功能需求与数据要求）</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rPr>
        <w:t xml:space="preserve">②实施文档（包括建设、承建、监理、风评、审计），③会议文档，④实施开发报告（承建单位），⑤监理总结报告（如果项目有监理），⑥软件培训资料，⑦软件使用操作手册，⑧项目验收报告。</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lang w:val="en-US" w:eastAsia="zh-CN"/>
        </w:rPr>
        <w:t xml:space="preserve">七</w:t>
      </w:r>
      <w:r>
        <w:rPr>
          <w:rFonts w:hint="eastAsia" w:ascii="宋体" w:hAnsi="宋体"/>
          <w:b/>
          <w:color w:val="auto"/>
          <w:sz w:val="24"/>
          <w:highlight w:val="none"/>
        </w:rPr>
        <w:t xml:space="preserve">、履约保证和违约责任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1.乙方应按照采购文件规定的服务要求、质量标准向甲方提供服务。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2.合同履行过程中，如发现乙方为虚假应标者，甲方有权终止合同，给甲方造成的相应损失由乙方承担。</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八</w:t>
      </w:r>
      <w:r>
        <w:rPr>
          <w:rFonts w:hint="eastAsia" w:ascii="宋体" w:hAnsi="宋体"/>
          <w:b/>
          <w:bCs/>
          <w:color w:val="auto"/>
          <w:sz w:val="24"/>
          <w:highlight w:val="none"/>
        </w:rPr>
        <w:t xml:space="preserve">、甲方权利与义务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（一）甲方权利：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1.有权向乙方询问工作进展情况及相关的内容。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2.有权阐述对具体问题的意见和建议。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3.当甲方认定乙方人员不按合同履行其职责，或与第三人串通给甲方造成经济损失的，甲方有权要求更换人员，直至终止合同并要求乙方承担相应的赔偿责任。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4.在合同期内，若不能达到招标要求，甲方可单方面终止合同且不承担经济赔偿责任。</w:t>
      </w:r>
      <w:r/>
    </w:p>
    <w:p>
      <w:pPr>
        <w:ind w:firstLine="480"/>
        <w:jc w:val="left"/>
        <w:spacing w:line="360" w:lineRule="auto"/>
        <w:rPr>
          <w:rFonts w:ascii="宋体" w:hAnsi="宋体" w:cs="仿宋"/>
          <w:bCs/>
          <w:color w:val="auto"/>
          <w:sz w:val="24"/>
          <w:highlight w:val="none"/>
        </w:rPr>
      </w:pPr>
      <w:r>
        <w:rPr>
          <w:rFonts w:hint="eastAsia" w:ascii="宋体" w:hAnsi="宋体"/>
          <w:color w:val="auto"/>
          <w:sz w:val="24"/>
          <w:highlight w:val="none"/>
        </w:rPr>
        <w:t xml:space="preserve">5.在合同期限内，如遇政策性变化或重大调整，甲方有权提前终止合同，但须提前一个月书面通知乙方，乙方应无条件予以配合。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（二）甲方义务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1.负责与本项目有关的第三方的协调，提供开展服务工作的外部条件。</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2.向乙方提供与本项目有关的资料。</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九</w:t>
      </w:r>
      <w:r>
        <w:rPr>
          <w:rFonts w:hint="eastAsia" w:ascii="宋体" w:hAnsi="宋体"/>
          <w:b/>
          <w:bCs/>
          <w:color w:val="auto"/>
          <w:sz w:val="24"/>
          <w:highlight w:val="none"/>
        </w:rPr>
        <w:t xml:space="preserve">、乙方权利与义务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（一）乙方权利：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乙方在本项目服务过程中，如甲方提供的资料不明确时可向甲方提出书面报告。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（二）乙方义务：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1.应按照</w:t>
      </w:r>
      <w:r>
        <w:rPr>
          <w:rFonts w:hint="eastAsia" w:ascii="宋体" w:hAnsi="宋体"/>
          <w:color w:val="auto"/>
          <w:sz w:val="24"/>
          <w:highlight w:val="none"/>
        </w:rPr>
        <w:t xml:space="preserve">本项目采购文件、乙方投标文件要求按期完成本项目工作。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2.负责组织项目的实施，保证工作质量满足相关验收相关标准。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3.乙方不得擅自部分或全部转让其应履行的合同义务，否则甲方有权终止合同。转包或分包造成甲方损失的，乙方应承担由此造成的全部法律责任及相应经济赔偿责任。</w:t>
      </w:r>
      <w:r>
        <w:rPr>
          <w:rFonts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4.按采购文件要求完成所涉及的其他服务事项和工作内容。</w:t>
      </w:r>
      <w:r/>
    </w:p>
    <w:p>
      <w:pPr>
        <w:ind w:firstLine="482"/>
        <w:spacing w:line="360" w:lineRule="auto"/>
        <w:tabs>
          <w:tab w:val="center" w:pos="4422" w:leader="none"/>
        </w:tabs>
        <w:rPr>
          <w:rFonts w:ascii="宋体" w:hAnsi="宋体"/>
          <w:b/>
          <w:bCs/>
          <w:color w:val="auto"/>
          <w:sz w:val="24"/>
          <w:highlight w:val="none"/>
        </w:rPr>
      </w:pPr>
      <w:r>
        <w:rPr>
          <w:rFonts w:hint="eastAsia" w:ascii="宋体" w:hAnsi="宋体"/>
          <w:b/>
          <w:bCs/>
          <w:color w:val="auto"/>
          <w:sz w:val="24"/>
          <w:highlight w:val="none"/>
          <w:lang w:val="en-US" w:eastAsia="zh-CN"/>
        </w:rPr>
        <w:t xml:space="preserve">十</w:t>
      </w:r>
      <w:r>
        <w:rPr>
          <w:rFonts w:hint="eastAsia" w:ascii="宋体" w:hAnsi="宋体"/>
          <w:b/>
          <w:bCs/>
          <w:color w:val="auto"/>
          <w:sz w:val="24"/>
          <w:highlight w:val="none"/>
        </w:rPr>
        <w:t xml:space="preserve">、保密要求</w:t>
      </w:r>
      <w:r>
        <w:rPr>
          <w:rFonts w:ascii="宋体" w:hAnsi="宋体"/>
          <w:b/>
          <w:bCs/>
          <w:color w:val="auto"/>
          <w:sz w:val="24"/>
          <w:highlight w:val="none"/>
        </w:rPr>
        <w:tab/>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由甲方收集的、整理的、复制的、研究的和准备的与本合同项下工作有关的所有资料在提供给乙方时，均被视为保密的，不得泄漏给除甲方或其指定的代表之外的任何人，不管本合同因何种原因终止，本条款一直约束乙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乙方在履行合同过程中所获得或接触到的任何</w:t>
      </w:r>
      <w:r>
        <w:rPr>
          <w:rFonts w:hint="eastAsia" w:ascii="宋体" w:hAnsi="宋体"/>
          <w:color w:val="auto"/>
          <w:sz w:val="24"/>
          <w:highlight w:val="none"/>
        </w:rPr>
        <w:t xml:space="preserve">内部数据资料，未经甲方同意，不得向第三方透露。</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乙方</w:t>
      </w:r>
      <w:r>
        <w:rPr>
          <w:rFonts w:hint="eastAsia" w:ascii="宋体" w:hAnsi="宋体"/>
          <w:color w:val="auto"/>
          <w:sz w:val="24"/>
          <w:highlight w:val="none"/>
        </w:rPr>
        <w:t xml:space="preserve">实施项目的一切程序都应符合国家安全、保密的有关规定和标准。</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十</w:t>
      </w:r>
      <w:r>
        <w:rPr>
          <w:rFonts w:hint="eastAsia" w:ascii="宋体" w:hAnsi="宋体"/>
          <w:b/>
          <w:color w:val="auto"/>
          <w:sz w:val="24"/>
          <w:highlight w:val="none"/>
          <w:lang w:val="en-US" w:eastAsia="zh-CN"/>
        </w:rPr>
        <w:t xml:space="preserve">一</w:t>
      </w:r>
      <w:r>
        <w:rPr>
          <w:rFonts w:hint="eastAsia" w:ascii="宋体" w:hAnsi="宋体"/>
          <w:b/>
          <w:color w:val="auto"/>
          <w:sz w:val="24"/>
          <w:highlight w:val="none"/>
        </w:rPr>
        <w:t xml:space="preserve">、合同的变更和解除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1.本合同一经签订，双方不得擅自变更、中止或者终止合同。</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2.在合同期限内，如遇政策性变化或重大调整，甲方有权提前终止合同。</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3.除发生法律规定的不能预见、不能避免且不能克服的客观情况外，双方不得放弃或拒绝履行合同。乙方放弃或拒绝履行合同，履约保证金不予退还。</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4.合同的解除：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如遇下列任意一种情况，本合同可解除：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（1）因不可抗力导致本合同无法履行；</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（2）合同的继续履行将损害国家利益和社会公共利益；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（3）乙方不履行采购文件和本合同，经甲方两次书面整改通知仍不改正的；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（4）服务期间发生重大安全事故且产生恶劣社会影响。</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十</w:t>
      </w:r>
      <w:r>
        <w:rPr>
          <w:rFonts w:hint="eastAsia" w:ascii="宋体" w:hAnsi="宋体"/>
          <w:b/>
          <w:color w:val="auto"/>
          <w:sz w:val="24"/>
          <w:highlight w:val="none"/>
          <w:lang w:val="en-US" w:eastAsia="zh-CN"/>
        </w:rPr>
        <w:t xml:space="preserve">二</w:t>
      </w:r>
      <w:r>
        <w:rPr>
          <w:rFonts w:hint="eastAsia" w:ascii="宋体" w:hAnsi="宋体"/>
          <w:b/>
          <w:color w:val="auto"/>
          <w:sz w:val="24"/>
          <w:highlight w:val="none"/>
        </w:rPr>
        <w:t xml:space="preserve">、争端的解决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合同实施或与合同有关的一切争端应依据《中华人民共和国民法典》并通过双方协商解决。如无法协商的，则采取以下第</w:t>
      </w:r>
      <w:r>
        <w:rPr>
          <w:rFonts w:hint="eastAsia" w:ascii="宋体" w:hAnsi="宋体"/>
          <w:color w:val="auto"/>
          <w:sz w:val="24"/>
          <w:highlight w:val="none"/>
          <w:u w:val="single"/>
        </w:rPr>
        <w:t xml:space="preserve"> 2 </w:t>
      </w:r>
      <w:r>
        <w:rPr>
          <w:rFonts w:hint="eastAsia" w:ascii="宋体" w:hAnsi="宋体"/>
          <w:color w:val="auto"/>
          <w:sz w:val="24"/>
          <w:highlight w:val="none"/>
        </w:rPr>
        <w:t xml:space="preserve">种方式解决争议：</w:t>
      </w:r>
      <w:r/>
    </w:p>
    <w:p>
      <w:pPr>
        <w:pStyle w:val="1073"/>
        <w:ind w:left="0" w:firstLine="480"/>
        <w:spacing w:after="0" w:line="360" w:lineRule="auto"/>
        <w:rPr>
          <w:rFonts w:ascii="宋体" w:hAnsi="宋体"/>
          <w:color w:val="auto"/>
          <w:highlight w:val="none"/>
        </w:rPr>
      </w:pPr>
      <w:r>
        <w:rPr>
          <w:rFonts w:hint="eastAsia" w:ascii="宋体" w:hAnsi="宋体"/>
          <w:color w:val="auto"/>
          <w:highlight w:val="none"/>
        </w:rPr>
        <w:t xml:space="preserve">1、向甲方所在地有管辖权的人民法院提起诉讼；</w:t>
      </w:r>
      <w:r/>
    </w:p>
    <w:p>
      <w:pPr>
        <w:pStyle w:val="1073"/>
        <w:ind w:left="0" w:firstLine="480"/>
        <w:spacing w:after="0" w:line="360" w:lineRule="auto"/>
        <w:rPr>
          <w:rFonts w:ascii="宋体" w:hAnsi="宋体"/>
          <w:color w:val="auto"/>
          <w:highlight w:val="none"/>
        </w:rPr>
      </w:pPr>
      <w:r>
        <w:rPr>
          <w:rFonts w:hint="eastAsia" w:ascii="宋体" w:hAnsi="宋体"/>
          <w:color w:val="auto"/>
          <w:highlight w:val="none"/>
        </w:rPr>
        <w:t xml:space="preserve">2、向甲方所在地仲裁委员会按其仲裁规则申请仲裁。</w:t>
      </w:r>
      <w:r/>
    </w:p>
    <w:p>
      <w:pPr>
        <w:pStyle w:val="1073"/>
        <w:ind w:left="0" w:firstLine="482"/>
        <w:spacing w:after="0" w:line="360" w:lineRule="auto"/>
        <w:rPr>
          <w:rFonts w:ascii="宋体" w:hAnsi="宋体"/>
          <w:b/>
          <w:color w:val="auto"/>
          <w:highlight w:val="none"/>
        </w:rPr>
      </w:pPr>
      <w:r>
        <w:rPr>
          <w:rFonts w:hint="eastAsia" w:ascii="宋体" w:hAnsi="宋体"/>
          <w:b/>
          <w:color w:val="auto"/>
          <w:highlight w:val="none"/>
        </w:rPr>
        <w:t xml:space="preserve">十</w:t>
      </w:r>
      <w:r>
        <w:rPr>
          <w:rFonts w:hint="eastAsia" w:ascii="宋体" w:hAnsi="宋体"/>
          <w:b/>
          <w:color w:val="auto"/>
          <w:highlight w:val="none"/>
          <w:lang w:val="en-US" w:eastAsia="zh-CN"/>
        </w:rPr>
        <w:t xml:space="preserve">三</w:t>
      </w:r>
      <w:r>
        <w:rPr>
          <w:rFonts w:hint="eastAsia" w:ascii="宋体" w:hAnsi="宋体"/>
          <w:b/>
          <w:color w:val="auto"/>
          <w:highlight w:val="none"/>
        </w:rPr>
        <w:t xml:space="preserve">、合同生效及其他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1、本合同未尽事宜，遵照《中华人民共和国民法典》有关条文执行。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2、合同经甲方乙方双方签字或者盖章后生效。</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3、本合同一式</w:t>
      </w:r>
      <w:r>
        <w:rPr>
          <w:rFonts w:hint="eastAsia" w:ascii="宋体" w:hAnsi="宋体"/>
          <w:color w:val="auto"/>
          <w:sz w:val="24"/>
          <w:highlight w:val="none"/>
          <w:u w:val="single"/>
        </w:rPr>
        <w:t xml:space="preserve"> 伍 </w:t>
      </w:r>
      <w:r>
        <w:rPr>
          <w:rFonts w:hint="eastAsia" w:ascii="宋体" w:hAnsi="宋体"/>
          <w:color w:val="auto"/>
          <w:sz w:val="24"/>
          <w:highlight w:val="none"/>
        </w:rPr>
        <w:t xml:space="preserve">份，具有同等法律效力，甲方执</w:t>
      </w:r>
      <w:r>
        <w:rPr>
          <w:rFonts w:hint="eastAsia" w:ascii="宋体" w:hAnsi="宋体"/>
          <w:color w:val="auto"/>
          <w:sz w:val="24"/>
          <w:highlight w:val="none"/>
          <w:u w:val="single"/>
        </w:rPr>
        <w:t xml:space="preserve"> 贰 </w:t>
      </w:r>
      <w:r>
        <w:rPr>
          <w:rFonts w:hint="eastAsia" w:ascii="宋体" w:hAnsi="宋体"/>
          <w:color w:val="auto"/>
          <w:sz w:val="24"/>
          <w:highlight w:val="none"/>
        </w:rPr>
        <w:t xml:space="preserve">份，乙方执</w:t>
      </w:r>
      <w:r>
        <w:rPr>
          <w:rFonts w:hint="eastAsia" w:ascii="宋体" w:hAnsi="宋体"/>
          <w:color w:val="auto"/>
          <w:sz w:val="24"/>
          <w:highlight w:val="none"/>
          <w:u w:val="single"/>
        </w:rPr>
        <w:t xml:space="preserve"> 贰 </w:t>
      </w:r>
      <w:r>
        <w:rPr>
          <w:rFonts w:hint="eastAsia" w:ascii="宋体" w:hAnsi="宋体"/>
          <w:color w:val="auto"/>
          <w:sz w:val="24"/>
          <w:highlight w:val="none"/>
        </w:rPr>
        <w:t xml:space="preserve">份，代理采购机构执壹份。</w:t>
      </w:r>
      <w:r/>
    </w:p>
    <w:tbl>
      <w:tblPr>
        <w:tblStyle w:val="104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9288"/>
      </w:tblGrid>
      <w:tr>
        <w:trPr/>
        <w:tc>
          <w:tcPr>
            <w:shd w:val="clear" w:color="auto" w:fill="auto"/>
            <w:tcW w:w="9400" w:type="dxa"/>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甲方（采购人）（盖章）：                  乙方（</w:t>
            </w:r>
            <w:r>
              <w:rPr>
                <w:rFonts w:hint="eastAsia" w:ascii="宋体" w:hAnsi="宋体" w:cs="宋体"/>
                <w:color w:val="auto"/>
                <w:sz w:val="24"/>
                <w:highlight w:val="none"/>
                <w:u w:val="single"/>
              </w:rPr>
              <w:t xml:space="preserve">成交供应商</w:t>
            </w:r>
            <w:r>
              <w:rPr>
                <w:rFonts w:hint="eastAsia" w:ascii="宋体" w:hAnsi="宋体"/>
                <w:color w:val="auto"/>
                <w:sz w:val="24"/>
                <w:highlight w:val="none"/>
              </w:rPr>
              <w:t xml:space="preserve">）（盖章）：</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法定代表人：                              法定代表人：</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代理人：                                  代理人：</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电  话：                                  电  话：</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开户银行：                                开户银行：</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账  号：                                   账  号：</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单位地址：                                 单位地址：</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日  期：                                   日  期：</w:t>
            </w:r>
            <w:r/>
          </w:p>
          <w:p>
            <w:pPr>
              <w:jc w:val="left"/>
              <w:spacing w:line="560" w:lineRule="exact"/>
              <w:rPr>
                <w:rFonts w:ascii="宋体" w:hAnsi="宋体"/>
                <w:color w:val="auto"/>
                <w:sz w:val="24"/>
                <w:highlight w:val="none"/>
              </w:rPr>
            </w:pPr>
            <w:r>
              <w:rPr>
                <w:rFonts w:ascii="宋体" w:hAnsi="宋体"/>
                <w:color w:val="auto"/>
                <w:sz w:val="24"/>
                <w:highlight w:val="none"/>
              </w:rPr>
            </w:r>
            <w:r/>
          </w:p>
        </w:tc>
      </w:tr>
    </w:tbl>
    <w:p>
      <w:pPr>
        <w:spacing w:line="560" w:lineRule="exact"/>
        <w:rPr>
          <w:rFonts w:ascii="宋体" w:hAnsi="宋体" w:cs="仿宋"/>
          <w:b/>
          <w:color w:val="auto"/>
          <w:sz w:val="24"/>
          <w:highlight w:val="none"/>
        </w:rPr>
      </w:pPr>
      <w:r>
        <w:rPr>
          <w:rFonts w:hint="eastAsia" w:ascii="宋体" w:hAnsi="宋体" w:cs="仿宋"/>
          <w:b/>
          <w:color w:val="auto"/>
          <w:sz w:val="24"/>
          <w:highlight w:val="none"/>
        </w:rPr>
        <w:t xml:space="preserve">合同备案</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代理机构（盖章）：</w:t>
      </w:r>
      <w:r/>
    </w:p>
    <w:p>
      <w:pPr>
        <w:spacing w:line="360" w:lineRule="auto"/>
        <w:rPr>
          <w:rFonts w:ascii="微软雅黑" w:hAnsi="微软雅黑" w:eastAsia="微软雅黑"/>
          <w:color w:val="auto"/>
          <w:szCs w:val="21"/>
          <w:highlight w:val="none"/>
        </w:rPr>
      </w:pPr>
      <w:r>
        <w:rPr>
          <w:rFonts w:hint="eastAsia" w:ascii="宋体" w:hAnsi="宋体"/>
          <w:color w:val="auto"/>
          <w:sz w:val="24"/>
          <w:highlight w:val="none"/>
        </w:rPr>
        <w:t xml:space="preserve">日  期：</w:t>
      </w:r>
      <w:r/>
    </w:p>
    <w:p>
      <w:pPr>
        <w:jc w:val="left"/>
        <w:spacing w:line="360" w:lineRule="auto"/>
        <w:widowControl/>
        <w:rPr>
          <w:rFonts w:ascii="宋体" w:hAnsi="宋体"/>
          <w:color w:val="auto"/>
          <w:sz w:val="24"/>
          <w:highlight w:val="none"/>
        </w:rPr>
      </w:pPr>
      <w:r>
        <w:rPr>
          <w:rFonts w:ascii="宋体" w:hAnsi="宋体"/>
          <w:color w:val="auto"/>
          <w:sz w:val="24"/>
          <w:highlight w:val="none"/>
        </w:rPr>
      </w:r>
      <w:r/>
    </w:p>
    <w:p>
      <w:pPr>
        <w:pStyle w:val="1047"/>
        <w:rPr>
          <w:color w:val="auto"/>
          <w:highlight w:val="none"/>
        </w:rPr>
        <w:sectPr>
          <w:footerReference w:type="even" r:id="rId20"/>
          <w:footnotePr/>
          <w:endnotePr/>
          <w:type w:val="nextPage"/>
          <w:pgSz w:w="11906" w:h="16838" w:orient="portrait"/>
          <w:pgMar w:top="1440" w:right="1416" w:bottom="1440" w:left="1418" w:header="851" w:footer="992" w:gutter="0"/>
          <w:cols w:num="1" w:sep="0" w:space="720" w:equalWidth="1"/>
          <w:docGrid w:linePitch="360"/>
        </w:sectPr>
      </w:pPr>
      <w:r>
        <w:rPr>
          <w:color w:val="auto"/>
          <w:highlight w:val="none"/>
        </w:rPr>
      </w:r>
      <w:r/>
    </w:p>
    <w:p>
      <w:pPr>
        <w:jc w:val="center"/>
        <w:spacing w:line="360" w:lineRule="auto"/>
        <w:rPr>
          <w:b/>
          <w:color w:val="auto"/>
          <w:sz w:val="36"/>
          <w:szCs w:val="36"/>
          <w:highlight w:val="none"/>
        </w:rPr>
        <w:outlineLvl w:val="0"/>
      </w:pPr>
      <w:r/>
      <w:bookmarkStart w:id="681" w:name="_bookmark4"/>
      <w:r/>
      <w:bookmarkEnd w:id="681"/>
      <w:r/>
      <w:bookmarkStart w:id="682" w:name="_Toc193985583"/>
      <w:r>
        <w:rPr>
          <w:b/>
          <w:color w:val="auto"/>
          <w:sz w:val="36"/>
          <w:szCs w:val="36"/>
          <w:highlight w:val="none"/>
        </w:rPr>
        <w:t xml:space="preserve">第六章   响应文件格式</w:t>
      </w:r>
      <w:bookmarkEnd w:id="682"/>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对于竞争性磋商文件中标记了“实质性格式”文件的，供应商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响应文件编制工具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b/>
          <w:color w:val="auto"/>
          <w:sz w:val="24"/>
          <w:highlight w:val="none"/>
        </w:rPr>
      </w:pPr>
      <w:r>
        <w:rPr>
          <w:color w:val="auto"/>
          <w:sz w:val="24"/>
          <w:highlight w:val="none"/>
        </w:rPr>
        <w:br w:type="page" w:clear="all"/>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807"/>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807"/>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807"/>
        <w:spacing w:line="360" w:lineRule="auto"/>
        <w:rPr>
          <w:rFonts w:ascii="宋体" w:hAnsi="宋体"/>
          <w:b/>
          <w:color w:val="auto"/>
          <w:sz w:val="36"/>
          <w:highlight w:val="none"/>
          <w:u w:val="single"/>
        </w:rPr>
      </w:pPr>
      <w:r>
        <w:rPr>
          <w:rFonts w:hint="eastAsia" w:ascii="宋体" w:hAnsi="宋体"/>
          <w:b/>
          <w:color w:val="auto"/>
          <w:sz w:val="36"/>
          <w:highlight w:val="none"/>
        </w:rPr>
        <w:t xml:space="preserve">供应商名称 ：</w:t>
      </w:r>
      <w:r>
        <w:rPr>
          <w:rFonts w:hint="eastAsia" w:ascii="宋体" w:hAnsi="宋体"/>
          <w:b/>
          <w:color w:val="auto"/>
          <w:sz w:val="36"/>
          <w:highlight w:val="none"/>
          <w:u w:val="single"/>
        </w:rPr>
        <w:t xml:space="preserve">               </w:t>
      </w:r>
      <w:r/>
    </w:p>
    <w:p>
      <w:pPr>
        <w:ind w:firstLine="1807"/>
        <w:spacing w:line="360" w:lineRule="auto"/>
        <w:rPr>
          <w:rFonts w:ascii="宋体" w:hAnsi="宋体"/>
          <w:b/>
          <w:color w:val="auto"/>
          <w:sz w:val="36"/>
          <w:highlight w:val="non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032"/>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w:t>
      </w:r>
      <w:r>
        <w:rPr>
          <w:rFonts w:ascii="Times New Roman"/>
          <w:color w:val="auto"/>
          <w:highlight w:val="none"/>
          <w:u w:val="none"/>
        </w:rPr>
        <w:t xml:space="preserve">实质性格式</w:t>
      </w:r>
      <w:r>
        <w:rPr>
          <w:rFonts w:ascii="Times New Roman"/>
          <w:b w:val="0"/>
          <w:color w:val="auto"/>
          <w:highlight w:val="none"/>
          <w:u w:val="none"/>
        </w:rPr>
        <w:t xml:space="preserve">）</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1041"/>
        <w:ind w:firstLine="480"/>
        <w:spacing w:line="460" w:lineRule="exact"/>
        <w:rPr>
          <w:color w:val="auto"/>
          <w:highlight w:val="none"/>
        </w:rPr>
      </w:pPr>
      <w:r>
        <w:rPr>
          <w:color w:val="auto"/>
          <w:highlight w:val="none"/>
        </w:rPr>
      </w:r>
      <w:r/>
    </w:p>
    <w:p>
      <w:pPr>
        <w:pStyle w:val="1041"/>
        <w:ind w:firstLine="480"/>
        <w:spacing w:line="460" w:lineRule="exact"/>
        <w:rPr>
          <w:color w:val="auto"/>
          <w:highlight w:val="none"/>
        </w:rPr>
      </w:pPr>
      <w:r>
        <w:rPr>
          <w:rFonts w:hint="eastAsia"/>
          <w:color w:val="auto"/>
          <w:highlight w:val="none"/>
        </w:rPr>
        <w:t xml:space="preserve">致：常州中采招投标有限公司</w:t>
      </w:r>
      <w:r>
        <w:rPr>
          <w:color w:val="auto"/>
          <w:highlight w:val="none"/>
        </w:rPr>
        <w:t xml:space="preserve"> </w:t>
      </w:r>
      <w:r/>
    </w:p>
    <w:p>
      <w:pPr>
        <w:pStyle w:val="1041"/>
        <w:ind w:firstLine="960"/>
        <w:spacing w:line="460" w:lineRule="exact"/>
        <w:rPr>
          <w:color w:val="auto"/>
          <w:highlight w:val="none"/>
          <w:u w:val="single"/>
        </w:rPr>
      </w:pPr>
      <w:r>
        <w:rPr>
          <w:rFonts w:hint="eastAsia"/>
          <w:color w:val="auto"/>
          <w:highlight w:val="none"/>
          <w:u w:val="single"/>
        </w:rPr>
        <w:t xml:space="preserve">（采购人名称）</w:t>
      </w:r>
      <w:r/>
    </w:p>
    <w:p>
      <w:pPr>
        <w:pStyle w:val="1041"/>
        <w:ind w:firstLine="480"/>
        <w:spacing w:line="460" w:lineRule="exact"/>
        <w:rPr>
          <w:color w:val="auto"/>
          <w:highlight w:val="none"/>
        </w:rPr>
      </w:pPr>
      <w:r>
        <w:rPr>
          <w:color w:val="auto"/>
          <w:highlight w:val="none"/>
        </w:rPr>
      </w:r>
      <w:r/>
    </w:p>
    <w:p>
      <w:pPr>
        <w:pStyle w:val="1041"/>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1041"/>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041"/>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1041"/>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1041"/>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1041"/>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041"/>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041"/>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041"/>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41"/>
        <w:ind w:firstLine="480"/>
        <w:spacing w:line="460" w:lineRule="exact"/>
        <w:rPr>
          <w:color w:val="auto"/>
          <w:highlight w:val="none"/>
        </w:rPr>
      </w:pPr>
      <w:r>
        <w:rPr>
          <w:rFonts w:hint="eastAsia"/>
          <w:color w:val="auto"/>
          <w:highlight w:val="none"/>
        </w:rPr>
        <w:t xml:space="preserve">七、我单位具备法律、行政法规规定的其他条件。</w:t>
      </w:r>
      <w:r/>
    </w:p>
    <w:p>
      <w:pPr>
        <w:pStyle w:val="1041"/>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1041"/>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041"/>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041"/>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041"/>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1041"/>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1041"/>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041"/>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041"/>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041"/>
        <w:ind w:firstLine="480"/>
        <w:spacing w:line="460" w:lineRule="exact"/>
        <w:rPr>
          <w:color w:val="auto"/>
          <w:highlight w:val="none"/>
        </w:rPr>
      </w:pPr>
      <w:r>
        <w:rPr>
          <w:color w:val="auto"/>
          <w:highlight w:val="none"/>
        </w:rPr>
      </w:r>
      <w:r/>
    </w:p>
    <w:p>
      <w:pPr>
        <w:pStyle w:val="1041"/>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041"/>
        <w:ind w:firstLine="480"/>
        <w:spacing w:line="460" w:lineRule="exact"/>
        <w:rPr>
          <w:color w:val="auto"/>
          <w:highlight w:val="none"/>
        </w:rPr>
      </w:pPr>
      <w:r>
        <w:rPr>
          <w:color w:val="auto"/>
          <w:highlight w:val="none"/>
        </w:rPr>
      </w:r>
      <w:r/>
    </w:p>
    <w:p>
      <w:pPr>
        <w:pStyle w:val="1041"/>
        <w:ind w:firstLine="480"/>
        <w:spacing w:line="460" w:lineRule="exact"/>
        <w:rPr>
          <w:color w:val="auto"/>
          <w:highlight w:val="none"/>
        </w:rPr>
      </w:pPr>
      <w:r>
        <w:rPr>
          <w:color w:val="auto"/>
          <w:highlight w:val="none"/>
        </w:rPr>
      </w:r>
      <w:r/>
    </w:p>
    <w:p>
      <w:pPr>
        <w:pStyle w:val="1041"/>
        <w:ind w:firstLine="480"/>
        <w:spacing w:line="460" w:lineRule="exact"/>
        <w:rPr>
          <w:color w:val="auto"/>
          <w:highlight w:val="none"/>
        </w:rPr>
      </w:pPr>
      <w:r>
        <w:rPr>
          <w:rFonts w:hint="eastAsia"/>
          <w:color w:val="auto"/>
          <w:highlight w:val="none"/>
        </w:rPr>
        <w:t xml:space="preserve">                              供应商：（加盖公章）</w:t>
      </w:r>
      <w:r/>
    </w:p>
    <w:p>
      <w:pPr>
        <w:pStyle w:val="1041"/>
        <w:ind w:firstLine="480"/>
        <w:spacing w:line="460" w:lineRule="exact"/>
        <w:rPr>
          <w:color w:val="auto"/>
          <w:highlight w:val="none"/>
        </w:rPr>
      </w:pPr>
      <w:r>
        <w:rPr>
          <w:rFonts w:hint="eastAsia"/>
          <w:color w:val="auto"/>
          <w:highlight w:val="none"/>
        </w:rPr>
        <w:t xml:space="preserve">                              法定代表人（或单位负责人）签字或盖章：</w:t>
      </w:r>
      <w:r/>
    </w:p>
    <w:p>
      <w:pPr>
        <w:pStyle w:val="1041"/>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18" w:right="1417" w:bottom="1418" w:left="1418" w:header="851" w:footer="851" w:gutter="0"/>
          <w:cols w:num="1" w:sep="0" w:space="720" w:equalWidth="1"/>
          <w:docGrid w:linePitch="360"/>
        </w:sectPr>
      </w:pPr>
      <w:r>
        <w:rPr>
          <w:color w:val="auto"/>
          <w:sz w:val="24"/>
          <w:highlight w:val="none"/>
        </w:rPr>
      </w:r>
      <w:r/>
    </w:p>
    <w:p>
      <w:pPr>
        <w:pStyle w:val="1032"/>
        <w:rPr>
          <w:rFonts w:ascii="Times New Roman"/>
          <w:color w:val="auto"/>
          <w:highlight w:val="none"/>
          <w:u w:val="none"/>
        </w:rPr>
      </w:pPr>
      <w:r>
        <w:rPr>
          <w:rFonts w:hint="eastAsia" w:ascii="Times New Roman"/>
          <w:color w:val="auto"/>
          <w:highlight w:val="none"/>
          <w:u w:val="none"/>
        </w:rPr>
        <w:t xml:space="preserve">1-2  企业营业执照或事业单位法人证书或自然人身份证明文件（实质性格式）</w:t>
      </w:r>
      <w:r/>
    </w:p>
    <w:p>
      <w:pPr>
        <w:spacing w:line="360" w:lineRule="auto"/>
        <w:rPr>
          <w:color w:val="auto"/>
          <w:sz w:val="24"/>
          <w:szCs w:val="20"/>
          <w:highlight w:val="none"/>
        </w:rPr>
        <w:outlineLvl w:val="2"/>
      </w:pPr>
      <w:r>
        <w:rPr>
          <w:color w:val="auto"/>
          <w:sz w:val="24"/>
          <w:highlight w:val="none"/>
        </w:rPr>
        <w:br w:type="page" w:clear="all"/>
      </w:r>
      <w:r>
        <w:rPr>
          <w:rFonts w:hint="eastAsia" w:ascii="宋体" w:hAnsi="宋体" w:cs="宋体"/>
          <w:color w:val="auto"/>
          <w:sz w:val="24"/>
          <w:highlight w:val="none"/>
        </w:rPr>
        <w:t xml:space="preserve">2</w:t>
      </w:r>
      <w:r>
        <w:rPr>
          <w:rFonts w:ascii="宋体" w:hAnsi="宋体" w:cs="宋体"/>
          <w:color w:val="auto"/>
          <w:sz w:val="24"/>
          <w:highlight w:val="none"/>
        </w:rPr>
        <w:t xml:space="preserve"> </w:t>
      </w:r>
      <w:r>
        <w:rPr>
          <w:rFonts w:hint="eastAsia" w:ascii="宋体" w:hAnsi="宋体" w:cs="宋体"/>
          <w:color w:val="auto"/>
          <w:sz w:val="24"/>
          <w:highlight w:val="none"/>
        </w:rPr>
        <w:t xml:space="preserve"> </w:t>
      </w:r>
      <w:r>
        <w:rPr>
          <w:color w:val="auto"/>
          <w:sz w:val="24"/>
          <w:szCs w:val="20"/>
          <w:highlight w:val="none"/>
        </w:rPr>
        <w:t xml:space="preserve">落实政府采购政策需满足的资格要求：</w:t>
      </w:r>
      <w:r/>
    </w:p>
    <w:p>
      <w:pPr>
        <w:spacing w:line="360" w:lineRule="auto"/>
        <w:rPr>
          <w:color w:val="auto"/>
          <w:sz w:val="24"/>
          <w:szCs w:val="20"/>
          <w:highlight w:val="none"/>
        </w:rPr>
        <w:outlineLvl w:val="2"/>
      </w:pPr>
      <w:r>
        <w:rPr>
          <w:rFonts w:hint="eastAsia"/>
          <w:color w:val="auto"/>
          <w:sz w:val="24"/>
          <w:szCs w:val="20"/>
          <w:highlight w:val="none"/>
        </w:rPr>
        <w:t xml:space="preserve">2-1</w:t>
      </w:r>
      <w:r>
        <w:rPr>
          <w:color w:val="auto"/>
          <w:sz w:val="24"/>
          <w:szCs w:val="20"/>
          <w:highlight w:val="none"/>
        </w:rPr>
        <w:t xml:space="preserve">本项目</w:t>
      </w:r>
      <w:r>
        <w:rPr>
          <w:rFonts w:hint="eastAsia"/>
          <w:color w:val="auto"/>
          <w:sz w:val="24"/>
          <w:szCs w:val="20"/>
          <w:highlight w:val="none"/>
          <w:lang w:val="en-US" w:eastAsia="zh-CN"/>
        </w:rPr>
        <w:t xml:space="preserve">不</w:t>
      </w:r>
      <w:r>
        <w:rPr>
          <w:color w:val="auto"/>
          <w:sz w:val="24"/>
          <w:szCs w:val="20"/>
          <w:highlight w:val="none"/>
        </w:rPr>
        <w:t xml:space="preserve">专门面向中小企业。</w:t>
      </w:r>
      <w:r/>
    </w:p>
    <w:p>
      <w:pPr>
        <w:spacing w:line="360" w:lineRule="auto"/>
        <w:rPr>
          <w:color w:val="auto"/>
          <w:sz w:val="24"/>
          <w:szCs w:val="20"/>
          <w:highlight w:val="none"/>
        </w:rPr>
        <w:outlineLvl w:val="2"/>
      </w:pPr>
      <w:r>
        <w:rPr>
          <w:color w:val="auto"/>
          <w:sz w:val="24"/>
          <w:szCs w:val="20"/>
          <w:highlight w:val="none"/>
        </w:rPr>
        <w:t xml:space="preserve">2-</w:t>
      </w:r>
      <w:r>
        <w:rPr>
          <w:rFonts w:hint="eastAsia"/>
          <w:color w:val="auto"/>
          <w:sz w:val="24"/>
          <w:szCs w:val="20"/>
          <w:highlight w:val="none"/>
        </w:rPr>
        <w:t xml:space="preserve">2</w:t>
      </w:r>
      <w:r>
        <w:rPr>
          <w:color w:val="auto"/>
          <w:sz w:val="24"/>
          <w:szCs w:val="20"/>
          <w:highlight w:val="none"/>
        </w:rPr>
        <w:t xml:space="preserve"> </w:t>
      </w:r>
      <w:r>
        <w:rPr>
          <w:color w:val="auto"/>
          <w:sz w:val="24"/>
          <w:highlight w:val="none"/>
        </w:rPr>
        <w:t xml:space="preserve">其它落实政府采购政策的资格要求</w:t>
      </w:r>
      <w:r>
        <w:rPr>
          <w:rFonts w:hint="eastAsia"/>
          <w:color w:val="auto"/>
          <w:sz w:val="24"/>
          <w:szCs w:val="20"/>
          <w:highlight w:val="none"/>
        </w:rPr>
        <w:t xml:space="preserve">：</w:t>
      </w:r>
      <w:r>
        <w:rPr>
          <w:color w:val="auto"/>
          <w:sz w:val="24"/>
          <w:szCs w:val="20"/>
          <w:highlight w:val="none"/>
        </w:rPr>
        <w:t xml:space="preserve">无</w:t>
      </w:r>
      <w:r>
        <w:rPr>
          <w:rFonts w:hint="eastAsia"/>
          <w:color w:val="auto"/>
          <w:sz w:val="24"/>
          <w:szCs w:val="20"/>
          <w:highlight w:val="none"/>
        </w:rPr>
        <w:t xml:space="preserve">。</w:t>
      </w:r>
      <w:r/>
    </w:p>
    <w:p>
      <w:pPr>
        <w:jc w:val="left"/>
        <w:widowControl/>
        <w:rPr>
          <w:color w:val="auto"/>
          <w:sz w:val="24"/>
          <w:highlight w:val="none"/>
        </w:r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3 本项目的特定资格要求</w:t>
      </w:r>
      <w:r>
        <w:rPr>
          <w:rFonts w:hint="eastAsia"/>
          <w:color w:val="auto"/>
          <w:sz w:val="24"/>
          <w:szCs w:val="20"/>
          <w:highlight w:val="none"/>
        </w:rPr>
        <w:t xml:space="preserve">：</w:t>
      </w:r>
      <w:r>
        <w:rPr>
          <w:color w:val="auto"/>
          <w:sz w:val="24"/>
          <w:szCs w:val="20"/>
          <w:highlight w:val="none"/>
        </w:rPr>
        <w:t xml:space="preserve">无</w:t>
      </w:r>
      <w:r>
        <w:rPr>
          <w:rFonts w:hint="eastAsia"/>
          <w:color w:val="auto"/>
          <w:sz w:val="24"/>
          <w:szCs w:val="20"/>
          <w:highlight w:val="none"/>
        </w:rPr>
        <w:t xml:space="preserve">。</w:t>
      </w:r>
      <w:r/>
    </w:p>
    <w:p>
      <w:pPr>
        <w:spacing w:line="360" w:lineRule="auto"/>
        <w:rPr>
          <w:color w:val="auto"/>
          <w:sz w:val="24"/>
          <w:szCs w:val="20"/>
          <w:highlight w:val="none"/>
        </w:rPr>
        <w:outlineLvl w:val="2"/>
      </w:pPr>
      <w:r>
        <w:rPr>
          <w:color w:val="auto"/>
          <w:sz w:val="24"/>
          <w:szCs w:val="20"/>
          <w:highlight w:val="none"/>
        </w:rPr>
        <w:t xml:space="preserve">3-1联合协议</w:t>
      </w:r>
      <w:r>
        <w:rPr>
          <w:rFonts w:hint="eastAsia"/>
          <w:color w:val="auto"/>
          <w:sz w:val="24"/>
          <w:szCs w:val="20"/>
          <w:highlight w:val="none"/>
        </w:rPr>
        <w:t xml:space="preserve">：</w:t>
      </w:r>
      <w:r>
        <w:rPr>
          <w:color w:val="auto"/>
          <w:sz w:val="24"/>
          <w:szCs w:val="20"/>
          <w:highlight w:val="none"/>
        </w:rPr>
        <w:t xml:space="preserve">本项目不接受联合体投标</w:t>
      </w:r>
      <w:r>
        <w:rPr>
          <w:rFonts w:hint="eastAsia"/>
          <w:color w:val="auto"/>
          <w:sz w:val="24"/>
          <w:szCs w:val="20"/>
          <w:highlight w:val="none"/>
        </w:rPr>
        <w:t xml:space="preserve">。</w:t>
      </w:r>
      <w:r/>
    </w:p>
    <w:p>
      <w:pPr>
        <w:spacing w:line="360" w:lineRule="auto"/>
        <w:rPr>
          <w:rFonts w:ascii="宋体" w:hAnsi="宋体" w:cs="宋体"/>
          <w:color w:val="auto"/>
          <w:sz w:val="24"/>
          <w:highlight w:val="none"/>
        </w:rPr>
        <w:outlineLvl w:val="2"/>
      </w:pPr>
      <w:r>
        <w:rPr>
          <w:color w:val="auto"/>
          <w:sz w:val="24"/>
          <w:szCs w:val="20"/>
          <w:highlight w:val="none"/>
        </w:rPr>
        <w:t xml:space="preserve">3-2其他特定资格要求</w:t>
      </w:r>
      <w:r>
        <w:rPr>
          <w:rFonts w:hint="eastAsia"/>
          <w:color w:val="auto"/>
          <w:sz w:val="24"/>
          <w:szCs w:val="20"/>
          <w:highlight w:val="none"/>
        </w:rPr>
        <w:t xml:space="preserve">：无。</w:t>
      </w:r>
      <w:r/>
    </w:p>
    <w:p>
      <w:pPr>
        <w:spacing w:line="360" w:lineRule="auto"/>
        <w:rPr>
          <w:b/>
          <w:color w:val="auto"/>
          <w:sz w:val="24"/>
          <w:szCs w:val="20"/>
          <w:highlight w:val="none"/>
        </w:rPr>
        <w:outlineLvl w:val="2"/>
      </w:pPr>
      <w:r>
        <w:rPr>
          <w:b/>
          <w:color w:val="auto"/>
          <w:sz w:val="24"/>
          <w:highlight w:val="none"/>
        </w:rPr>
        <w:br w:type="page" w:clear="all"/>
      </w:r>
      <w:bookmarkStart w:id="683" w:name="_Toc265228395"/>
      <w:r/>
      <w:bookmarkStart w:id="684" w:name="_Toc226309801"/>
      <w:r/>
      <w:bookmarkStart w:id="685" w:name="_Toc150774762"/>
      <w:r/>
      <w:bookmarkStart w:id="686" w:name="_Toc305158825"/>
      <w:r/>
      <w:bookmarkStart w:id="687" w:name="_Toc305158899"/>
      <w:r/>
      <w:bookmarkStart w:id="688" w:name="_Toc264969247"/>
      <w:r/>
      <w:bookmarkStart w:id="689" w:name="_Toc127151557"/>
      <w:r/>
      <w:bookmarkStart w:id="690" w:name="_Toc195842922"/>
      <w:r/>
      <w:bookmarkStart w:id="691" w:name="_Toc520356218"/>
      <w:r/>
      <w:bookmarkStart w:id="692" w:name="_Ref467988705"/>
      <w:r/>
      <w:bookmarkStart w:id="693" w:name="_Toc150480795"/>
      <w:r/>
      <w:bookmarkStart w:id="694" w:name="_Toc480942350"/>
      <w:r/>
      <w:bookmarkStart w:id="695" w:name="_Toc226337253"/>
      <w:r/>
      <w:bookmarkStart w:id="696" w:name="_Toc226965747"/>
      <w:r/>
      <w:bookmarkStart w:id="697" w:name="_Toc142311059"/>
      <w:r/>
      <w:bookmarkStart w:id="698" w:name="_Toc226965830"/>
      <w:r>
        <w:rPr>
          <w:rFonts w:hint="eastAsia"/>
          <w:b/>
          <w:color w:val="auto"/>
          <w:sz w:val="24"/>
          <w:highlight w:val="none"/>
        </w:rPr>
        <w:t xml:space="preserve">4</w:t>
      </w:r>
      <w:r>
        <w:rPr>
          <w:b/>
          <w:color w:val="auto"/>
          <w:sz w:val="24"/>
          <w:szCs w:val="20"/>
          <w:highlight w:val="none"/>
        </w:rPr>
        <w:t xml:space="preserve">  </w:t>
      </w:r>
      <w:r>
        <w:rPr>
          <w:b/>
          <w:color w:val="auto"/>
          <w:sz w:val="24"/>
          <w:highlight w:val="none"/>
        </w:rPr>
        <w:t xml:space="preserve">响应</w:t>
      </w:r>
      <w:r>
        <w:rPr>
          <w:rFonts w:hint="eastAsia"/>
          <w:b/>
          <w:color w:val="auto"/>
          <w:sz w:val="24"/>
          <w:highlight w:val="none"/>
        </w:rPr>
        <w:t xml:space="preserve">函</w:t>
      </w:r>
      <w:r>
        <w:rPr>
          <w:b/>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u w:val="single"/>
        </w:rPr>
      </w:pPr>
      <w:r>
        <w:rPr>
          <w:color w:val="auto"/>
          <w:sz w:val="24"/>
          <w:highlight w:val="none"/>
        </w:rPr>
        <w:t xml:space="preserve">致：</w:t>
      </w:r>
      <w:r>
        <w:rPr>
          <w:rFonts w:hint="eastAsia"/>
          <w:color w:val="auto"/>
          <w:sz w:val="24"/>
          <w:highlight w:val="none"/>
          <w:u w:val="single"/>
        </w:rPr>
        <w:t xml:space="preserve">常州中采招投标有限公司</w:t>
      </w:r>
      <w:r/>
    </w:p>
    <w:p>
      <w:pPr>
        <w:ind w:firstLine="960"/>
        <w:spacing w:line="360" w:lineRule="auto"/>
        <w:tabs>
          <w:tab w:val="left" w:pos="5580" w:leader="none"/>
        </w:tabs>
        <w:rPr>
          <w:color w:val="auto"/>
          <w:sz w:val="24"/>
          <w:highlight w:val="none"/>
        </w:rPr>
      </w:pPr>
      <w:r>
        <w:rPr>
          <w:rFonts w:hint="eastAsia"/>
          <w:color w:val="auto"/>
          <w:sz w:val="24"/>
          <w:highlight w:val="none"/>
        </w:rPr>
        <w:t xml:space="preserve">（采购人名称）</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699" w:name="_Hlt520355938"/>
      <w:r/>
      <w:bookmarkEnd w:id="699"/>
      <w:r/>
      <w:bookmarkStart w:id="700" w:name="_Hlt520356243"/>
      <w:r/>
      <w:bookmarkEnd w:id="700"/>
      <w:r>
        <w:rPr>
          <w:color w:val="auto"/>
          <w:sz w:val="24"/>
          <w:highlight w:val="none"/>
        </w:rPr>
        <w:br w:type="page" w:clear="all"/>
      </w:r>
      <w:r/>
    </w:p>
    <w:p>
      <w:pPr>
        <w:spacing w:line="360" w:lineRule="auto"/>
        <w:rPr>
          <w:color w:val="auto"/>
          <w:sz w:val="24"/>
          <w:highlight w:val="none"/>
        </w:rPr>
        <w:outlineLvl w:val="2"/>
      </w:pPr>
      <w:r>
        <w:rPr>
          <w:rFonts w:hint="eastAsia"/>
          <w:b/>
          <w:color w:val="auto"/>
          <w:sz w:val="24"/>
          <w:highlight w:val="none"/>
        </w:rPr>
        <w:t xml:space="preserve">5</w:t>
      </w:r>
      <w:r>
        <w:rPr>
          <w:b/>
          <w:color w:val="auto"/>
          <w:sz w:val="24"/>
          <w:highlight w:val="none"/>
        </w:rPr>
        <w:t xml:space="preserve">  </w:t>
      </w:r>
      <w:r>
        <w:rPr>
          <w:rFonts w:hint="eastAsia"/>
          <w:b/>
          <w:color w:val="auto"/>
          <w:sz w:val="24"/>
          <w:highlight w:val="none"/>
        </w:rPr>
        <w:t xml:space="preserve">法人授权书</w:t>
      </w:r>
      <w:r>
        <w:rPr>
          <w:b/>
          <w:color w:val="auto"/>
          <w:sz w:val="24"/>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法人授权书</w:t>
      </w:r>
      <w:r/>
    </w:p>
    <w:p>
      <w:pPr>
        <w:pStyle w:val="1047"/>
        <w:rPr>
          <w:color w:val="auto"/>
          <w:highlight w:val="none"/>
        </w:rPr>
      </w:pPr>
      <w:r>
        <w:rPr>
          <w:color w:val="auto"/>
          <w:highlight w:val="none"/>
        </w:rPr>
      </w:r>
      <w:r/>
    </w:p>
    <w:p>
      <w:pPr>
        <w:pStyle w:val="1168"/>
        <w:ind w:firstLine="480"/>
        <w:spacing w:line="360" w:lineRule="auto"/>
        <w:rPr>
          <w:color w:val="auto"/>
          <w:highlight w:val="none"/>
        </w:rPr>
      </w:pPr>
      <w:r>
        <w:rPr>
          <w:rFonts w:hint="eastAsia"/>
          <w:color w:val="auto"/>
          <w:highlight w:val="none"/>
        </w:rPr>
        <w:t xml:space="preserve">本授权书声明：____________（投标人名称）授权________________（被授权人的姓名）为我方就JSZC-</w:t>
      </w:r>
      <w:r>
        <w:rPr>
          <w:rFonts w:hint="eastAsia"/>
          <w:color w:val="auto"/>
          <w:highlight w:val="none"/>
          <w:u w:val="single"/>
        </w:rPr>
        <w:t xml:space="preserve">        </w:t>
      </w:r>
      <w:r>
        <w:rPr>
          <w:rFonts w:hint="eastAsia"/>
          <w:color w:val="auto"/>
          <w:highlight w:val="none"/>
        </w:rPr>
        <w:t xml:space="preserve">号项目采购活动的合法代理人，以本单位名义全权处理一切与该项目采购有关的事务。</w:t>
      </w:r>
      <w:r/>
    </w:p>
    <w:p>
      <w:pPr>
        <w:pStyle w:val="1168"/>
        <w:ind w:firstLine="480"/>
        <w:spacing w:line="360" w:lineRule="auto"/>
        <w:rPr>
          <w:color w:val="auto"/>
          <w:highlight w:val="none"/>
        </w:rPr>
      </w:pPr>
      <w:r>
        <w:rPr>
          <w:rFonts w:hint="eastAsia"/>
          <w:color w:val="auto"/>
          <w:highlight w:val="none"/>
        </w:rPr>
        <w:t xml:space="preserve">本授权书于______年____月____日起生效，特此声明。</w:t>
      </w:r>
      <w:r/>
    </w:p>
    <w:p>
      <w:pPr>
        <w:pStyle w:val="1168"/>
        <w:spacing w:line="360" w:lineRule="auto"/>
        <w:rPr>
          <w:color w:val="auto"/>
          <w:highlight w:val="none"/>
          <w:u w:val="single"/>
        </w:rPr>
      </w:pPr>
      <w:r>
        <w:rPr>
          <w:rFonts w:hint="eastAsia"/>
          <w:color w:val="auto"/>
          <w:highlight w:val="none"/>
        </w:rPr>
        <w:t xml:space="preserve">          被授权人身份证号码：</w:t>
      </w:r>
      <w:r>
        <w:rPr>
          <w:rFonts w:hint="eastAsia"/>
          <w:color w:val="auto"/>
          <w:highlight w:val="none"/>
          <w:u w:val="single"/>
        </w:rPr>
        <w:t xml:space="preserve">                              </w:t>
      </w:r>
      <w:r/>
    </w:p>
    <w:p>
      <w:pPr>
        <w:pStyle w:val="1168"/>
        <w:spacing w:line="360" w:lineRule="auto"/>
        <w:rPr>
          <w:color w:val="auto"/>
          <w:highlight w:val="none"/>
          <w:u w:val="single"/>
        </w:rPr>
      </w:pPr>
      <w:r>
        <w:rPr>
          <w:rFonts w:hint="eastAsia"/>
          <w:color w:val="auto"/>
          <w:highlight w:val="none"/>
        </w:rPr>
        <w:t xml:space="preserve">          被授权人联系电话：（手机）</w:t>
      </w:r>
      <w:r>
        <w:rPr>
          <w:rFonts w:hint="eastAsia"/>
          <w:color w:val="auto"/>
          <w:highlight w:val="none"/>
          <w:u w:val="single"/>
        </w:rPr>
        <w:t xml:space="preserve">                          </w:t>
      </w:r>
      <w:r/>
    </w:p>
    <w:p>
      <w:pPr>
        <w:pStyle w:val="1168"/>
        <w:ind w:firstLine="1200"/>
        <w:spacing w:line="360" w:lineRule="auto"/>
        <w:rPr>
          <w:color w:val="auto"/>
          <w:highlight w:val="none"/>
        </w:rPr>
      </w:pPr>
      <w:r>
        <w:rPr>
          <w:color w:val="auto"/>
          <w:highlight w:val="none"/>
        </w:rPr>
      </w:r>
      <w:r/>
    </w:p>
    <w:p>
      <w:pPr>
        <w:pStyle w:val="1168"/>
        <w:ind w:firstLine="1200"/>
        <w:spacing w:line="360" w:lineRule="auto"/>
        <w:rPr>
          <w:color w:val="auto"/>
          <w:highlight w:val="none"/>
        </w:rPr>
      </w:pPr>
      <w:r>
        <w:rPr>
          <w:color w:val="auto"/>
          <w:highlight w:val="none"/>
        </w:rPr>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代理人身份证：</w:t>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（双面复印件）粘贴处</w:t>
      </w:r>
      <w:r/>
    </w:p>
    <w:p>
      <w:pPr>
        <w:pStyle w:val="1168"/>
        <w:ind w:firstLine="1200"/>
        <w:spacing w:line="360" w:lineRule="auto"/>
        <w:rPr>
          <w:color w:val="auto"/>
          <w:highlight w:val="none"/>
        </w:rPr>
      </w:pPr>
      <w:r>
        <w:rPr>
          <w:color w:val="auto"/>
          <w:highlight w:val="none"/>
        </w:rPr>
      </w:r>
      <w:r/>
    </w:p>
    <w:p>
      <w:pPr>
        <w:pStyle w:val="1168"/>
        <w:ind w:firstLine="1200"/>
        <w:spacing w:line="360" w:lineRule="auto"/>
        <w:rPr>
          <w:color w:val="auto"/>
          <w:highlight w:val="none"/>
        </w:rPr>
      </w:pPr>
      <w:r>
        <w:rPr>
          <w:color w:val="auto"/>
          <w:highlight w:val="none"/>
        </w:rPr>
      </w:r>
      <w:r/>
    </w:p>
    <w:p>
      <w:pPr>
        <w:pStyle w:val="1168"/>
        <w:ind w:firstLine="1200"/>
        <w:spacing w:line="360" w:lineRule="auto"/>
        <w:rPr>
          <w:color w:val="auto"/>
          <w:highlight w:val="none"/>
        </w:rPr>
      </w:pPr>
      <w:r>
        <w:rPr>
          <w:color w:val="auto"/>
          <w:highlight w:val="none"/>
        </w:rPr>
      </w:r>
      <w:r/>
    </w:p>
    <w:p>
      <w:pPr>
        <w:pStyle w:val="1168"/>
        <w:ind w:firstLine="1200"/>
        <w:spacing w:line="360" w:lineRule="auto"/>
        <w:rPr>
          <w:color w:val="auto"/>
          <w:highlight w:val="none"/>
        </w:rPr>
      </w:pPr>
      <w:r>
        <w:rPr>
          <w:color w:val="auto"/>
          <w:highlight w:val="none"/>
        </w:rPr>
      </w:r>
      <w:r/>
    </w:p>
    <w:p>
      <w:pPr>
        <w:pStyle w:val="1168"/>
        <w:ind w:firstLine="1200"/>
        <w:spacing w:line="360" w:lineRule="auto"/>
        <w:rPr>
          <w:color w:val="auto"/>
          <w:highlight w:val="none"/>
        </w:rPr>
      </w:pPr>
      <w:r>
        <w:rPr>
          <w:color w:val="auto"/>
          <w:highlight w:val="none"/>
        </w:rPr>
      </w:r>
      <w:r/>
    </w:p>
    <w:p>
      <w:pPr>
        <w:pStyle w:val="1168"/>
        <w:ind w:firstLine="1200"/>
        <w:spacing w:line="360" w:lineRule="auto"/>
        <w:rPr>
          <w:color w:val="auto"/>
          <w:highlight w:val="none"/>
        </w:rPr>
      </w:pPr>
      <w:r>
        <w:rPr>
          <w:color w:val="auto"/>
          <w:highlight w:val="none"/>
        </w:rPr>
      </w:r>
      <w:r/>
    </w:p>
    <w:p>
      <w:pPr>
        <w:pStyle w:val="1168"/>
        <w:ind w:firstLine="1200"/>
        <w:spacing w:line="360" w:lineRule="auto"/>
        <w:rPr>
          <w:color w:val="auto"/>
          <w:highlight w:val="none"/>
        </w:rPr>
      </w:pPr>
      <w:r>
        <w:rPr>
          <w:color w:val="auto"/>
          <w:highlight w:val="none"/>
        </w:rPr>
      </w:r>
      <w:r/>
    </w:p>
    <w:p>
      <w:pPr>
        <w:pStyle w:val="1168"/>
        <w:ind w:firstLine="1200"/>
        <w:spacing w:line="360" w:lineRule="auto"/>
        <w:rPr>
          <w:color w:val="auto"/>
          <w:highlight w:val="none"/>
        </w:rPr>
      </w:pPr>
      <w:r>
        <w:rPr>
          <w:color w:val="auto"/>
          <w:highlight w:val="none"/>
        </w:rPr>
      </w:r>
      <w:r/>
    </w:p>
    <w:p>
      <w:pPr>
        <w:pStyle w:val="1168"/>
        <w:ind w:firstLine="1200"/>
        <w:spacing w:line="360" w:lineRule="auto"/>
        <w:rPr>
          <w:color w:val="auto"/>
          <w:highlight w:val="none"/>
        </w:rPr>
      </w:pPr>
      <w:r>
        <w:rPr>
          <w:rFonts w:hint="eastAsia"/>
          <w:color w:val="auto"/>
          <w:highlight w:val="none"/>
        </w:rPr>
        <w:t xml:space="preserve">授权单位名称：</w:t>
      </w:r>
      <w:r>
        <w:rPr>
          <w:rFonts w:hint="eastAsia"/>
          <w:color w:val="auto"/>
          <w:highlight w:val="none"/>
          <w:u w:val="single"/>
        </w:rPr>
        <w:t xml:space="preserve">（加盖CA电子公章）</w:t>
      </w:r>
      <w:r/>
    </w:p>
    <w:p>
      <w:pPr>
        <w:pStyle w:val="1168"/>
        <w:ind w:firstLine="480"/>
        <w:spacing w:line="360" w:lineRule="auto"/>
        <w:rPr>
          <w:color w:val="auto"/>
          <w:highlight w:val="none"/>
          <w:u w:val="single"/>
        </w:rPr>
      </w:pPr>
      <w:r>
        <w:rPr>
          <w:rFonts w:hint="eastAsia"/>
          <w:color w:val="auto"/>
          <w:highlight w:val="none"/>
        </w:rPr>
        <w:t xml:space="preserve">      单位地址：</w:t>
      </w:r>
      <w:r>
        <w:rPr>
          <w:rFonts w:hint="eastAsia"/>
          <w:color w:val="auto"/>
          <w:highlight w:val="none"/>
          <w:u w:val="single"/>
        </w:rPr>
        <w:t xml:space="preserve">                                         </w:t>
      </w:r>
      <w:r/>
    </w:p>
    <w:p>
      <w:pPr>
        <w:pStyle w:val="1168"/>
        <w:ind w:firstLine="480"/>
        <w:spacing w:line="360" w:lineRule="auto"/>
        <w:rPr>
          <w:color w:val="auto"/>
          <w:highlight w:val="none"/>
        </w:rPr>
      </w:pPr>
      <w:r>
        <w:rPr>
          <w:rFonts w:hint="eastAsia"/>
          <w:color w:val="auto"/>
          <w:highlight w:val="none"/>
        </w:rPr>
        <w:t xml:space="preserve">      日期：</w:t>
      </w:r>
      <w:bookmarkStart w:id="701" w:name="_Hlt26671380"/>
      <w:r/>
      <w:bookmarkEnd w:id="701"/>
      <w:r/>
      <w:bookmarkStart w:id="702" w:name="_格式3__银行出具的资信证明"/>
      <w:r/>
      <w:bookmarkEnd w:id="702"/>
      <w:r/>
      <w:bookmarkStart w:id="703" w:name="_Hlt26955070"/>
      <w:r/>
      <w:bookmarkEnd w:id="703"/>
      <w:r>
        <w:rPr>
          <w:rFonts w:hint="eastAsia"/>
          <w:color w:val="auto"/>
          <w:highlight w:val="none"/>
          <w:u w:val="single"/>
        </w:rPr>
        <w:t xml:space="preserve">                                         </w:t>
      </w:r>
      <w:r/>
    </w:p>
    <w:p>
      <w:pPr>
        <w:spacing w:line="560" w:lineRule="exact"/>
        <w:rPr>
          <w:rFonts w:ascii="宋体" w:hAnsi="宋体"/>
          <w:b/>
          <w:color w:val="auto"/>
          <w:sz w:val="24"/>
          <w:szCs w:val="22"/>
          <w:highlight w:val="none"/>
        </w:rPr>
      </w:pPr>
      <w:r>
        <w:rPr>
          <w:rFonts w:ascii="宋体" w:hAnsi="宋体"/>
          <w:b/>
          <w:color w:val="auto"/>
          <w:sz w:val="24"/>
          <w:szCs w:val="22"/>
          <w:highlight w:val="none"/>
        </w:rPr>
      </w:r>
      <w:r/>
    </w:p>
    <w:p>
      <w:pPr>
        <w:jc w:val="left"/>
        <w:widowControl/>
        <w:rPr>
          <w:rFonts w:ascii="黑体" w:hAnsi="黑体" w:eastAsia="黑体"/>
          <w:bCs/>
          <w:color w:val="auto"/>
          <w:sz w:val="28"/>
          <w:szCs w:val="28"/>
          <w:highlight w:val="none"/>
        </w:rPr>
      </w:pPr>
      <w:r>
        <w:rPr>
          <w:rFonts w:ascii="黑体" w:hAnsi="黑体" w:eastAsia="黑体"/>
          <w:bCs/>
          <w:color w:val="auto"/>
          <w:sz w:val="28"/>
          <w:szCs w:val="28"/>
          <w:highlight w:val="none"/>
        </w:rPr>
        <w:br w:type="page" w:clear="all"/>
      </w:r>
      <w:r/>
    </w:p>
    <w:p>
      <w:pPr>
        <w:spacing w:line="360" w:lineRule="auto"/>
        <w:rPr>
          <w:b/>
          <w:color w:val="auto"/>
          <w:sz w:val="24"/>
          <w:highlight w:val="none"/>
        </w:rPr>
        <w:outlineLvl w:val="2"/>
      </w:pPr>
      <w:r>
        <w:rPr>
          <w:rFonts w:hint="eastAsia"/>
          <w:b/>
          <w:color w:val="auto"/>
          <w:sz w:val="24"/>
          <w:highlight w:val="none"/>
        </w:rPr>
        <w:t xml:space="preserve">6  政府采购供应商信用承诺书</w:t>
      </w:r>
      <w:r>
        <w:rPr>
          <w:b/>
          <w:color w:val="auto"/>
          <w:sz w:val="24"/>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0"/>
        <w:jc w:val="center"/>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280"/>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highlight w:val="none"/>
        </w:rPr>
        <w:outlineLvl w:val="2"/>
      </w:pPr>
      <w:r>
        <w:rPr>
          <w:color w:val="auto"/>
          <w:sz w:val="24"/>
          <w:szCs w:val="20"/>
          <w:highlight w:val="none"/>
        </w:rPr>
        <w:br w:type="page" w:clear="all"/>
      </w:r>
      <w:r>
        <w:rPr>
          <w:rFonts w:hint="eastAsia"/>
          <w:color w:val="auto"/>
          <w:sz w:val="24"/>
          <w:highlight w:val="none"/>
        </w:rPr>
        <w:t xml:space="preserve">7</w:t>
      </w:r>
      <w:r>
        <w:rPr>
          <w:color w:val="auto"/>
          <w:sz w:val="24"/>
          <w:highlight w:val="none"/>
        </w:rPr>
        <w:t xml:space="preserve">  报价</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color w:val="auto"/>
          <w:sz w:val="24"/>
          <w:highlight w:val="none"/>
        </w:rPr>
        <w:t xml:space="preserve">一览表</w:t>
      </w:r>
      <w:r/>
    </w:p>
    <w:p>
      <w:pPr>
        <w:ind w:firstLine="240"/>
        <w:jc w:val="left"/>
        <w:spacing w:line="360" w:lineRule="auto"/>
        <w:tabs>
          <w:tab w:val="left" w:pos="1800" w:leader="none"/>
          <w:tab w:val="left" w:pos="5580" w:leader="none"/>
        </w:tabs>
        <w:rPr>
          <w:rFonts w:ascii="宋体" w:hAnsi="宋体" w:cs="宋体"/>
          <w:color w:val="auto"/>
          <w:sz w:val="24"/>
          <w:highlight w:val="none"/>
        </w:rPr>
      </w:pPr>
      <w:r/>
      <w:bookmarkStart w:id="704" w:name="_Toc127151558"/>
      <w:r/>
      <w:bookmarkStart w:id="705" w:name="_Toc264969249"/>
      <w:r/>
      <w:bookmarkStart w:id="706" w:name="_Toc226337255"/>
      <w:r/>
      <w:bookmarkStart w:id="707" w:name="_Toc226965749"/>
      <w:r/>
      <w:bookmarkStart w:id="708" w:name="_Toc226309803"/>
      <w:r/>
      <w:bookmarkStart w:id="709" w:name="_Toc265228397"/>
      <w:r/>
      <w:bookmarkStart w:id="710" w:name="_Toc305158827"/>
      <w:r/>
      <w:bookmarkStart w:id="711" w:name="_Toc150480796"/>
      <w:r/>
      <w:bookmarkStart w:id="712" w:name="_Toc142311060"/>
      <w:r/>
      <w:bookmarkStart w:id="713" w:name="_Toc150774763"/>
      <w:r/>
      <w:bookmarkStart w:id="714" w:name="_Toc305158901"/>
      <w:r/>
      <w:bookmarkStart w:id="715" w:name="_Toc226965832"/>
      <w:r/>
      <w:bookmarkStart w:id="716" w:name="_Toc195842924"/>
      <w:r/>
      <w:r/>
    </w:p>
    <w:p>
      <w:pPr>
        <w:jc w:val="center"/>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b/>
          <w:color w:val="auto"/>
          <w:sz w:val="36"/>
          <w:szCs w:val="36"/>
          <w:highlight w:val="none"/>
        </w:rPr>
        <w:t xml:space="preserve">报价一览表</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投标人全称（加盖CA电子签章）：</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color w:val="auto"/>
          <w:highlight w:val="none"/>
          <w:u w:val="single"/>
        </w:rPr>
      </w:pPr>
      <w:r>
        <w:rPr>
          <w:rFonts w:hint="eastAsia" w:ascii="宋体" w:hAnsi="宋体" w:cs="宋体"/>
          <w:color w:val="auto"/>
          <w:sz w:val="24"/>
          <w:highlight w:val="none"/>
        </w:rPr>
        <w:t xml:space="preserve">项目名称：</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cs="宋体"/>
          <w:color w:val="auto"/>
          <w:sz w:val="24"/>
          <w:highlight w:val="none"/>
        </w:rPr>
        <w:t xml:space="preserve">项目编号：</w:t>
      </w:r>
      <w:r>
        <w:rPr>
          <w:rFonts w:hint="eastAsia"/>
          <w:color w:val="auto"/>
          <w:sz w:val="24"/>
          <w:highlight w:val="none"/>
          <w:u w:val="single"/>
        </w:rPr>
        <w:t xml:space="preserve">                                      </w:t>
      </w:r>
      <w:r>
        <w:rPr>
          <w:rFonts w:hint="eastAsia"/>
          <w:color w:val="auto"/>
          <w:sz w:val="24"/>
          <w:highlight w:val="none"/>
        </w:rPr>
        <w:t xml:space="preserve">   </w:t>
      </w:r>
      <w:r/>
    </w:p>
    <w:tbl>
      <w:tblPr>
        <w:tblStyle w:val="10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jc w:val="center"/>
          <w:trHeight w:val="738"/>
        </w:trPr>
        <w:tc>
          <w:tcPr>
            <w:shd w:val="clear" w:color="auto" w:fill="auto"/>
            <w:tcW w:w="811" w:type="dxa"/>
            <w:textDirection w:val="lrTb"/>
            <w:noWrap w:val="false"/>
          </w:tcPr>
          <w:p>
            <w:pPr>
              <w:pStyle w:val="1047"/>
              <w:rPr>
                <w:color w:val="auto"/>
                <w:highlight w:val="none"/>
              </w:rPr>
            </w:pPr>
            <w:r>
              <w:rPr>
                <w:color w:val="auto"/>
                <w:highlight w:val="none"/>
              </w:rPr>
            </w:r>
            <w:r/>
          </w:p>
        </w:tc>
        <w:tc>
          <w:tcPr>
            <w:shd w:val="clear" w:color="auto" w:fill="auto"/>
            <w:tcW w:w="7661" w:type="dxa"/>
            <w:vAlign w:val="center"/>
            <w:textDirection w:val="lrTb"/>
            <w:noWrap w:val="false"/>
          </w:tcPr>
          <w:p>
            <w:pPr>
              <w:pStyle w:val="1047"/>
              <w:rPr>
                <w:color w:val="auto"/>
                <w:highlight w:val="none"/>
              </w:rPr>
            </w:pPr>
            <w:r>
              <w:rPr>
                <w:rFonts w:hint="eastAsia"/>
                <w:color w:val="auto"/>
                <w:highlight w:val="none"/>
              </w:rPr>
              <w:t xml:space="preserve">投标总价</w:t>
            </w:r>
            <w:r/>
          </w:p>
        </w:tc>
      </w:tr>
      <w:tr>
        <w:trPr>
          <w:jc w:val="center"/>
          <w:trHeight w:val="1014"/>
        </w:trPr>
        <w:tc>
          <w:tcPr>
            <w:shd w:val="clear" w:color="auto" w:fill="auto"/>
            <w:tcW w:w="811" w:type="dxa"/>
            <w:textDirection w:val="lrTb"/>
            <w:noWrap w:val="false"/>
          </w:tcPr>
          <w:p>
            <w:pPr>
              <w:pStyle w:val="1047"/>
              <w:rPr>
                <w:color w:val="auto"/>
                <w:highlight w:val="none"/>
              </w:rPr>
            </w:pPr>
            <w:r>
              <w:rPr>
                <w:color w:val="auto"/>
                <w:highlight w:val="none"/>
              </w:rPr>
            </w:r>
            <w:r/>
          </w:p>
        </w:tc>
        <w:tc>
          <w:tcPr>
            <w:shd w:val="clear" w:color="auto" w:fill="auto"/>
            <w:tcW w:w="7661" w:type="dxa"/>
            <w:vAlign w:val="center"/>
            <w:textDirection w:val="lrTb"/>
            <w:noWrap w:val="false"/>
          </w:tcPr>
          <w:p>
            <w:pPr>
              <w:pStyle w:val="1047"/>
              <w:rPr>
                <w:color w:val="auto"/>
                <w:highlight w:val="none"/>
              </w:rPr>
            </w:pP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（元人民币）</w:t>
            </w:r>
            <w:r/>
          </w:p>
        </w:tc>
      </w:tr>
    </w:tbl>
    <w:p>
      <w:pPr>
        <w:pStyle w:val="1047"/>
        <w:rPr>
          <w:color w:val="auto"/>
          <w:highlight w:val="none"/>
        </w:rPr>
      </w:pPr>
      <w:r>
        <w:rPr>
          <w:color w:val="auto"/>
          <w:highlight w:val="none"/>
        </w:rPr>
      </w:r>
      <w:r/>
    </w:p>
    <w:p>
      <w:pPr>
        <w:ind w:left="4200" w:hanging="4200"/>
        <w:rPr>
          <w:color w:val="auto"/>
          <w:sz w:val="30"/>
          <w:szCs w:val="30"/>
          <w:highlight w:val="none"/>
        </w:rPr>
      </w:pPr>
      <w:r>
        <w:rPr>
          <w:rFonts w:hint="eastAsia"/>
          <w:color w:val="auto"/>
          <w:highlight w:val="none"/>
        </w:rPr>
        <w:t xml:space="preserve">                                                          </w:t>
      </w:r>
      <w:r>
        <w:rPr>
          <w:rFonts w:hint="eastAsia"/>
          <w:color w:val="auto"/>
          <w:sz w:val="30"/>
          <w:szCs w:val="30"/>
          <w:highlight w:val="none"/>
        </w:rPr>
        <w:t xml:space="preserve">年   月   日</w:t>
      </w:r>
      <w:r/>
    </w:p>
    <w:p>
      <w:pPr>
        <w:pStyle w:val="1047"/>
        <w:ind w:firstLine="480"/>
        <w:rPr>
          <w:color w:val="auto"/>
          <w:highlight w:val="none"/>
        </w:rPr>
      </w:pPr>
      <w:r>
        <w:rPr>
          <w:rFonts w:hint="eastAsia" w:cs="宋体"/>
          <w:color w:val="auto"/>
          <w:highlight w:val="none"/>
          <w:lang w:val="zh-CN"/>
        </w:rPr>
        <w:t xml:space="preserve">注：投标总价须与《分项报价表》中总价一致。</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
    </w:p>
    <w:p>
      <w:pPr>
        <w:spacing w:line="360" w:lineRule="auto"/>
        <w:rPr>
          <w:color w:val="auto"/>
          <w:highlight w:val="none"/>
        </w:rPr>
      </w:pPr>
      <w:r/>
      <w:bookmarkStart w:id="717" w:name="_Toc226965835"/>
      <w:r/>
      <w:bookmarkStart w:id="718" w:name="_Toc150480797"/>
      <w:r/>
      <w:bookmarkStart w:id="719" w:name="_Toc127151562"/>
      <w:r/>
      <w:bookmarkStart w:id="720" w:name="_Toc265228399"/>
      <w:r/>
      <w:bookmarkStart w:id="721" w:name="_Toc305158904"/>
      <w:r/>
      <w:bookmarkStart w:id="722" w:name="_Toc305158829"/>
      <w:r/>
      <w:bookmarkStart w:id="723" w:name="_Toc226337257"/>
      <w:r/>
      <w:bookmarkStart w:id="724" w:name="_Toc264969251"/>
      <w:r/>
      <w:bookmarkStart w:id="725" w:name="_Toc127151561"/>
      <w:r/>
      <w:bookmarkStart w:id="726" w:name="_Toc305158830"/>
      <w:r/>
      <w:bookmarkStart w:id="727" w:name="_Toc142311061"/>
      <w:r/>
      <w:bookmarkStart w:id="728" w:name="_Toc150480798"/>
      <w:r/>
      <w:bookmarkStart w:id="729" w:name="_Toc150774765"/>
      <w:r/>
      <w:bookmarkStart w:id="730" w:name="_Toc226309806"/>
      <w:r/>
      <w:bookmarkStart w:id="731" w:name="_Toc264969252"/>
      <w:r/>
      <w:bookmarkStart w:id="732" w:name="_Toc305158903"/>
      <w:r/>
      <w:bookmarkStart w:id="733" w:name="_Toc226965834"/>
      <w:r/>
      <w:bookmarkStart w:id="734" w:name="_Toc226337258"/>
      <w:r/>
      <w:bookmarkStart w:id="735" w:name="_Toc150774764"/>
      <w:r/>
      <w:bookmarkStart w:id="736" w:name="_Toc226309805"/>
      <w:r/>
      <w:bookmarkStart w:id="737" w:name="_Toc195842927"/>
      <w:r/>
      <w:bookmarkStart w:id="738" w:name="_Toc195842926"/>
      <w:r/>
      <w:bookmarkStart w:id="739" w:name="_Toc265228400"/>
      <w:r/>
      <w:bookmarkStart w:id="740" w:name="_Toc226965752"/>
      <w:r/>
      <w:bookmarkStart w:id="741" w:name="_Toc142311062"/>
      <w:r/>
      <w:bookmarkStart w:id="742" w:name="_Toc226965751"/>
      <w:r>
        <w:rPr>
          <w:color w:val="auto"/>
          <w:sz w:val="24"/>
          <w:szCs w:val="20"/>
          <w:highlight w:val="none"/>
        </w:rPr>
        <w:br w:type="page" w:clear="all"/>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
    </w:p>
    <w:p>
      <w:pPr>
        <w:spacing w:line="360" w:lineRule="auto"/>
        <w:rPr>
          <w:rFonts w:ascii="宋体" w:hAnsi="宋体"/>
          <w:color w:val="auto"/>
          <w:sz w:val="24"/>
          <w:highlight w:val="none"/>
        </w:rPr>
        <w:outlineLvl w:val="2"/>
      </w:pPr>
      <w:r>
        <w:rPr>
          <w:rFonts w:hint="eastAsia"/>
          <w:color w:val="auto"/>
          <w:sz w:val="24"/>
          <w:highlight w:val="none"/>
        </w:rPr>
        <w:t xml:space="preserve">8  </w:t>
      </w:r>
      <w:r>
        <w:rPr>
          <w:rFonts w:hint="eastAsia" w:ascii="宋体" w:hAnsi="宋体"/>
          <w:color w:val="auto"/>
          <w:sz w:val="24"/>
          <w:highlight w:val="none"/>
        </w:rPr>
        <w:t xml:space="preserve">分项报价表</w:t>
      </w:r>
      <w:r>
        <w:rPr>
          <w:b/>
          <w:color w:val="auto"/>
          <w:sz w:val="24"/>
          <w:highlight w:val="none"/>
        </w:rPr>
        <w:t xml:space="preserve">（实质性格式）</w:t>
      </w:r>
      <w:r/>
    </w:p>
    <w:p>
      <w:pPr>
        <w:jc w:val="center"/>
        <w:tabs>
          <w:tab w:val="left" w:pos="1800" w:leader="none"/>
          <w:tab w:val="left" w:pos="5580" w:leader="none"/>
        </w:tabs>
        <w:rPr>
          <w:b/>
          <w:color w:val="auto"/>
          <w:sz w:val="36"/>
          <w:szCs w:val="36"/>
          <w:highlight w:val="none"/>
        </w:rPr>
      </w:pPr>
      <w:r>
        <w:rPr>
          <w:b/>
          <w:color w:val="auto"/>
          <w:sz w:val="36"/>
          <w:szCs w:val="36"/>
          <w:highlight w:val="none"/>
        </w:rPr>
      </w:r>
      <w:r/>
    </w:p>
    <w:p>
      <w:pPr>
        <w:jc w:val="center"/>
        <w:tabs>
          <w:tab w:val="left" w:pos="1800" w:leader="none"/>
          <w:tab w:val="left" w:pos="5580" w:leader="none"/>
        </w:tabs>
        <w:rPr>
          <w:b/>
          <w:color w:val="auto"/>
          <w:sz w:val="36"/>
          <w:szCs w:val="36"/>
          <w:highlight w:val="none"/>
        </w:rPr>
      </w:pPr>
      <w:r>
        <w:rPr>
          <w:b/>
          <w:color w:val="auto"/>
          <w:sz w:val="36"/>
          <w:szCs w:val="36"/>
          <w:highlight w:val="none"/>
        </w:rPr>
        <w:t xml:space="preserve">分项报价表</w:t>
      </w:r>
      <w:r/>
    </w:p>
    <w:p>
      <w:pPr>
        <w:pStyle w:val="1047"/>
        <w:rPr>
          <w:color w:val="auto"/>
          <w:highlight w:val="none"/>
        </w:rPr>
      </w:pPr>
      <w:r>
        <w:rPr>
          <w:color w:val="auto"/>
          <w:highlight w:val="none"/>
        </w:rPr>
      </w:r>
      <w:r/>
    </w:p>
    <w:p>
      <w:pPr>
        <w:ind w:firstLine="480"/>
        <w:tabs>
          <w:tab w:val="left" w:pos="1800" w:leader="none"/>
          <w:tab w:val="left" w:pos="5580" w:leader="none"/>
        </w:tabs>
        <w:rPr>
          <w:color w:val="auto"/>
          <w:sz w:val="24"/>
          <w:highlight w:val="none"/>
        </w:rPr>
      </w:pPr>
      <w:r>
        <w:rPr>
          <w:color w:val="auto"/>
          <w:sz w:val="24"/>
          <w:highlight w:val="none"/>
        </w:rPr>
        <w:t xml:space="preserve">项目编号/包号：___________ 项目名称：__________报价单位：人民币元</w:t>
      </w:r>
      <w:r/>
    </w:p>
    <w:p>
      <w:pPr>
        <w:ind w:firstLine="480"/>
        <w:tabs>
          <w:tab w:val="left" w:pos="1800" w:leader="none"/>
          <w:tab w:val="left" w:pos="5580" w:leader="none"/>
        </w:tabs>
        <w:rPr>
          <w:color w:val="auto"/>
          <w:sz w:val="24"/>
          <w:highlight w:val="none"/>
        </w:rPr>
      </w:pPr>
      <w:r>
        <w:rPr>
          <w:color w:val="auto"/>
          <w:sz w:val="24"/>
          <w:highlight w:val="none"/>
        </w:rPr>
      </w:r>
      <w:r/>
    </w:p>
    <w:tbl>
      <w:tblPr>
        <w:tblStyle w:val="1040"/>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bl>
    <w:p>
      <w:pPr>
        <w:ind w:firstLine="480"/>
        <w:tabs>
          <w:tab w:val="left" w:pos="1800" w:leader="none"/>
          <w:tab w:val="left" w:pos="5580" w:leader="none"/>
        </w:tabs>
        <w:rPr>
          <w:color w:val="auto"/>
          <w:sz w:val="24"/>
          <w:highlight w:val="none"/>
        </w:rPr>
      </w:pPr>
      <w:r>
        <w:rPr>
          <w:color w:val="auto"/>
          <w:sz w:val="24"/>
          <w:highlight w:val="none"/>
        </w:rPr>
      </w:r>
      <w:r/>
    </w:p>
    <w:p>
      <w:pPr>
        <w:tabs>
          <w:tab w:val="left" w:pos="1800" w:leader="none"/>
          <w:tab w:val="left" w:pos="5580" w:leader="none"/>
        </w:tabs>
        <w:rPr>
          <w:color w:val="auto"/>
          <w:sz w:val="24"/>
          <w:highlight w:val="none"/>
        </w:rPr>
      </w:pPr>
      <w:r>
        <w:rPr>
          <w:color w:val="auto"/>
          <w:sz w:val="24"/>
          <w:highlight w:val="none"/>
        </w:rPr>
      </w:r>
      <w:r/>
    </w:p>
    <w:p>
      <w:pPr>
        <w:jc w:val="left"/>
        <w:spacing w:line="360" w:lineRule="auto"/>
        <w:tabs>
          <w:tab w:val="left" w:pos="1800" w:leader="none"/>
          <w:tab w:val="left" w:pos="5580" w:leader="none"/>
        </w:tabs>
        <w:rPr>
          <w:rFonts w:ascii="宋体" w:hAnsi="宋体"/>
          <w:color w:val="auto"/>
          <w:sz w:val="24"/>
          <w:highlight w:val="none"/>
        </w:rPr>
      </w:pPr>
      <w:r>
        <w:rPr>
          <w:color w:val="auto"/>
          <w:sz w:val="24"/>
          <w:highlight w:val="none"/>
        </w:rPr>
        <w:t xml:space="preserve">注：</w:t>
      </w:r>
      <w:r>
        <w:rPr>
          <w:rFonts w:ascii="宋体" w:hAnsi="宋体"/>
          <w:color w:val="auto"/>
          <w:sz w:val="24"/>
          <w:highlight w:val="none"/>
        </w:rPr>
        <w:t xml:space="preserve">1.</w:t>
      </w:r>
      <w:r>
        <w:rPr>
          <w:rFonts w:hint="eastAsia" w:ascii="宋体" w:hAnsi="宋体"/>
          <w:color w:val="auto"/>
          <w:sz w:val="24"/>
          <w:highlight w:val="none"/>
        </w:rPr>
        <w:t xml:space="preserve">投标人报价不得超过最高限价，否则作无效投标处理。</w:t>
      </w:r>
      <w:r/>
    </w:p>
    <w:p>
      <w:pPr>
        <w:pStyle w:val="1072"/>
        <w:ind w:firstLine="482"/>
        <w:rPr>
          <w:rFonts w:ascii="宋体" w:hAnsi="宋体"/>
          <w:color w:val="auto"/>
          <w:sz w:val="24"/>
          <w:highlight w:val="none"/>
        </w:rPr>
      </w:pPr>
      <w:r>
        <w:rPr>
          <w:rFonts w:ascii="宋体" w:hAnsi="宋体"/>
          <w:b/>
          <w:bCs/>
          <w:i/>
          <w:iCs/>
          <w:color w:val="auto"/>
          <w:sz w:val="24"/>
          <w:szCs w:val="24"/>
          <w:highlight w:val="none"/>
          <w:u w:val="single"/>
        </w:rPr>
        <w:t xml:space="preserve">2.</w:t>
      </w:r>
      <w:r>
        <w:rPr>
          <w:rFonts w:hint="eastAsia" w:ascii="宋体" w:hAnsi="宋体"/>
          <w:b/>
          <w:bCs/>
          <w:i/>
          <w:iCs/>
          <w:color w:val="auto"/>
          <w:sz w:val="24"/>
          <w:szCs w:val="24"/>
          <w:highlight w:val="none"/>
          <w:u w:val="single"/>
          <w:lang w:val="en-US" w:eastAsia="zh-CN"/>
        </w:rPr>
        <w:t xml:space="preserve">投标人</w:t>
      </w:r>
      <w:r>
        <w:rPr>
          <w:rFonts w:hint="eastAsia" w:ascii="宋体" w:hAnsi="宋体" w:cs="宋体"/>
          <w:b/>
          <w:bCs/>
          <w:i/>
          <w:iCs/>
          <w:color w:val="auto"/>
          <w:sz w:val="24"/>
          <w:szCs w:val="24"/>
          <w:highlight w:val="none"/>
          <w:u w:val="single"/>
          <w:lang w:val="en-US" w:eastAsia="zh-CN"/>
        </w:rPr>
        <w:t xml:space="preserve">根据项目实际情况，</w:t>
      </w:r>
      <w:r>
        <w:rPr>
          <w:rFonts w:hint="eastAsia" w:ascii="宋体" w:hAnsi="宋体"/>
          <w:b/>
          <w:bCs/>
          <w:i/>
          <w:iCs/>
          <w:color w:val="auto"/>
          <w:sz w:val="24"/>
          <w:szCs w:val="24"/>
          <w:highlight w:val="none"/>
          <w:u w:val="single"/>
          <w:lang w:val="en-US" w:eastAsia="zh-CN"/>
        </w:rPr>
        <w:t xml:space="preserve">应按照采购需求</w:t>
      </w:r>
      <w:r>
        <w:rPr>
          <w:rFonts w:hint="eastAsia" w:ascii="宋体" w:hAnsi="宋体" w:cs="宋体"/>
          <w:b/>
          <w:bCs/>
          <w:i/>
          <w:iCs/>
          <w:color w:val="auto"/>
          <w:sz w:val="24"/>
          <w:szCs w:val="24"/>
          <w:highlight w:val="none"/>
          <w:u w:val="single"/>
        </w:rPr>
        <w:t xml:space="preserve">（二）服务内容及要求</w:t>
      </w:r>
      <w:r>
        <w:rPr>
          <w:rFonts w:hint="eastAsia" w:ascii="宋体" w:hAnsi="宋体" w:cs="宋体"/>
          <w:b/>
          <w:bCs/>
          <w:i/>
          <w:iCs/>
          <w:color w:val="auto"/>
          <w:sz w:val="24"/>
          <w:szCs w:val="24"/>
          <w:highlight w:val="none"/>
          <w:u w:val="single"/>
          <w:lang w:val="en-US" w:eastAsia="zh-CN"/>
        </w:rPr>
        <w:t xml:space="preserve">中1-9项进行明细分项报价，与本项目相关的其他服务报价包含中上述报价中。</w:t>
      </w:r>
      <w:r>
        <w:rPr>
          <w:rFonts w:ascii="宋体" w:hAnsi="宋体"/>
          <w:b/>
          <w:bCs/>
          <w:i/>
          <w:iCs/>
          <w:color w:val="auto"/>
          <w:sz w:val="24"/>
          <w:szCs w:val="24"/>
          <w:highlight w:val="none"/>
          <w:u w:val="single"/>
        </w:rPr>
        <w:t xml:space="preserve">如果不提供分项报价</w:t>
      </w:r>
      <w:r>
        <w:rPr>
          <w:rFonts w:hint="eastAsia" w:ascii="宋体" w:hAnsi="宋体"/>
          <w:b/>
          <w:bCs/>
          <w:i/>
          <w:iCs/>
          <w:color w:val="auto"/>
          <w:sz w:val="24"/>
          <w:szCs w:val="24"/>
          <w:highlight w:val="none"/>
          <w:u w:val="single"/>
          <w:lang w:val="en-US" w:eastAsia="zh-CN"/>
        </w:rPr>
        <w:t xml:space="preserve">或不按分项报价要求进行报价的，</w:t>
      </w:r>
      <w:r>
        <w:rPr>
          <w:rFonts w:ascii="宋体" w:hAnsi="宋体"/>
          <w:b/>
          <w:bCs/>
          <w:i/>
          <w:iCs/>
          <w:color w:val="auto"/>
          <w:sz w:val="24"/>
          <w:szCs w:val="24"/>
          <w:highlight w:val="none"/>
          <w:u w:val="single"/>
        </w:rPr>
        <w:t xml:space="preserve">将视为没有实质性响应采购文件。</w:t>
      </w:r>
      <w:r/>
    </w:p>
    <w:p>
      <w:pPr>
        <w:ind w:firstLine="48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本表行数可以按照项目分项情况增加。</w:t>
      </w:r>
      <w:r/>
    </w:p>
    <w:p>
      <w:pPr>
        <w:ind w:firstLine="480"/>
        <w:jc w:val="left"/>
        <w:spacing w:line="360" w:lineRule="auto"/>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上述各项的</w:t>
      </w:r>
      <w:r>
        <w:rPr>
          <w:rFonts w:hint="eastAsia" w:ascii="宋体" w:hAnsi="宋体"/>
          <w:color w:val="auto"/>
          <w:sz w:val="24"/>
          <w:highlight w:val="none"/>
        </w:rPr>
        <w:t xml:space="preserve">服务内容如表格中填写不下的</w:t>
      </w:r>
      <w:r>
        <w:rPr>
          <w:rFonts w:ascii="宋体" w:hAnsi="宋体"/>
          <w:color w:val="auto"/>
          <w:sz w:val="24"/>
          <w:highlight w:val="none"/>
        </w:rPr>
        <w:t xml:space="preserve">，可</w:t>
      </w:r>
      <w:r>
        <w:rPr>
          <w:rFonts w:hint="eastAsia" w:ascii="宋体" w:hAnsi="宋体"/>
          <w:color w:val="auto"/>
          <w:sz w:val="24"/>
          <w:highlight w:val="none"/>
        </w:rPr>
        <w:t xml:space="preserve">以逐项</w:t>
      </w:r>
      <w:r>
        <w:rPr>
          <w:rFonts w:ascii="宋体" w:hAnsi="宋体"/>
          <w:color w:val="auto"/>
          <w:sz w:val="24"/>
          <w:highlight w:val="none"/>
        </w:rPr>
        <w:t xml:space="preserve">另页描述。</w:t>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投标供应商名称（加盖公章）</w:t>
      </w:r>
      <w:r>
        <w:rPr>
          <w:color w:val="auto"/>
          <w:sz w:val="24"/>
          <w:highlight w:val="none"/>
          <w:lang w:val="zh-CN"/>
        </w:rPr>
        <w:t xml:space="preserve">：___________</w:t>
      </w:r>
      <w:r/>
    </w:p>
    <w:p>
      <w:pPr>
        <w:spacing w:before="25" w:after="25" w:line="360" w:lineRule="auto"/>
        <w:rPr>
          <w:color w:val="auto"/>
          <w:sz w:val="24"/>
          <w:highlight w:val="none"/>
        </w:rPr>
      </w:pPr>
      <w:r>
        <w:rPr>
          <w:color w:val="auto"/>
          <w:sz w:val="24"/>
          <w:highlight w:val="none"/>
        </w:rPr>
        <w:t xml:space="preserve">日期：_____年______月______日</w:t>
      </w:r>
      <w:r/>
    </w:p>
    <w:p>
      <w:pPr>
        <w:spacing w:before="25" w:after="25" w:line="360" w:lineRule="auto"/>
        <w:rPr>
          <w:color w:val="auto"/>
          <w:sz w:val="24"/>
          <w:highlight w:val="none"/>
        </w:rPr>
      </w:pPr>
      <w:r>
        <w:rPr>
          <w:color w:val="auto"/>
          <w:sz w:val="24"/>
          <w:highlight w:val="none"/>
        </w:rPr>
        <w:br w:type="page" w:clear="all"/>
      </w:r>
      <w:r/>
    </w:p>
    <w:p>
      <w:pPr>
        <w:spacing w:line="360" w:lineRule="auto"/>
        <w:rPr>
          <w:color w:val="auto"/>
          <w:sz w:val="24"/>
          <w:szCs w:val="20"/>
          <w:highlight w:val="none"/>
        </w:rPr>
        <w:outlineLvl w:val="2"/>
      </w:pPr>
      <w:r>
        <w:rPr>
          <w:rFonts w:hint="eastAsia"/>
          <w:color w:val="auto"/>
          <w:sz w:val="24"/>
          <w:szCs w:val="20"/>
          <w:highlight w:val="none"/>
        </w:rPr>
        <w:t xml:space="preserve">9  技术要求响应及偏离表</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技术要求响应及偏离表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10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63"/>
        <w:gridCol w:w="1909"/>
        <w:gridCol w:w="1910"/>
        <w:gridCol w:w="2331"/>
        <w:gridCol w:w="767"/>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项目技术</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highlight w:val="none"/>
        </w:rPr>
        <w:t xml:space="preserve">日期：_____年______月______日</w:t>
      </w:r>
      <w:r/>
    </w:p>
    <w:p>
      <w:pPr>
        <w:jc w:val="left"/>
        <w:widowControl/>
        <w:rPr>
          <w:color w:val="auto"/>
          <w:sz w:val="24"/>
          <w:highlight w:val="none"/>
        </w:rPr>
      </w:pPr>
      <w:r>
        <w:rPr>
          <w:color w:val="auto"/>
          <w:sz w:val="24"/>
          <w:highlight w:val="none"/>
        </w:rPr>
        <w:br w:type="page" w:clear="all"/>
      </w:r>
      <w:r/>
    </w:p>
    <w:p>
      <w:pPr>
        <w:spacing w:line="360" w:lineRule="auto"/>
        <w:rPr>
          <w:color w:val="auto"/>
          <w:sz w:val="24"/>
          <w:szCs w:val="20"/>
          <w:highlight w:val="none"/>
        </w:rPr>
        <w:outlineLvl w:val="2"/>
      </w:pPr>
      <w:r>
        <w:rPr>
          <w:rFonts w:hint="eastAsia"/>
          <w:color w:val="auto"/>
          <w:sz w:val="24"/>
          <w:highlight w:val="none"/>
        </w:rPr>
        <w:t xml:space="preserve">10  </w:t>
      </w:r>
      <w:r>
        <w:rPr>
          <w:rFonts w:hint="eastAsia"/>
          <w:color w:val="auto"/>
          <w:sz w:val="24"/>
          <w:szCs w:val="20"/>
          <w:highlight w:val="none"/>
        </w:rPr>
        <w:t xml:space="preserve">商务要求响应及偏离表</w:t>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商务要求响应及偏离表</w:t>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w:t>
      </w:r>
      <w:r/>
    </w:p>
    <w:tbl>
      <w:tblPr>
        <w:tblStyle w:val="10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63"/>
        <w:gridCol w:w="1909"/>
        <w:gridCol w:w="1910"/>
        <w:gridCol w:w="2331"/>
        <w:gridCol w:w="767"/>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项目商务</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对合同条款中的所有要求，除本表所列明的所有偏离外，均视作投标供应商已对之理解和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highlight w:val="none"/>
        </w:rPr>
        <w:t xml:space="preserve">日期：_____年______月______日</w:t>
      </w:r>
      <w:r/>
    </w:p>
    <w:p>
      <w:pPr>
        <w:jc w:val="left"/>
        <w:widowControl/>
        <w:rPr>
          <w:color w:val="auto"/>
          <w:sz w:val="24"/>
          <w:highlight w:val="none"/>
        </w:rPr>
      </w:pPr>
      <w:r>
        <w:rPr>
          <w:color w:val="auto"/>
          <w:sz w:val="24"/>
          <w:highlight w:val="none"/>
        </w:rPr>
        <w:br w:type="page" w:clear="all"/>
      </w:r>
      <w:r/>
    </w:p>
    <w:p>
      <w:pPr>
        <w:spacing w:line="360" w:lineRule="auto"/>
        <w:rPr>
          <w:color w:val="auto"/>
          <w:sz w:val="24"/>
          <w:highlight w:val="none"/>
        </w:rPr>
        <w:outlineLvl w:val="2"/>
      </w:pPr>
      <w:r>
        <w:rPr>
          <w:rFonts w:hint="eastAsia"/>
          <w:color w:val="auto"/>
          <w:sz w:val="24"/>
          <w:highlight w:val="none"/>
        </w:rPr>
        <w:t xml:space="preserve">11 中小企业声明函</w:t>
      </w:r>
      <w:r/>
    </w:p>
    <w:p>
      <w:pPr>
        <w:spacing w:line="360" w:lineRule="auto"/>
        <w:tabs>
          <w:tab w:val="left" w:pos="5580" w:leader="none"/>
        </w:tabs>
        <w:rPr>
          <w:b/>
          <w:color w:val="auto"/>
          <w:sz w:val="24"/>
          <w:highlight w:val="none"/>
        </w:rPr>
      </w:pPr>
      <w:r>
        <w:rPr>
          <w:b/>
          <w:color w:val="auto"/>
          <w:sz w:val="24"/>
          <w:highlight w:val="none"/>
        </w:rPr>
        <w:t xml:space="preserve">本项目</w:t>
      </w:r>
      <w:r>
        <w:rPr>
          <w:rFonts w:hint="eastAsia"/>
          <w:b/>
          <w:color w:val="auto"/>
          <w:sz w:val="24"/>
          <w:highlight w:val="none"/>
          <w:lang w:val="en-US" w:eastAsia="zh-CN"/>
        </w:rPr>
        <w:t xml:space="preserve">不</w:t>
      </w:r>
      <w:r>
        <w:rPr>
          <w:b/>
          <w:color w:val="auto"/>
          <w:sz w:val="24"/>
          <w:highlight w:val="none"/>
        </w:rPr>
        <w:t xml:space="preserve">专门面向中小企业</w:t>
      </w:r>
      <w:r/>
    </w:p>
    <w:p>
      <w:pPr>
        <w:spacing w:line="360" w:lineRule="auto"/>
        <w:tabs>
          <w:tab w:val="left" w:pos="5580" w:leader="none"/>
        </w:tabs>
        <w:rPr>
          <w:b/>
          <w:color w:val="auto"/>
          <w:sz w:val="24"/>
          <w:highlight w:val="none"/>
        </w:rPr>
      </w:pPr>
      <w:r>
        <w:rPr>
          <w:b/>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供应商非必须</w:t>
      </w:r>
      <w:r>
        <w:rPr>
          <w:color w:val="auto"/>
          <w:sz w:val="24"/>
          <w:highlight w:val="none"/>
        </w:rPr>
        <w:t xml:space="preserve">提供</w:t>
      </w:r>
      <w:r>
        <w:rPr>
          <w:rFonts w:hint="eastAsia"/>
          <w:color w:val="auto"/>
          <w:sz w:val="24"/>
          <w:highlight w:val="none"/>
        </w:rPr>
        <w:t xml:space="preserve">；当小微企业拟享受中小企业扶持政策时，仍应提供</w:t>
      </w:r>
      <w:r>
        <w:rPr>
          <w:color w:val="auto"/>
          <w:sz w:val="24"/>
          <w:highlight w:val="none"/>
        </w:rPr>
        <w:t xml:space="preserve">《中小企业声明函》</w:t>
      </w:r>
      <w:r>
        <w:rPr>
          <w:rFonts w:hint="eastAsia"/>
          <w:color w:val="auto"/>
          <w:sz w:val="24"/>
          <w:highlight w:val="none"/>
        </w:rPr>
        <w:t xml:space="preserve">，</w:t>
      </w:r>
      <w:r>
        <w:rPr>
          <w:color w:val="auto"/>
          <w:sz w:val="24"/>
          <w:highlight w:val="none"/>
        </w:rPr>
        <w:t xml:space="preserve">否则不得享受相关中小企业扶持政策。</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color w:val="auto"/>
          <w:sz w:val="24"/>
          <w:highlight w:val="none"/>
        </w:rPr>
        <w:t xml:space="preserve">（4）其它</w:t>
      </w:r>
      <w:r/>
    </w:p>
    <w:p>
      <w:pPr>
        <w:spacing w:line="360" w:lineRule="auto"/>
        <w:tabs>
          <w:tab w:val="left" w:pos="5580" w:leader="none"/>
        </w:tabs>
        <w:rPr>
          <w:color w:val="auto"/>
          <w:sz w:val="24"/>
          <w:highlight w:val="none"/>
        </w:rPr>
      </w:pPr>
      <w:r>
        <w:rPr>
          <w:color w:val="auto"/>
          <w:sz w:val="24"/>
          <w:highlight w:val="none"/>
        </w:rPr>
        <w:t xml:space="preserve">1）中小企业参加政府采购活动，应当出具此格式文件。《中小企业声明函》由参加政府采购活动的供应商出具。联合体</w:t>
      </w:r>
      <w:r>
        <w:rPr>
          <w:rFonts w:hint="eastAsia"/>
          <w:color w:val="auto"/>
          <w:sz w:val="24"/>
          <w:highlight w:val="none"/>
        </w:rPr>
        <w:t xml:space="preserve">响应</w:t>
      </w:r>
      <w:r>
        <w:rPr>
          <w:color w:val="auto"/>
          <w:sz w:val="24"/>
          <w:highlight w:val="none"/>
        </w:rPr>
        <w:t xml:space="preserve">的，《中小企业声明函》由牵头人出具。</w:t>
      </w:r>
      <w:r/>
    </w:p>
    <w:p>
      <w:pPr>
        <w:spacing w:line="360" w:lineRule="auto"/>
        <w:tabs>
          <w:tab w:val="left" w:pos="5580" w:leader="none"/>
        </w:tabs>
        <w:rPr>
          <w:color w:val="auto"/>
          <w:sz w:val="24"/>
          <w:highlight w:val="none"/>
        </w:rPr>
      </w:pPr>
      <w:r>
        <w:rPr>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bCs/>
          <w:color w:val="auto"/>
          <w:sz w:val="24"/>
          <w:highlight w:val="none"/>
        </w:rPr>
      </w:pPr>
      <w:r>
        <w:rPr>
          <w:color w:val="auto"/>
          <w:sz w:val="24"/>
          <w:highlight w:val="none"/>
        </w:rPr>
        <w:br w:type="page" w:clear="all"/>
      </w:r>
      <w:r>
        <w:rPr>
          <w:rFonts w:hint="eastAsia"/>
          <w:b/>
          <w:color w:val="auto"/>
          <w:sz w:val="36"/>
          <w:szCs w:val="36"/>
          <w:highlight w:val="none"/>
        </w:rPr>
        <w:t xml:space="preserve">中小企业声明函（服务）格式</w:t>
      </w:r>
      <w:r/>
    </w:p>
    <w:p>
      <w:pPr>
        <w:ind w:firstLine="504"/>
        <w:spacing w:line="360" w:lineRule="auto"/>
        <w:rPr>
          <w:color w:val="auto"/>
          <w:spacing w:val="6"/>
          <w:sz w:val="24"/>
          <w:highlight w:val="none"/>
        </w:rPr>
      </w:pPr>
      <w:r>
        <w:rPr>
          <w:rFonts w:hint="eastAsia"/>
          <w:color w:val="auto"/>
          <w:spacing w:val="6"/>
          <w:sz w:val="24"/>
          <w:highlight w:val="none"/>
        </w:rPr>
        <w:t xml:space="preserve">本公司（联合体）郑重声明，根据《政府采购促进中小企业发展管理办法》（财库﹝</w:t>
      </w:r>
      <w:r>
        <w:rPr>
          <w:color w:val="auto"/>
          <w:spacing w:val="6"/>
          <w:sz w:val="24"/>
          <w:highlight w:val="none"/>
        </w:rPr>
        <w:t xml:space="preserve">2020</w:t>
      </w:r>
      <w:r>
        <w:rPr>
          <w:rFonts w:hint="eastAsia"/>
          <w:color w:val="auto"/>
          <w:spacing w:val="6"/>
          <w:sz w:val="24"/>
          <w:highlight w:val="none"/>
        </w:rPr>
        <w:t xml:space="preserve">﹞</w:t>
      </w:r>
      <w:r>
        <w:rPr>
          <w:color w:val="auto"/>
          <w:spacing w:val="6"/>
          <w:sz w:val="24"/>
          <w:highlight w:val="none"/>
        </w:rPr>
        <w:t xml:space="preserve">46 </w:t>
      </w:r>
      <w:r>
        <w:rPr>
          <w:rFonts w:hint="eastAsia"/>
          <w:color w:val="auto"/>
          <w:spacing w:val="6"/>
          <w:sz w:val="24"/>
          <w:highlight w:val="none"/>
        </w:rPr>
        <w:t xml:space="preserve">号）的规定，本公司（联合体）参加常州中采招投标有限公司组织的（采购单位名称</w:t>
      </w:r>
      <w:r>
        <w:rPr>
          <w:rFonts w:hint="eastAsia"/>
          <w:color w:val="auto"/>
          <w:spacing w:val="6"/>
          <w:sz w:val="24"/>
          <w:highlight w:val="none"/>
          <w:u w:val="single"/>
        </w:rPr>
        <w:t xml:space="preserve">①</w:t>
      </w:r>
      <w:r>
        <w:rPr>
          <w:rFonts w:hint="eastAsia"/>
          <w:color w:val="auto"/>
          <w:spacing w:val="6"/>
          <w:sz w:val="24"/>
          <w:highlight w:val="none"/>
        </w:rPr>
        <w:t xml:space="preserve">）采购编号为</w:t>
      </w:r>
      <w:r>
        <w:rPr>
          <w:rFonts w:hint="eastAsia"/>
          <w:color w:val="auto"/>
          <w:spacing w:val="6"/>
          <w:sz w:val="24"/>
          <w:highlight w:val="none"/>
          <w:u w:val="single"/>
        </w:rPr>
        <w:t xml:space="preserve">②  </w:t>
      </w:r>
      <w:r>
        <w:rPr>
          <w:rFonts w:hint="eastAsia"/>
          <w:color w:val="auto"/>
          <w:spacing w:val="6"/>
          <w:sz w:val="24"/>
          <w:highlight w:val="none"/>
        </w:rPr>
        <w:t xml:space="preserve">（项目名称</w:t>
      </w:r>
      <w:r>
        <w:rPr>
          <w:rFonts w:hint="eastAsia"/>
          <w:color w:val="auto"/>
          <w:spacing w:val="6"/>
          <w:sz w:val="24"/>
          <w:highlight w:val="none"/>
          <w:u w:val="single"/>
        </w:rPr>
        <w:t xml:space="preserve">③</w:t>
      </w:r>
      <w:r>
        <w:rPr>
          <w:rFonts w:hint="eastAsia"/>
          <w:color w:val="auto"/>
          <w:spacing w:val="6"/>
          <w:sz w:val="24"/>
          <w:highlight w:val="none"/>
        </w:rPr>
        <w:t xml:space="preserve">）（分包号</w:t>
      </w:r>
      <w:r>
        <w:rPr>
          <w:rFonts w:hint="eastAsia"/>
          <w:color w:val="auto"/>
          <w:spacing w:val="6"/>
          <w:sz w:val="24"/>
          <w:highlight w:val="none"/>
          <w:u w:val="single"/>
        </w:rPr>
        <w:t xml:space="preserve">④</w:t>
      </w:r>
      <w:r>
        <w:rPr>
          <w:rFonts w:hint="eastAsia"/>
          <w:color w:val="auto"/>
          <w:spacing w:val="6"/>
          <w:sz w:val="24"/>
          <w:highlight w:val="none"/>
        </w:rPr>
        <w:t xml:space="preserve">）的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rFonts w:hint="eastAsia"/>
          <w:color w:val="auto"/>
          <w:spacing w:val="6"/>
          <w:sz w:val="24"/>
          <w:highlight w:val="none"/>
          <w:u w:val="single"/>
        </w:rPr>
        <w:t xml:space="preserve">（标的名称⑤）</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（采购文件中明确的所属行业⑥）</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（企业名称⑦）</w:t>
      </w:r>
      <w:r>
        <w:rPr>
          <w:rFonts w:hint="eastAsia"/>
          <w:color w:val="auto"/>
          <w:spacing w:val="6"/>
          <w:sz w:val="24"/>
          <w:highlight w:val="none"/>
        </w:rPr>
        <w:t xml:space="preserve">，从业人员</w:t>
      </w:r>
      <w:r>
        <w:rPr>
          <w:color w:val="auto"/>
          <w:spacing w:val="6"/>
          <w:sz w:val="24"/>
          <w:highlight w:val="none"/>
        </w:rPr>
        <w:t xml:space="preserve">__</w:t>
      </w:r>
      <w:r>
        <w:rPr>
          <w:rFonts w:hint="eastAsia"/>
          <w:color w:val="auto"/>
          <w:spacing w:val="6"/>
          <w:sz w:val="24"/>
          <w:highlight w:val="none"/>
          <w:u w:val="single"/>
        </w:rPr>
        <w:t xml:space="preserve">⑧</w:t>
      </w:r>
      <w:r>
        <w:rPr>
          <w:color w:val="auto"/>
          <w:spacing w:val="6"/>
          <w:sz w:val="24"/>
          <w:highlight w:val="none"/>
        </w:rPr>
        <w:t xml:space="preserve">__</w:t>
      </w:r>
      <w:r>
        <w:rPr>
          <w:rFonts w:hint="eastAsia"/>
          <w:color w:val="auto"/>
          <w:spacing w:val="6"/>
          <w:sz w:val="24"/>
          <w:highlight w:val="none"/>
        </w:rPr>
        <w:t xml:space="preserve">人，营业收入为</w:t>
      </w:r>
      <w:r>
        <w:rPr>
          <w:color w:val="auto"/>
          <w:spacing w:val="6"/>
          <w:sz w:val="24"/>
          <w:highlight w:val="none"/>
        </w:rPr>
        <w:t xml:space="preserve">_</w:t>
      </w:r>
      <w:r>
        <w:rPr>
          <w:rFonts w:hint="eastAsia"/>
          <w:color w:val="auto"/>
          <w:spacing w:val="6"/>
          <w:sz w:val="24"/>
          <w:highlight w:val="none"/>
          <w:u w:val="single"/>
        </w:rPr>
        <w:t xml:space="preserve">⑨</w:t>
      </w:r>
      <w:r>
        <w:rPr>
          <w:color w:val="auto"/>
          <w:spacing w:val="6"/>
          <w:sz w:val="24"/>
          <w:highlight w:val="none"/>
        </w:rPr>
        <w:t xml:space="preserve">_</w:t>
      </w:r>
      <w:r>
        <w:rPr>
          <w:rFonts w:hint="eastAsia"/>
          <w:color w:val="auto"/>
          <w:spacing w:val="6"/>
          <w:sz w:val="24"/>
          <w:highlight w:val="none"/>
        </w:rPr>
        <w:t xml:space="preserve">万元，资产总额为</w:t>
      </w:r>
      <w:r>
        <w:rPr>
          <w:color w:val="auto"/>
          <w:spacing w:val="6"/>
          <w:sz w:val="24"/>
          <w:highlight w:val="none"/>
        </w:rPr>
        <w:t xml:space="preserve">_</w:t>
      </w:r>
      <w:r>
        <w:rPr>
          <w:rFonts w:hint="eastAsia"/>
          <w:color w:val="auto"/>
          <w:spacing w:val="6"/>
          <w:sz w:val="24"/>
          <w:highlight w:val="none"/>
          <w:u w:val="single"/>
        </w:rPr>
        <w:t xml:space="preserve">⑩</w:t>
      </w:r>
      <w:r>
        <w:rPr>
          <w:color w:val="auto"/>
          <w:spacing w:val="6"/>
          <w:sz w:val="24"/>
          <w:highlight w:val="none"/>
        </w:rPr>
        <w:t xml:space="preserve">__</w:t>
      </w:r>
      <w:r>
        <w:rPr>
          <w:rFonts w:hint="eastAsia"/>
          <w:color w:val="auto"/>
          <w:spacing w:val="6"/>
          <w:sz w:val="24"/>
          <w:highlight w:val="none"/>
        </w:rPr>
        <w:t xml:space="preserve">万元</w:t>
      </w:r>
      <w:r>
        <w:rPr>
          <w:color w:val="auto"/>
          <w:spacing w:val="6"/>
          <w:sz w:val="24"/>
          <w:highlight w:val="none"/>
          <w:vertAlign w:val="superscript"/>
        </w:rPr>
        <w:t xml:space="preserve">1</w:t>
      </w:r>
      <w:r>
        <w:rPr>
          <w:rFonts w:hint="eastAsia"/>
          <w:color w:val="auto"/>
          <w:spacing w:val="6"/>
          <w:sz w:val="24"/>
          <w:highlight w:val="none"/>
        </w:rPr>
        <w:t xml:space="preserve">，属于（中型企业、小型企业、微型企业</w:t>
      </w:r>
      <w:r>
        <w:rPr>
          <w:rFonts w:ascii="Cambria Math" w:hAnsi="Cambria Math" w:eastAsia="仿宋_GB2312" w:cs="Cambria Math"/>
          <w:color w:val="auto"/>
          <w:sz w:val="24"/>
          <w:szCs w:val="28"/>
          <w:highlight w:val="none"/>
          <w:u w:val="single"/>
        </w:rPr>
        <w:t xml:space="preserve">⑪</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2.</w:t>
      </w:r>
      <w:r>
        <w:rPr>
          <w:rFonts w:hint="eastAsia"/>
          <w:color w:val="auto"/>
          <w:spacing w:val="6"/>
          <w:sz w:val="24"/>
          <w:highlight w:val="none"/>
          <w:u w:val="single"/>
        </w:rPr>
        <w:t xml:space="preserve">（标的名称）</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w:t>
      </w:r>
      <w:r>
        <w:rPr>
          <w:rFonts w:hint="eastAsia"/>
          <w:color w:val="auto"/>
          <w:spacing w:val="6"/>
          <w:sz w:val="24"/>
          <w:highlight w:val="none"/>
        </w:rPr>
        <w:t xml:space="preserve">，从业人员</w:t>
      </w:r>
      <w:r>
        <w:rPr>
          <w:color w:val="auto"/>
          <w:spacing w:val="6"/>
          <w:sz w:val="24"/>
          <w:highlight w:val="none"/>
        </w:rPr>
        <w:t xml:space="preserve">______</w:t>
      </w:r>
      <w:r>
        <w:rPr>
          <w:rFonts w:hint="eastAsia"/>
          <w:color w:val="auto"/>
          <w:spacing w:val="6"/>
          <w:sz w:val="24"/>
          <w:highlight w:val="none"/>
        </w:rPr>
        <w:t xml:space="preserve">人，营业收入为</w:t>
      </w:r>
      <w:r>
        <w:rPr>
          <w:color w:val="auto"/>
          <w:spacing w:val="6"/>
          <w:sz w:val="24"/>
          <w:highlight w:val="none"/>
        </w:rPr>
        <w:t xml:space="preserve">______</w:t>
      </w:r>
      <w:r>
        <w:rPr>
          <w:rFonts w:hint="eastAsia"/>
          <w:color w:val="auto"/>
          <w:spacing w:val="6"/>
          <w:sz w:val="24"/>
          <w:highlight w:val="none"/>
        </w:rPr>
        <w:t xml:space="preserve">万元，资产总额为</w:t>
      </w:r>
      <w:r>
        <w:rPr>
          <w:color w:val="auto"/>
          <w:spacing w:val="6"/>
          <w:sz w:val="24"/>
          <w:highlight w:val="none"/>
        </w:rPr>
        <w:t xml:space="preserve">______</w:t>
      </w:r>
      <w:r>
        <w:rPr>
          <w:rFonts w:hint="eastAsia"/>
          <w:color w:val="auto"/>
          <w:spacing w:val="6"/>
          <w:sz w:val="24"/>
          <w:highlight w:val="none"/>
        </w:rPr>
        <w:t xml:space="preserve">万元，属于</w:t>
      </w:r>
      <w:r>
        <w:rPr>
          <w:rFonts w:hint="eastAsia"/>
          <w:color w:val="auto"/>
          <w:spacing w:val="6"/>
          <w:sz w:val="24"/>
          <w:highlight w:val="none"/>
          <w:u w:val="single"/>
        </w:rPr>
        <w:t xml:space="preserve">（中型企业、小型企业、微型企业）</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rFonts w:hint="eastAsia"/>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rFonts w:hint="eastAsia"/>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rFonts w:hint="eastAsia"/>
          <w:color w:val="auto"/>
          <w:sz w:val="24"/>
          <w:highlight w:val="none"/>
        </w:rPr>
        <w:t xml:space="preserve">企业名称（盖章）：</w:t>
      </w:r>
      <w:r>
        <w:rPr>
          <w:color w:val="auto"/>
          <w:sz w:val="24"/>
          <w:highlight w:val="none"/>
        </w:rPr>
        <w:t xml:space="preserve">__</w:t>
      </w:r>
      <w:r>
        <w:rPr>
          <w:rFonts w:ascii="Cambria Math" w:hAnsi="Cambria Math" w:cs="Cambria Math"/>
          <w:color w:val="auto"/>
          <w:spacing w:val="6"/>
          <w:sz w:val="28"/>
          <w:szCs w:val="21"/>
          <w:highlight w:val="none"/>
          <w:u w:val="single"/>
        </w:rPr>
        <w:t xml:space="preserve">⑫</w:t>
      </w:r>
      <w:r>
        <w:rPr>
          <w:color w:val="auto"/>
          <w:sz w:val="24"/>
          <w:highlight w:val="none"/>
        </w:rPr>
        <w:t xml:space="preserve">______</w:t>
      </w:r>
      <w:r/>
    </w:p>
    <w:p>
      <w:pPr>
        <w:ind w:right="360" w:firstLine="480"/>
        <w:jc w:val="right"/>
        <w:spacing w:line="360" w:lineRule="auto"/>
        <w:rPr>
          <w:color w:val="auto"/>
          <w:sz w:val="24"/>
          <w:highlight w:val="none"/>
        </w:rPr>
      </w:pPr>
      <w:r>
        <w:rPr>
          <w:rFonts w:hint="eastAsia"/>
          <w:color w:val="auto"/>
          <w:sz w:val="24"/>
          <w:highlight w:val="none"/>
        </w:rPr>
        <w:t xml:space="preserve">日</w:t>
      </w:r>
      <w:r>
        <w:rPr>
          <w:color w:val="auto"/>
          <w:sz w:val="24"/>
          <w:highlight w:val="none"/>
        </w:rPr>
        <w:t xml:space="preserve"> </w:t>
      </w:r>
      <w:r>
        <w:rPr>
          <w:rFonts w:hint="eastAsia"/>
          <w:color w:val="auto"/>
          <w:sz w:val="24"/>
          <w:highlight w:val="none"/>
        </w:rPr>
        <w:t xml:space="preserve">期：</w:t>
      </w:r>
      <w:r>
        <w:rPr>
          <w:color w:val="auto"/>
          <w:sz w:val="24"/>
          <w:highlight w:val="none"/>
        </w:rPr>
        <w:t xml:space="preserve">________</w:t>
      </w:r>
      <w:r/>
    </w:p>
    <w:p>
      <w:pPr>
        <w:jc w:val="left"/>
        <w:rPr>
          <w:color w:val="auto"/>
          <w:sz w:val="24"/>
          <w:szCs w:val="21"/>
          <w:highlight w:val="none"/>
        </w:rPr>
      </w:pPr>
      <w:r>
        <w:rPr>
          <w:color w:val="auto"/>
          <w:sz w:val="24"/>
          <w:szCs w:val="21"/>
          <w:highlight w:val="none"/>
        </w:rPr>
      </w:r>
      <w:r/>
    </w:p>
    <w:p>
      <w:pPr>
        <w:jc w:val="left"/>
        <w:rPr>
          <w:color w:val="auto"/>
          <w:szCs w:val="21"/>
          <w:highlight w:val="none"/>
          <w:vertAlign w:val="superscript"/>
        </w:rPr>
      </w:pPr>
      <w:r>
        <w:rPr>
          <w:color w:val="auto"/>
          <w:szCs w:val="21"/>
          <w:highlight w:val="none"/>
          <w:vertAlign w:val="superscript"/>
        </w:rPr>
      </w:r>
      <w:r/>
    </w:p>
    <w:p>
      <w:pPr>
        <w:ind w:right="600" w:firstLine="480"/>
        <w:jc w:val="right"/>
        <w:spacing w:line="360" w:lineRule="auto"/>
        <w:rPr>
          <w:color w:val="auto"/>
          <w:sz w:val="24"/>
          <w:highlight w:val="none"/>
        </w:rPr>
      </w:pPr>
      <w:r>
        <w:rPr>
          <w:color w:val="auto"/>
          <w:sz w:val="24"/>
          <w:highlight w:val="none"/>
        </w:rPr>
      </w:r>
      <w:r/>
    </w:p>
    <w:p>
      <w:pPr>
        <w:spacing w:line="570" w:lineRule="exact"/>
        <w:rPr>
          <w:rFonts w:ascii="黑体" w:hAnsi="黑体" w:eastAsia="黑体" w:cs="黑体"/>
          <w:color w:val="auto"/>
          <w:sz w:val="32"/>
          <w:szCs w:val="32"/>
          <w:highlight w:val="none"/>
        </w:rPr>
      </w:pPr>
      <w:r>
        <w:rPr>
          <w:rFonts w:ascii="黑体" w:hAnsi="黑体" w:eastAsia="黑体" w:cs="黑体"/>
          <w:color w:val="auto"/>
          <w:sz w:val="32"/>
          <w:szCs w:val="32"/>
          <w:highlight w:val="none"/>
        </w:rPr>
      </w:r>
      <w:r/>
    </w:p>
    <w:p>
      <w:pPr>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br w:type="page" w:clear="all"/>
      </w:r>
      <w:r/>
    </w:p>
    <w:p>
      <w:pPr>
        <w:spacing w:line="570" w:lineRule="exact"/>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填写说明：</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1.（采购单位名称①）：填写本项目采购人单位名称，如常州市XXX局。</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2.采购编号为②：填写本项目编号，如JSZC-3204XX-JZCG-G20XX-XX。</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3.（项目名称③）：填写本项目名称，如常州市XXX项目。</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4.（分包号：④）：填写分包编号，如有分包的，分别填写分包号，没有的填“无”。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5.（标的名称⑤）：填写本项目标的名称，如有产品清单的请根据采购文件“第四章采购需求”-“服务内容及要求/货物技术要求”-“产品清单”中列出的名称进行填写，如：物业服务、保安服务、审计服务等；如没有产品清单的可以填项目名称。</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7.（企业名称⑦）：填写投标人或供应商的名称，如XXX公司。</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9.（中型企业、小型企业、微型企业</w:t>
      </w:r>
      <w:r>
        <w:rPr>
          <w:rFonts w:ascii="Cambria Math" w:hAnsi="Cambria Math" w:cs="Cambria Math"/>
          <w:color w:val="auto"/>
          <w:spacing w:val="6"/>
          <w:sz w:val="24"/>
          <w:highlight w:val="none"/>
        </w:rPr>
        <w:t xml:space="preserve">⑪</w:t>
      </w:r>
      <w:r>
        <w:rPr>
          <w:rFonts w:hint="eastAsia" w:ascii="宋体" w:hAnsi="宋体"/>
          <w:color w:val="auto"/>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10.企业名称（盖章）</w:t>
      </w:r>
      <w:r>
        <w:rPr>
          <w:rFonts w:ascii="Cambria Math" w:hAnsi="Cambria Math" w:cs="Cambria Math"/>
          <w:color w:val="auto"/>
          <w:spacing w:val="6"/>
          <w:sz w:val="24"/>
          <w:highlight w:val="none"/>
        </w:rPr>
        <w:t xml:space="preserve">⑫</w:t>
      </w:r>
      <w:r>
        <w:rPr>
          <w:rFonts w:hint="eastAsia" w:ascii="宋体" w:hAnsi="宋体"/>
          <w:color w:val="auto"/>
          <w:spacing w:val="6"/>
          <w:sz w:val="24"/>
          <w:highlight w:val="none"/>
        </w:rPr>
        <w:t xml:space="preserve">：加盖投标人或供应商CA电子公章。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295"/>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12.温馨提示</w:t>
      </w:r>
      <w:r/>
    </w:p>
    <w:p>
      <w:pPr>
        <w:pStyle w:val="1295"/>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（1）对于已纳入统计部门统计范围的企业，所属行业、从业人员、营业收入、资产总额、规模类型应与统计部门报表保持一致。</w:t>
      </w:r>
      <w:r/>
    </w:p>
    <w:p>
      <w:pPr>
        <w:pStyle w:val="1295"/>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295"/>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295"/>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295"/>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295"/>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（7）根据《财政部关于规范政府采购行政处罚有关问题的通知》（财库〔2015〕150 号）规定，各级人民政府财政部门依法对供应商作出的禁止参加政府采购活</w:t>
      </w:r>
      <w:r/>
    </w:p>
    <w:p>
      <w:pPr>
        <w:jc w:val="left"/>
        <w:spacing w:line="360" w:lineRule="auto"/>
        <w:rPr>
          <w:color w:val="auto"/>
          <w:szCs w:val="21"/>
          <w:highlight w:val="none"/>
          <w:vertAlign w:val="superscript"/>
        </w:rPr>
      </w:pPr>
      <w:r>
        <w:rPr>
          <w:rFonts w:hint="eastAsia" w:ascii="宋体" w:hAnsi="宋体"/>
          <w:color w:val="auto"/>
          <w:spacing w:val="6"/>
          <w:sz w:val="24"/>
          <w:highlight w:val="none"/>
        </w:rPr>
        <w:t xml:space="preserve">动的行政处罚决定在全国范围内生效。</w:t>
      </w:r>
      <w:r/>
    </w:p>
    <w:p>
      <w:pPr>
        <w:ind w:right="360" w:firstLine="480"/>
        <w:jc w:val="right"/>
        <w:spacing w:line="360" w:lineRule="auto"/>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center"/>
        <w:rPr>
          <w:color w:val="auto"/>
          <w:sz w:val="36"/>
          <w:szCs w:val="36"/>
          <w:highlight w:val="none"/>
        </w:rPr>
      </w:pPr>
      <w:r>
        <w:rPr>
          <w:b/>
          <w:color w:val="auto"/>
          <w:sz w:val="36"/>
          <w:szCs w:val="36"/>
          <w:highlight w:val="none"/>
        </w:rPr>
        <w:br w:type="page" w:clear="all"/>
      </w:r>
      <w:r>
        <w:rPr>
          <w:rFonts w:hint="eastAsia"/>
          <w:b/>
          <w:color w:val="auto"/>
          <w:sz w:val="36"/>
          <w:szCs w:val="36"/>
          <w:highlight w:val="none"/>
        </w:rPr>
        <w:t xml:space="preserve">残疾人福利性单位声明函格式</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rFonts w:hint="eastAsia"/>
          <w:color w:val="auto"/>
          <w:spacing w:val="6"/>
          <w:sz w:val="24"/>
          <w:highlight w:val="none"/>
        </w:rPr>
        <w:t xml:space="preserve">〔2017〕141号</w:t>
      </w:r>
      <w:r>
        <w:rPr>
          <w:color w:val="auto"/>
          <w:spacing w:val="6"/>
          <w:sz w:val="24"/>
          <w:highlight w:val="none"/>
        </w:rPr>
        <w:t xml:space="preserve">）的规定，本单位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jc w:val="left"/>
        <w:widowControl/>
        <w:rPr>
          <w:color w:val="auto"/>
          <w:sz w:val="24"/>
          <w:szCs w:val="20"/>
          <w:highlight w:val="none"/>
        </w:rPr>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12 项目完整技术和实施方案</w:t>
      </w:r>
      <w:r/>
    </w:p>
    <w:p>
      <w:pPr>
        <w:ind w:firstLine="480"/>
        <w:spacing w:line="360" w:lineRule="auto"/>
        <w:rPr>
          <w:color w:val="auto"/>
          <w:sz w:val="24"/>
          <w:highlight w:val="none"/>
        </w:rPr>
      </w:pPr>
      <w:r>
        <w:rPr>
          <w:rFonts w:hint="eastAsia"/>
          <w:color w:val="auto"/>
          <w:sz w:val="24"/>
          <w:highlight w:val="none"/>
        </w:rPr>
        <w:t xml:space="preserve">本项目的完整的技术和实施方案，包括但不限于：项目技术、组织、实施方案；项目管理方案；拟达到的标准，配备的人员、设备配置等；培训方案、技术支持等方案；优惠条款或承诺；其他。</w:t>
      </w:r>
      <w:r/>
    </w:p>
    <w:p>
      <w:pPr>
        <w:spacing w:line="360" w:lineRule="auto"/>
        <w:rPr>
          <w:color w:val="auto"/>
          <w:sz w:val="24"/>
          <w:szCs w:val="20"/>
          <w:highlight w:val="none"/>
        </w:rPr>
        <w:outlineLvl w:val="2"/>
      </w:pPr>
      <w:r>
        <w:rPr>
          <w:color w:val="auto"/>
          <w:highlight w:val="none"/>
        </w:rPr>
        <w:br w:type="page" w:clear="all"/>
      </w:r>
      <w:r>
        <w:rPr>
          <w:rFonts w:hint="eastAsia"/>
          <w:color w:val="auto"/>
          <w:sz w:val="24"/>
          <w:szCs w:val="20"/>
          <w:highlight w:val="none"/>
        </w:rPr>
        <w:t xml:space="preserve">13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4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1125"/>
        <w:gridCol w:w="1125"/>
        <w:gridCol w:w="1125"/>
        <w:gridCol w:w="1126"/>
        <w:gridCol w:w="1126"/>
        <w:gridCol w:w="1126"/>
        <w:gridCol w:w="1126"/>
      </w:tblGrid>
      <w:tr>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注：参加本项目人员须是供应商正式职工。</w:t>
      </w:r>
      <w:r/>
    </w:p>
    <w:p>
      <w:pPr>
        <w:pStyle w:val="1047"/>
        <w:rPr>
          <w:color w:val="auto"/>
          <w:highlight w:val="none"/>
          <w:lang w:val="zh-CN"/>
        </w:rPr>
      </w:pPr>
      <w:r>
        <w:rPr>
          <w:color w:val="auto"/>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w:t>
      </w:r>
      <w:r/>
    </w:p>
    <w:p>
      <w:pPr>
        <w:spacing w:line="360" w:lineRule="auto"/>
        <w:rPr>
          <w:color w:val="auto"/>
          <w:sz w:val="24"/>
          <w:highlight w:val="none"/>
          <w:lang w:val="zh-CN"/>
        </w:rPr>
      </w:pPr>
      <w:r>
        <w:rPr>
          <w:color w:val="auto"/>
          <w:sz w:val="24"/>
          <w:szCs w:val="20"/>
          <w:highlight w:val="none"/>
        </w:rPr>
        <w:br w:type="page" w:clear="all"/>
      </w:r>
      <w:r/>
    </w:p>
    <w:p>
      <w:pPr>
        <w:spacing w:line="360" w:lineRule="auto"/>
        <w:rPr>
          <w:color w:val="auto"/>
          <w:sz w:val="24"/>
          <w:szCs w:val="20"/>
          <w:highlight w:val="none"/>
        </w:rPr>
        <w:outlineLvl w:val="2"/>
      </w:pPr>
      <w:r/>
      <w:bookmarkStart w:id="743" w:name="_Toc288738839"/>
      <w:r/>
      <w:bookmarkStart w:id="744" w:name="_Toc288738397"/>
      <w:r>
        <w:rPr>
          <w:rFonts w:hint="eastAsia"/>
          <w:color w:val="auto"/>
          <w:sz w:val="24"/>
          <w:szCs w:val="20"/>
          <w:highlight w:val="none"/>
        </w:rPr>
        <w:t xml:space="preserve">14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743"/>
      <w:r/>
      <w:bookmarkEnd w:id="744"/>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4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341"/>
        <w:gridCol w:w="1753"/>
        <w:gridCol w:w="1587"/>
        <w:gridCol w:w="1783"/>
        <w:gridCol w:w="1270"/>
        <w:gridCol w:w="1270"/>
      </w:tblGrid>
      <w:tr>
        <w:trPr>
          <w:jc w:val="center"/>
          <w:trHeight w:val="498"/>
        </w:trPr>
        <w:tc>
          <w:tcPr>
            <w:tcBorders>
              <w:top w:val="single" w:color="auto" w:sz="6" w:space="0"/>
              <w:left w:val="single" w:color="auto" w:sz="6" w:space="0"/>
              <w:bottom w:val="single" w:color="auto" w:sz="6" w:space="0"/>
              <w:right w:val="single" w:color="auto" w:sz="6" w:space="0"/>
            </w:tcBorders>
            <w:tcW w:w="745"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974"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990"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合同签订时间</w:t>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项目类型</w:t>
            </w:r>
            <w:r/>
          </w:p>
        </w:tc>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备注</w:t>
            </w:r>
            <w:r/>
          </w:p>
        </w:tc>
      </w:tr>
      <w:tr>
        <w:trPr>
          <w:jc w:val="center"/>
        </w:trPr>
        <w:tc>
          <w:tcPr>
            <w:tcBorders>
              <w:top w:val="single" w:color="auto" w:sz="6" w:space="0"/>
              <w:left w:val="single" w:color="auto" w:sz="6" w:space="0"/>
              <w:bottom w:val="single" w:color="auto" w:sz="6" w:space="0"/>
              <w:right w:val="single" w:color="auto" w:sz="6" w:space="0"/>
            </w:tcBorders>
            <w:tcW w:w="74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b/>
          <w:color w:val="auto"/>
          <w:sz w:val="24"/>
          <w:szCs w:val="20"/>
          <w:highlight w:val="none"/>
        </w:rPr>
      </w:pPr>
      <w:r>
        <w:rPr>
          <w:rFonts w:hint="eastAsia"/>
          <w:b/>
          <w:color w:val="auto"/>
          <w:sz w:val="24"/>
          <w:szCs w:val="20"/>
          <w:highlight w:val="none"/>
        </w:rPr>
        <w:t xml:space="preserve">注：需提供合同复印件并加盖公章。</w:t>
      </w:r>
      <w:r/>
    </w:p>
    <w:p>
      <w:pPr>
        <w:pStyle w:val="1047"/>
        <w:rPr>
          <w:color w:val="auto"/>
          <w:highlight w:val="none"/>
        </w:rPr>
      </w:pPr>
      <w:r>
        <w:rPr>
          <w:color w:val="auto"/>
          <w:highlight w:val="none"/>
        </w:rPr>
      </w:r>
      <w:r/>
    </w:p>
    <w:p>
      <w:pPr>
        <w:rPr>
          <w:color w:val="auto"/>
          <w:highlight w:val="none"/>
        </w:rPr>
      </w:pPr>
      <w:r>
        <w:rPr>
          <w:color w:val="auto"/>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szCs w:val="20"/>
          <w:highlight w:val="none"/>
        </w:rPr>
      </w:pPr>
      <w:r>
        <w:rPr>
          <w:color w:val="auto"/>
          <w:sz w:val="24"/>
          <w:szCs w:val="20"/>
          <w:highlight w:val="none"/>
        </w:rPr>
        <w:t xml:space="preserve">日期：_____年______月______日 </w:t>
      </w:r>
      <w:r/>
    </w:p>
    <w:p>
      <w:pPr>
        <w:spacing w:before="25" w:after="25" w:line="360" w:lineRule="auto"/>
        <w:rPr>
          <w:color w:val="auto"/>
          <w:sz w:val="24"/>
          <w:szCs w:val="20"/>
          <w:highlight w:val="none"/>
        </w:rPr>
      </w:pPr>
      <w:r>
        <w:rPr>
          <w:color w:val="auto"/>
          <w:sz w:val="24"/>
          <w:szCs w:val="20"/>
          <w:highlight w:val="none"/>
        </w:rPr>
      </w:r>
      <w:r/>
    </w:p>
    <w:p>
      <w:pPr>
        <w:keepLines w:val="0"/>
        <w:keepNext w:val="0"/>
        <w:pageBreakBefore/>
        <w:spacing w:before="25" w:after="25" w:line="360" w:lineRule="auto"/>
        <w:widowControl w:val="off"/>
        <w:rPr>
          <w:color w:val="auto"/>
          <w:sz w:val="24"/>
          <w:highlight w:val="none"/>
          <w:lang w:val="zh-CN"/>
        </w:rPr>
      </w:pPr>
      <w:r>
        <w:rPr>
          <w:rFonts w:hint="eastAsia"/>
          <w:color w:val="auto"/>
          <w:sz w:val="24"/>
          <w:szCs w:val="20"/>
          <w:highlight w:val="none"/>
          <w:lang w:val="en-US" w:eastAsia="zh-CN"/>
        </w:rPr>
        <w:t xml:space="preserve">15 现场踏勘回执</w:t>
      </w:r>
      <w:r/>
    </w:p>
    <w:p>
      <w:pPr>
        <w:jc w:val="center"/>
        <w:spacing w:line="435" w:lineRule="atLeast"/>
        <w:shd w:val="clear" w:color="auto" w:fill="ffffff"/>
        <w:widowControl/>
        <w:rPr>
          <w:rFonts w:ascii="微软雅黑" w:hAnsi="微软雅黑" w:eastAsia="微软雅黑" w:cs="宋体"/>
          <w:color w:val="auto"/>
          <w:sz w:val="32"/>
          <w:szCs w:val="32"/>
          <w:highlight w:val="none"/>
        </w:rPr>
      </w:pPr>
      <w:r>
        <w:rPr>
          <w:rFonts w:hint="eastAsia" w:ascii="宋体" w:hAnsi="宋体" w:eastAsia="宋体" w:cs="宋体"/>
          <w:b/>
          <w:bCs/>
          <w:color w:val="auto"/>
          <w:sz w:val="32"/>
          <w:szCs w:val="32"/>
          <w:highlight w:val="none"/>
          <w:shd w:val="clear" w:color="auto" w:fill="ffffff"/>
          <w:lang w:val="en-US" w:eastAsia="zh-CN"/>
        </w:rPr>
        <w:t xml:space="preserve">现场</w:t>
      </w:r>
      <w:r>
        <w:rPr>
          <w:rFonts w:hint="eastAsia" w:ascii="宋体" w:hAnsi="宋体" w:eastAsia="宋体" w:cs="宋体"/>
          <w:b/>
          <w:bCs/>
          <w:color w:val="auto"/>
          <w:sz w:val="32"/>
          <w:szCs w:val="32"/>
          <w:highlight w:val="none"/>
          <w:shd w:val="clear" w:color="auto" w:fill="ffffff"/>
        </w:rPr>
        <w:t xml:space="preserve">踏勘回执</w:t>
      </w:r>
      <w:r/>
    </w:p>
    <w:tbl>
      <w:tblPr>
        <w:tblStyle w:val="1040"/>
        <w:tblW w:w="8820" w:type="dxa"/>
        <w:jc w:val="center"/>
        <w:tblLayout w:type="autofit"/>
        <w:tblCellMar>
          <w:left w:w="0" w:type="dxa"/>
          <w:top w:w="0" w:type="dxa"/>
          <w:right w:w="0" w:type="dxa"/>
          <w:bottom w:w="0" w:type="dxa"/>
        </w:tblCellMar>
        <w:tblLook w:val="04A0" w:firstRow="1" w:lastRow="0" w:firstColumn="1" w:lastColumn="0" w:noHBand="0" w:noVBand="1"/>
      </w:tblPr>
      <w:tblGrid>
        <w:gridCol w:w="2205"/>
        <w:gridCol w:w="2205"/>
        <w:gridCol w:w="2205"/>
        <w:gridCol w:w="2205"/>
      </w:tblGrid>
      <w:tr>
        <w:trPr>
          <w:jc w:val="center"/>
          <w:trHeight w:val="601"/>
        </w:trPr>
        <w:tc>
          <w:tcPr>
            <w:gridSpan w:val="4"/>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820" w:type="dxa"/>
            <w:vAlign w:val="center"/>
            <w:textDirection w:val="lrTb"/>
            <w:noWrap w:val="false"/>
          </w:tcPr>
          <w:p>
            <w:pPr>
              <w:ind w:right="210"/>
              <w:jc w:val="center"/>
              <w:spacing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现场踏勘</w:t>
            </w:r>
            <w:r>
              <w:rPr>
                <w:rFonts w:hint="eastAsia" w:ascii="宋体" w:hAnsi="宋体" w:eastAsia="宋体" w:cs="宋体"/>
                <w:color w:val="auto"/>
                <w:sz w:val="24"/>
                <w:szCs w:val="24"/>
                <w:highlight w:val="none"/>
              </w:rPr>
              <w:t xml:space="preserve">回执单</w:t>
            </w:r>
            <w:r/>
          </w:p>
        </w:tc>
      </w:tr>
      <w:tr>
        <w:trPr>
          <w:jc w:val="center"/>
          <w:trHeight w:val="681"/>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205" w:type="dxa"/>
            <w:vAlign w:val="center"/>
            <w:textDirection w:val="lrTb"/>
            <w:noWrap w:val="false"/>
          </w:tcPr>
          <w:p>
            <w:pPr>
              <w:ind w:right="210"/>
              <w:jc w:val="center"/>
              <w:spacing w:line="360" w:lineRule="atLeas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p>
        </w:tc>
        <w:tc>
          <w:tcPr>
            <w:gridSpan w:val="3"/>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615" w:type="dxa"/>
            <w:vAlign w:val="center"/>
            <w:textDirection w:val="lrTb"/>
            <w:noWrap w:val="false"/>
          </w:tcPr>
          <w:p>
            <w:pPr>
              <w:jc w:val="lef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JSZC-320400-ZCCZ-C2026-0018</w:t>
            </w:r>
            <w:r/>
          </w:p>
        </w:tc>
      </w:tr>
      <w:tr>
        <w:trPr>
          <w:jc w:val="center"/>
          <w:trHeight w:val="681"/>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205" w:type="dxa"/>
            <w:vAlign w:val="center"/>
            <w:textDirection w:val="lrTb"/>
            <w:noWrap w:val="false"/>
          </w:tcPr>
          <w:p>
            <w:pPr>
              <w:ind w:right="210"/>
              <w:jc w:val="center"/>
              <w:spacing w:line="360" w:lineRule="atLeas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p>
        </w:tc>
        <w:tc>
          <w:tcPr>
            <w:gridSpan w:val="3"/>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61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江苏省常州技师学院消防控制中心及监控网络改造提升服务项目</w:t>
            </w:r>
            <w:r/>
          </w:p>
        </w:tc>
      </w:tr>
      <w:tr>
        <w:trPr>
          <w:jc w:val="center"/>
          <w:trHeight w:val="681"/>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205" w:type="dxa"/>
            <w:vAlign w:val="center"/>
            <w:textDirection w:val="lrTb"/>
            <w:noWrap w:val="false"/>
          </w:tcPr>
          <w:p>
            <w:pPr>
              <w:ind w:right="210"/>
              <w:jc w:val="center"/>
              <w:spacing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踏勘单位</w:t>
            </w:r>
            <w:r/>
          </w:p>
        </w:tc>
        <w:tc>
          <w:tcPr>
            <w:gridSpan w:val="3"/>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61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98"/>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205" w:type="dxa"/>
            <w:vAlign w:val="center"/>
            <w:textDirection w:val="lrTb"/>
            <w:noWrap w:val="false"/>
          </w:tcPr>
          <w:p>
            <w:pPr>
              <w:ind w:right="210"/>
              <w:jc w:val="center"/>
              <w:spacing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踏勘情况</w:t>
            </w:r>
            <w:r/>
          </w:p>
        </w:tc>
        <w:tc>
          <w:tcPr>
            <w:gridSpan w:val="3"/>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615" w:type="dxa"/>
            <w:vAlign w:val="center"/>
            <w:textDirection w:val="lrTb"/>
            <w:noWrap w:val="false"/>
          </w:tcPr>
          <w:p>
            <w:pPr>
              <w:ind w:firstLine="480"/>
              <w:jc w:val="left"/>
              <w:spacing w:line="435"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w:t>
            </w:r>
            <w:r>
              <w:rPr>
                <w:rFonts w:hint="eastAsia" w:ascii="宋体" w:hAnsi="宋体" w:eastAsia="宋体" w:cs="宋体"/>
                <w:color w:val="auto"/>
                <w:sz w:val="24"/>
                <w:szCs w:val="24"/>
                <w:highlight w:val="none"/>
                <w:u w:val="single"/>
                <w:lang w:eastAsia="zh-CN"/>
              </w:rPr>
              <w:t xml:space="preserve">江苏省常州技师学院消防控制中心及监控网络改造提升服务项目</w:t>
            </w:r>
            <w:r>
              <w:rPr>
                <w:rFonts w:hint="eastAsia" w:ascii="宋体" w:hAnsi="宋体" w:eastAsia="宋体" w:cs="宋体"/>
                <w:color w:val="auto"/>
                <w:sz w:val="24"/>
                <w:szCs w:val="24"/>
                <w:highlight w:val="none"/>
              </w:rPr>
              <w:t xml:space="preserve">情况，已现场踏勘，已充分了解项目实际情况，并知晓所有风险因素。</w:t>
            </w:r>
            <w:r/>
          </w:p>
          <w:p>
            <w:pPr>
              <w:ind w:firstLine="240"/>
              <w:jc w:val="center"/>
              <w:spacing w:line="435"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435"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单位项目负责人（签字）：</w:t>
            </w:r>
            <w:r/>
          </w:p>
        </w:tc>
      </w:tr>
      <w:tr>
        <w:trPr>
          <w:jc w:val="center"/>
          <w:trHeight w:val="963"/>
        </w:trPr>
        <w:tc>
          <w:tcPr>
            <w:gridSpan w:val="2"/>
            <w:shd w:val="clear" w:color="auto" w:fill="auto"/>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4410"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投标单位（公章）：</w:t>
            </w:r>
            <w:r/>
          </w:p>
        </w:tc>
        <w:tc>
          <w:tcPr>
            <w:gridSpan w:val="2"/>
            <w:shd w:val="clear" w:color="auto" w:fill="auto"/>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4410"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采购单位：江苏省常州技师学院</w:t>
            </w:r>
            <w:r/>
          </w:p>
        </w:tc>
      </w:tr>
      <w:tr>
        <w:trPr>
          <w:jc w:val="center"/>
          <w:trHeight w:val="898"/>
        </w:trPr>
        <w:tc>
          <w:tcPr>
            <w:shd w:val="clear" w:color="auto" w:fill="auto"/>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w:t>
            </w:r>
            <w:r>
              <w:rPr>
                <w:rFonts w:hint="eastAsia" w:ascii="宋体" w:hAnsi="宋体" w:eastAsia="宋体" w:cs="宋体"/>
                <w:color w:val="auto"/>
                <w:sz w:val="24"/>
                <w:szCs w:val="24"/>
                <w:highlight w:val="none"/>
                <w:lang w:val="en-US" w:eastAsia="zh-CN"/>
              </w:rPr>
              <w:t xml:space="preserve">踏勘</w:t>
            </w:r>
            <w:r>
              <w:rPr>
                <w:rFonts w:hint="eastAsia" w:ascii="宋体" w:hAnsi="宋体" w:eastAsia="宋体" w:cs="宋体"/>
                <w:color w:val="auto"/>
                <w:sz w:val="24"/>
                <w:szCs w:val="24"/>
                <w:highlight w:val="none"/>
              </w:rPr>
              <w:t xml:space="preserve">人员</w:t>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w:t>
            </w:r>
            <w:r>
              <w:rPr>
                <w:rFonts w:hint="eastAsia" w:ascii="宋体" w:hAnsi="宋体" w:eastAsia="宋体" w:cs="宋体"/>
                <w:color w:val="auto"/>
                <w:sz w:val="24"/>
                <w:szCs w:val="24"/>
                <w:highlight w:val="none"/>
                <w:lang w:eastAsia="zh-CN"/>
              </w:rPr>
              <w:t xml:space="preserve">）</w:t>
            </w:r>
            <w:r/>
          </w:p>
        </w:tc>
        <w:tc>
          <w:tcPr>
            <w:shd w:val="clear" w:color="auto" w:fill="auto"/>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20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采购单位确认</w:t>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（签字）</w:t>
            </w:r>
            <w:r/>
          </w:p>
        </w:tc>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205" w:type="dxa"/>
            <w:vAlign w:val="center"/>
            <w:textDirection w:val="lrTb"/>
            <w:noWrap w:val="false"/>
          </w:tcPr>
          <w:p>
            <w:pPr>
              <w:jc w:val="center"/>
              <w:spacing w:line="435" w:lineRule="atLeas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98"/>
        </w:trPr>
        <w:tc>
          <w:tcPr>
            <w:shd w:val="clear" w:color="auto" w:fill="auto"/>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20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联系电话</w:t>
            </w:r>
            <w:r/>
          </w:p>
        </w:tc>
        <w:tc>
          <w:tcPr>
            <w:shd w:val="clear" w:color="auto" w:fill="auto"/>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20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20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踏勘</w:t>
            </w:r>
            <w:r>
              <w:rPr>
                <w:rFonts w:hint="eastAsia" w:ascii="宋体" w:hAnsi="宋体" w:eastAsia="宋体" w:cs="宋体"/>
                <w:color w:val="auto"/>
                <w:sz w:val="24"/>
                <w:szCs w:val="24"/>
                <w:highlight w:val="none"/>
              </w:rPr>
              <w:t xml:space="preserve">日期</w:t>
            </w:r>
            <w:r/>
          </w:p>
        </w:tc>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205" w:type="dxa"/>
            <w:vAlign w:val="center"/>
            <w:textDirection w:val="lrTb"/>
            <w:noWrap w:val="false"/>
          </w:tcPr>
          <w:p>
            <w:pPr>
              <w:jc w:val="center"/>
              <w:spacing w:line="435" w:lineRule="atLeas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965"/>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205" w:type="dxa"/>
            <w:vAlign w:val="center"/>
            <w:textDirection w:val="lrTb"/>
            <w:noWrap w:val="false"/>
          </w:tcPr>
          <w:p>
            <w:pPr>
              <w:ind w:right="210"/>
              <w:jc w:val="center"/>
              <w:spacing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615" w:type="dxa"/>
            <w:vAlign w:val="center"/>
            <w:textDirection w:val="lrTb"/>
            <w:noWrap w:val="false"/>
          </w:tcPr>
          <w:p>
            <w:pPr>
              <w:ind w:right="210"/>
              <w:jc w:val="center"/>
              <w:spacing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35" w:lineRule="atLeast"/>
        <w:shd w:val="clear" w:color="auto" w:fill="ffffff"/>
        <w:widowControl/>
        <w:rPr>
          <w:color w:val="auto"/>
          <w:sz w:val="24"/>
          <w:szCs w:val="20"/>
          <w:highlight w:val="none"/>
        </w:rPr>
      </w:pPr>
      <w:r>
        <w:rPr>
          <w:rFonts w:hint="eastAsia" w:ascii="宋体" w:hAnsi="宋体" w:cs="宋体"/>
          <w:b/>
          <w:bCs/>
          <w:color w:val="auto"/>
          <w:sz w:val="24"/>
          <w:highlight w:val="none"/>
        </w:rPr>
        <w:t xml:space="preserve">注：1.</w:t>
      </w:r>
      <w:r>
        <w:rPr>
          <w:rFonts w:hint="eastAsia" w:ascii="宋体" w:hAnsi="宋体" w:cs="宋体"/>
          <w:b/>
          <w:bCs/>
          <w:color w:val="auto"/>
          <w:sz w:val="24"/>
          <w:highlight w:val="none"/>
          <w:shd w:val="clear" w:color="auto" w:fill="ffffff"/>
        </w:rPr>
        <w:t xml:space="preserve">编制投标文件时，请将本表扫描上传。</w:t>
      </w:r>
      <w:r/>
    </w:p>
    <w:p>
      <w:pPr>
        <w:numPr>
          <w:ilvl w:val="0"/>
          <w:numId w:val="0"/>
        </w:numPr>
        <w:ind w:firstLine="480"/>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rPr>
        <w:t xml:space="preserve">本项目所涉及到的各个系统都需接入学校智慧校园平台，且需要提供完整对接方案，内容包括各个系统对接、数据对接、身份认证对接；考虑到系统的复杂性，为保证项目建设的质量，投标人应通过现场踏勘充分理解采购需求，因未充分了解项目需求造成遗漏报价等情况由投标人承担责任。若不踏勘，则不得以未踏勘现场为由向采购人提出其他任何要求。</w:t>
      </w:r>
      <w:r/>
    </w:p>
    <w:p>
      <w:pPr>
        <w:ind w:firstLine="241"/>
        <w:spacing w:line="360" w:lineRule="auto"/>
        <w:rPr>
          <w:color w:val="auto"/>
          <w:sz w:val="24"/>
          <w:szCs w:val="20"/>
          <w:highlight w:val="none"/>
        </w:rPr>
        <w:outlineLvl w:val="2"/>
      </w:pPr>
      <w:r>
        <w:rPr>
          <w:rFonts w:hint="eastAsia" w:ascii="宋体" w:hAnsi="宋体" w:eastAsia="宋体" w:cs="宋体"/>
          <w:b/>
          <w:bCs/>
          <w:color w:val="auto"/>
          <w:sz w:val="24"/>
          <w:szCs w:val="20"/>
          <w:highlight w:val="none"/>
          <w:lang w:val="en-US" w:eastAsia="zh-CN"/>
        </w:rPr>
        <w:t xml:space="preserve">  3.参与踏勘人员须现场提交以下材料加盖供应商公章：授权委托书、</w:t>
      </w:r>
      <w:r>
        <w:rPr>
          <w:rFonts w:hint="eastAsia" w:ascii="宋体" w:hAnsi="宋体" w:cs="宋体"/>
          <w:b/>
          <w:bCs/>
          <w:color w:val="auto"/>
          <w:sz w:val="24"/>
          <w:szCs w:val="20"/>
          <w:highlight w:val="none"/>
          <w:lang w:val="en-US" w:eastAsia="zh-CN"/>
        </w:rPr>
        <w:t xml:space="preserve">被</w:t>
      </w:r>
      <w:r>
        <w:rPr>
          <w:rFonts w:hint="eastAsia" w:ascii="宋体" w:hAnsi="宋体" w:eastAsia="宋体" w:cs="宋体"/>
          <w:b/>
          <w:bCs/>
          <w:color w:val="auto"/>
          <w:sz w:val="24"/>
          <w:szCs w:val="20"/>
          <w:highlight w:val="none"/>
          <w:lang w:val="en-US" w:eastAsia="zh-CN"/>
        </w:rPr>
        <w:t xml:space="preserve">授权人身份证原件及复印件、法定代表人身份证复印件、报名成功确认函。</w:t>
      </w:r>
      <w:r>
        <w:rPr>
          <w:color w:val="auto"/>
          <w:sz w:val="24"/>
          <w:szCs w:val="20"/>
          <w:highlight w:val="none"/>
        </w:rPr>
        <w:br w:type="page" w:clear="all"/>
      </w:r>
      <w:r/>
    </w:p>
    <w:p>
      <w:pPr>
        <w:spacing w:line="360" w:lineRule="auto"/>
        <w:rPr>
          <w:color w:val="auto"/>
          <w:sz w:val="24"/>
          <w:szCs w:val="20"/>
          <w:highlight w:val="none"/>
        </w:rPr>
        <w:outlineLvl w:val="2"/>
      </w:pPr>
      <w:r>
        <w:rPr>
          <w:rFonts w:hint="eastAsia"/>
          <w:color w:val="auto"/>
          <w:sz w:val="24"/>
          <w:szCs w:val="20"/>
          <w:highlight w:val="none"/>
        </w:rPr>
        <w:t xml:space="preserve">1</w:t>
      </w:r>
      <w:r>
        <w:rPr>
          <w:rFonts w:hint="eastAsia"/>
          <w:color w:val="auto"/>
          <w:sz w:val="24"/>
          <w:szCs w:val="20"/>
          <w:highlight w:val="none"/>
          <w:lang w:val="en-US" w:eastAsia="zh-CN"/>
        </w:rPr>
        <w:t xml:space="preserve">6</w:t>
      </w:r>
      <w:r>
        <w:rPr>
          <w:rFonts w:hint="eastAsia"/>
          <w:color w:val="auto"/>
          <w:sz w:val="24"/>
          <w:szCs w:val="20"/>
          <w:highlight w:val="none"/>
        </w:rPr>
        <w:t xml:space="preserve"> 磋商文件要求提供或供应商认为应附的其他材料</w:t>
      </w:r>
      <w:r/>
    </w:p>
    <w:p>
      <w:pPr>
        <w:pStyle w:val="1047"/>
        <w:rPr>
          <w:color w:val="auto"/>
          <w:highlight w:val="none"/>
        </w:rPr>
      </w:pPr>
      <w:r>
        <w:rPr>
          <w:color w:val="auto"/>
          <w:highlight w:val="none"/>
        </w:rPr>
        <w:br w:type="page" w:clear="all"/>
      </w:r>
      <w:r/>
    </w:p>
    <w:p>
      <w:pPr>
        <w:jc w:val="center"/>
        <w:keepLines/>
        <w:keepNext/>
        <w:spacing w:before="120" w:line="300" w:lineRule="auto"/>
        <w:rPr>
          <w:rFonts w:ascii="黑体" w:hAnsi="黑体" w:eastAsia="黑体"/>
          <w:b/>
          <w:color w:val="auto"/>
          <w:spacing w:val="20"/>
          <w:sz w:val="32"/>
          <w:szCs w:val="32"/>
          <w:highlight w:val="none"/>
        </w:rPr>
        <w:outlineLvl w:val="1"/>
      </w:pPr>
      <w:r>
        <w:rPr>
          <w:rFonts w:hint="eastAsia" w:ascii="黑体" w:hAnsi="黑体" w:eastAsia="黑体"/>
          <w:b/>
          <w:color w:val="auto"/>
          <w:spacing w:val="20"/>
          <w:sz w:val="32"/>
          <w:szCs w:val="32"/>
          <w:highlight w:val="none"/>
        </w:rPr>
        <w:t xml:space="preserve">投标（响应）文件通用模版编制和评审要求</w:t>
      </w:r>
      <w:r/>
    </w:p>
    <w:p>
      <w:pPr>
        <w:spacing w:line="460" w:lineRule="exact"/>
        <w:rPr>
          <w:rFonts w:ascii="宋体" w:hAnsi="宋体"/>
          <w:bCs/>
          <w:color w:val="auto"/>
          <w:sz w:val="24"/>
          <w:highlight w:val="none"/>
        </w:rPr>
      </w:pPr>
      <w:r>
        <w:rPr>
          <w:rFonts w:hint="eastAsia" w:ascii="宋体" w:hAnsi="宋体"/>
          <w:b/>
          <w:color w:val="auto"/>
          <w:sz w:val="24"/>
          <w:highlight w:val="none"/>
        </w:rPr>
        <w:t xml:space="preserve">（</w:t>
      </w:r>
      <w:r>
        <w:rPr>
          <w:rFonts w:hint="eastAsia" w:ascii="宋体" w:hAnsi="宋体" w:cs="宋体"/>
          <w:b/>
          <w:bCs/>
          <w:color w:val="auto"/>
          <w:sz w:val="24"/>
          <w:highlight w:val="none"/>
        </w:rPr>
        <w:t xml:space="preserve">本表为</w:t>
      </w:r>
      <w:r>
        <w:rPr>
          <w:rFonts w:hint="eastAsia" w:ascii="宋体" w:hAnsi="宋体" w:cs="宋体"/>
          <w:b/>
          <w:bCs/>
          <w:color w:val="auto"/>
          <w:sz w:val="24"/>
          <w:highlight w:val="none"/>
          <w:u w:val="single"/>
        </w:rPr>
        <w:t xml:space="preserve">通用格式</w:t>
      </w:r>
      <w:r>
        <w:rPr>
          <w:rFonts w:hint="eastAsia" w:ascii="宋体" w:hAnsi="宋体" w:cs="宋体"/>
          <w:b/>
          <w:bCs/>
          <w:color w:val="auto"/>
          <w:sz w:val="24"/>
          <w:highlight w:val="none"/>
        </w:rPr>
        <w:t xml:space="preserve">，项目采购文件</w:t>
      </w:r>
      <w:r>
        <w:rPr>
          <w:rFonts w:hint="eastAsia" w:ascii="宋体" w:hAnsi="宋体" w:cs="宋体"/>
          <w:b/>
          <w:bCs/>
          <w:color w:val="auto"/>
          <w:sz w:val="24"/>
          <w:highlight w:val="none"/>
          <w:u w:val="single"/>
        </w:rPr>
        <w:t xml:space="preserve">可能会根据实际情况对栏目作出调整，</w:t>
      </w:r>
      <w:r>
        <w:rPr>
          <w:rFonts w:hint="eastAsia" w:ascii="宋体" w:hAnsi="宋体" w:cs="宋体"/>
          <w:b/>
          <w:bCs/>
          <w:color w:val="auto"/>
          <w:sz w:val="24"/>
          <w:highlight w:val="none"/>
        </w:rPr>
        <w:t xml:space="preserve">供应商</w:t>
      </w:r>
      <w:r>
        <w:rPr>
          <w:rFonts w:hint="eastAsia" w:ascii="宋体" w:hAnsi="宋体" w:cs="宋体"/>
          <w:b/>
          <w:bCs/>
          <w:color w:val="auto"/>
          <w:sz w:val="24"/>
          <w:highlight w:val="none"/>
          <w:u w:val="single"/>
        </w:rPr>
        <w:t xml:space="preserve">按照制作工具显示的栏目编制即可</w:t>
      </w:r>
      <w:r>
        <w:rPr>
          <w:rFonts w:hint="eastAsia" w:ascii="宋体" w:hAnsi="宋体"/>
          <w:b/>
          <w:color w:val="auto"/>
          <w:sz w:val="24"/>
          <w:highlight w:val="none"/>
        </w:rPr>
        <w:t xml:space="preserve">）</w:t>
      </w:r>
      <w:r/>
    </w:p>
    <w:tbl>
      <w:tblPr>
        <w:tblStyle w:val="1040"/>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2946"/>
        <w:gridCol w:w="5316"/>
      </w:tblGrid>
      <w:tr>
        <w:trPr>
          <w:trHeight w:val="405"/>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类型</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栏目名称</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编制和评审要求</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投标（响应）文件封面</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按照招标（采购）文件的规定格式。(格式见</w:t>
            </w:r>
            <w:r>
              <w:rPr>
                <w:rFonts w:hint="eastAsia" w:ascii="宋体" w:hAnsi="宋体" w:cs="宋体"/>
                <w:bCs/>
                <w:color w:val="auto"/>
                <w:highlight w:val="none"/>
              </w:rPr>
              <w:t xml:space="preserve">《投标（响应）文件格式》</w:t>
            </w:r>
            <w:r>
              <w:rPr>
                <w:rFonts w:hint="eastAsia" w:ascii="宋体" w:hAnsi="宋体" w:cs="宋体"/>
                <w:color w:val="auto"/>
                <w:highlight w:val="none"/>
              </w:rPr>
              <w:t xml:space="preserve">)</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开标一览表（报价一览表）</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《开标一览表（报价一览表）》</w:t>
            </w:r>
            <w:r>
              <w:rPr>
                <w:rFonts w:hint="eastAsia" w:ascii="宋体" w:hAnsi="宋体" w:cs="宋体"/>
                <w:color w:val="auto"/>
                <w:highlight w:val="none"/>
              </w:rPr>
              <w:t xml:space="preserve">。(格式见《投标（响应）文件格式》)</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技术要求响应及偏离表</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《技术要求响应及偏离表》</w:t>
            </w:r>
            <w:r>
              <w:rPr>
                <w:rFonts w:hint="eastAsia" w:ascii="宋体" w:hAnsi="宋体" w:cs="宋体"/>
                <w:color w:val="auto"/>
                <w:highlight w:val="none"/>
              </w:rPr>
              <w:t xml:space="preserve">。(格式见《投标（响应）文件格式》)</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商务要求响应及偏离表</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《商务要求响应及偏离表》</w:t>
            </w:r>
            <w:r>
              <w:rPr>
                <w:rFonts w:hint="eastAsia" w:ascii="宋体" w:hAnsi="宋体" w:cs="宋体"/>
                <w:color w:val="auto"/>
                <w:highlight w:val="none"/>
              </w:rPr>
              <w:t xml:space="preserve">。(格式见《投标（响应）文件格式》)</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项目完整技术和实施方案</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投标人（供应商）资格声明函</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《投标人（供应商）资格声明函》</w:t>
            </w:r>
            <w:r>
              <w:rPr>
                <w:rFonts w:hint="eastAsia" w:ascii="宋体" w:hAnsi="宋体" w:cs="宋体"/>
                <w:color w:val="auto"/>
                <w:highlight w:val="none"/>
              </w:rPr>
              <w:t xml:space="preserve">。(格式见《投标（响应）文件格式》)</w:t>
            </w:r>
            <w:r/>
          </w:p>
        </w:tc>
      </w:tr>
      <w:tr>
        <w:trPr>
          <w:trHeight w:val="216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highlight w:val="none"/>
              </w:rPr>
              <w:t xml:space="preserve">中小企业声明函等</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《中小企业声明函》或者《残疾人福利性单位声明函》或者监狱企业证明文件</w:t>
            </w:r>
            <w:r>
              <w:rPr>
                <w:rFonts w:hint="eastAsia" w:ascii="宋体" w:hAnsi="宋体" w:cs="宋体"/>
                <w:color w:val="auto"/>
                <w:highlight w:val="none"/>
              </w:rPr>
              <w:t xml:space="preserve">。(格式见《投标（响应）文件格式》)</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其他落实政府采购政策的资格要求</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如有的提供，否则无需提供。详见第一章《投标（竞谈、磋商、询价）邀请》相关要求。</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是否接受联合体投标（响应）</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如是接受联合体投标（响应），且投标人（供应商）组成联合体投标（响应）的必须提供</w:t>
            </w:r>
            <w:r>
              <w:rPr>
                <w:rFonts w:hint="eastAsia" w:ascii="宋体" w:hAnsi="宋体" w:cs="宋体"/>
                <w:b/>
                <w:bCs/>
                <w:color w:val="auto"/>
                <w:highlight w:val="none"/>
              </w:rPr>
              <w:t xml:space="preserve">《联合体协议》</w:t>
            </w:r>
            <w:r>
              <w:rPr>
                <w:rFonts w:hint="eastAsia" w:ascii="宋体" w:hAnsi="宋体" w:cs="宋体"/>
                <w:color w:val="auto"/>
                <w:highlight w:val="none"/>
              </w:rPr>
              <w:t xml:space="preserve">原件的电子件，格式见《投标（响应）文件格式》)，否则无需提供。</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本项目的特定资格要求</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如有特定资格要求的提供，详见第一章《投标（竞谈、磋商、询价）邀请》本项目的特定资格要求中规定要求提供的证明文件或材料，否则无需提供。</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法人授权书、投标（响应）函</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按招标（采购）文件要求提供</w:t>
            </w:r>
            <w:r>
              <w:rPr>
                <w:rFonts w:hint="eastAsia" w:ascii="宋体" w:hAnsi="宋体" w:cs="宋体"/>
                <w:b/>
                <w:bCs/>
                <w:color w:val="auto"/>
                <w:highlight w:val="none"/>
              </w:rPr>
              <w:t xml:space="preserve">《法人授权书》</w:t>
            </w:r>
            <w:r>
              <w:rPr>
                <w:rFonts w:hint="eastAsia" w:ascii="宋体" w:hAnsi="宋体" w:cs="宋体"/>
                <w:color w:val="auto"/>
                <w:highlight w:val="none"/>
              </w:rPr>
              <w:t xml:space="preserve">、</w:t>
            </w:r>
            <w:r>
              <w:rPr>
                <w:rFonts w:hint="eastAsia" w:ascii="宋体" w:hAnsi="宋体" w:cs="宋体"/>
                <w:b/>
                <w:bCs/>
                <w:color w:val="auto"/>
                <w:highlight w:val="none"/>
              </w:rPr>
              <w:t xml:space="preserve">《投标（响应）函》</w:t>
            </w:r>
            <w:r>
              <w:rPr>
                <w:rFonts w:hint="eastAsia" w:ascii="宋体" w:hAnsi="宋体" w:cs="宋体"/>
                <w:color w:val="auto"/>
                <w:highlight w:val="none"/>
              </w:rPr>
              <w:t xml:space="preserve">。(格式见《投标（响应）文件格式》)</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投标（响应）报价</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报价唯一性</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投标（响应）文件未出现可选择性或可调整的报价（招标（采购）文件另有规定的除外）；提供</w:t>
            </w:r>
            <w:r>
              <w:rPr>
                <w:rFonts w:hint="eastAsia" w:ascii="宋体" w:hAnsi="宋体" w:cs="宋体"/>
                <w:b/>
                <w:bCs/>
                <w:color w:val="auto"/>
                <w:highlight w:val="none"/>
              </w:rPr>
              <w:t xml:space="preserve">《分项报价表》</w:t>
            </w:r>
            <w:r>
              <w:rPr>
                <w:rFonts w:hint="eastAsia" w:ascii="宋体" w:hAnsi="宋体" w:cs="宋体"/>
                <w:color w:val="auto"/>
                <w:highlight w:val="none"/>
              </w:rPr>
              <w:t xml:space="preserve">。(格式见《投标（响应）文件格式》)</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报价合理性</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报价的修正（如有）</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由评委审查，无需供应商提供材料。不涉及报价修正，或投标（响应）文件报价出现前后不一致时，投标人（供应商）对修正后的报价予以确认。</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投标有效期</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投标文件中承诺的投标有效期满足招标文件中载明的投标有效期的；</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签署、加盖公章</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由评委审查，无需供应商提供材料。按照招标（采购）文件要求签署、加盖公章的。</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进口产品（如有）</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由评委审查，无需供应商提供材料。招标（采购）文件不接受进口产品投标的内容时，投标人（供应商）所投产品均为非进口产品。</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投标完整性</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由评委审查，无需供应商提供材料。投标人（供应商）未将一个采购包中的内容拆开投标。</w:t>
            </w:r>
            <w:r/>
          </w:p>
        </w:tc>
      </w:tr>
      <w:tr>
        <w:trPr>
          <w:trHeight w:val="135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公平竞争</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国家有关部门对投标产品有强制性规定或要求的（如有）</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附加条件</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由评委审查，无需供应商提供材料。投标（响应）文件未含有采购人不能接受的附加条件的。</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其他无效情形</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由评委审查，无需供应商提供材料。投标人（供应商）、投标（响应）文件不存在不符合法律、法规和招标（采购）文件规定的其他无效情形。</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实质性条款响应1</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实质性条款响应2</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综合评审评分项</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bl>
    <w:p>
      <w:pPr>
        <w:rPr>
          <w:color w:val="auto"/>
          <w:highlight w:val="none"/>
        </w:rPr>
      </w:pPr>
      <w:r>
        <w:rPr>
          <w:color w:val="auto"/>
          <w:highlight w:val="none"/>
        </w:rPr>
      </w:r>
      <w:r/>
    </w:p>
    <w:p>
      <w:pPr>
        <w:spacing w:line="360" w:lineRule="auto"/>
        <w:rPr>
          <w:color w:val="auto"/>
          <w:sz w:val="24"/>
          <w:szCs w:val="20"/>
          <w:highlight w:val="none"/>
        </w:rPr>
        <w:outlineLvl w:val="2"/>
      </w:pPr>
      <w:r>
        <w:rPr>
          <w:color w:val="auto"/>
          <w:sz w:val="24"/>
          <w:szCs w:val="20"/>
          <w:highlight w:val="none"/>
        </w:rPr>
      </w:r>
      <w:r/>
    </w:p>
    <w:sectPr>
      <w:footerReference w:type="even" r:id="rId21"/>
      <w:footnotePr/>
      <w:endnotePr/>
      <w:type w:val="nextPage"/>
      <w:pgSz w:w="11906" w:h="16838" w:orient="portrait"/>
      <w:pgMar w:top="1440" w:right="1558" w:bottom="1276" w:left="1560" w:header="851" w:footer="35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Segoe UI Symbol">
    <w:panose1 w:val="020B0502040204020203"/>
  </w:font>
  <w:font w:name="Cambria Math">
    <w:panose1 w:val="02040503050406030204"/>
  </w:font>
  <w:font w:name="MS Gothic">
    <w:panose1 w:val="020B0609070205080204"/>
  </w:font>
  <w:font w:name="CESI黑体-GB2312">
    <w:panose1 w:val="020B0503020202020204"/>
  </w:font>
  <w:font w:name="Wingdings">
    <w:panose1 w:val="05000000000000000000"/>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w:r/>
  </w:p>
  <w:p>
    <w:pPr>
      <w:pStyle w:val="10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rPr>
        <w:rStyle w:val="1076"/>
      </w:rPr>
    </w:pPr>
    <w:r>
      <w:fldChar w:fldCharType="begin"/>
    </w:r>
    <w:r>
      <w:rPr>
        <w:rStyle w:val="1076"/>
      </w:rPr>
      <w:instrText xml:space="preserve">PAGE  </w:instrText>
    </w:r>
    <w:r>
      <w:fldChar w:fldCharType="end"/>
    </w:r>
    <w:r/>
  </w:p>
  <w:p>
    <w:pPr>
      <w:pStyle w:val="10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w:t xml:space="preserve">第</w:t>
    </w:r>
    <w:sdt>
      <w:sdtPr>
        <w15:appearance w15:val="boundingBox"/>
        <w:id w:val="-734386518"/>
        <w:docPartObj>
          <w:docPartGallery w:val="autotext"/>
        </w:docPartObj>
        <w:rPr/>
      </w:sdtPr>
      <w:sdtContent>
        <w:sdt>
          <w:sdtPr>
            <w15:appearance w15:val="boundingBox"/>
            <w:id w:val="-1533494649"/>
            <w:docPartObj>
              <w:docPartGallery w:val="autotext"/>
            </w:docPartObj>
            <w:rPr/>
          </w:sdtPr>
          <w:sdtContent>
            <w:r>
              <w:rPr>
                <w:lang w:val="zh-CN"/>
              </w:rPr>
              <w:t xml:space="preserve"> </w:t>
            </w:r>
            <w:r>
              <w:fldChar w:fldCharType="begin"/>
            </w:r>
            <w:r>
              <w:instrText xml:space="preserve">PAGE</w:instrText>
            </w:r>
            <w:r>
              <w:fldChar w:fldCharType="separate"/>
            </w:r>
            <w:r>
              <w:t xml:space="preserve">68</w:t>
            </w:r>
            <w:r>
              <w:fldChar w:fldCharType="end"/>
            </w:r>
            <w:r>
              <w:rPr>
                <w:lang w:val="zh-CN"/>
              </w:rPr>
              <w:t xml:space="preserve"> 页，共</w:t>
            </w:r>
            <w:r>
              <w:rPr>
                <w:rFonts w:hint="eastAsia"/>
                <w:lang w:val="en-US" w:eastAsia="zh-CN"/>
              </w:rPr>
              <w:t xml:space="preserve">104</w:t>
            </w:r>
            <w:r>
              <w:rPr>
                <w:rFonts w:hint="eastAsia"/>
              </w:rPr>
              <w:t xml:space="preserve">页</w:t>
            </w:r>
          </w:sdtContent>
        </w:sdt>
      </w:sdtContent>
    </w:sd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w:t xml:space="preserve">第</w:t>
    </w:r>
    <w:sdt>
      <w:sdtPr>
        <w15:appearance w15:val="boundingBox"/>
        <w:id w:val="-1370300769"/>
        <w:docPartObj>
          <w:docPartGallery w:val="autotext"/>
        </w:docPartObj>
        <w:rPr/>
      </w:sdtPr>
      <w:sdtContent>
        <w:sdt>
          <w:sdtPr>
            <w15:appearance w15:val="boundingBox"/>
            <w:id w:val="-1669238322"/>
            <w:docPartObj>
              <w:docPartGallery w:val="autotext"/>
            </w:docPartObj>
            <w:rPr/>
          </w:sdtPr>
          <w:sdtContent>
            <w:r>
              <w:rPr>
                <w:lang w:val="zh-CN"/>
              </w:rPr>
              <w:t xml:space="preserve"> </w:t>
            </w:r>
            <w:r>
              <w:fldChar w:fldCharType="begin"/>
            </w:r>
            <w:r>
              <w:instrText xml:space="preserve">PAGE</w:instrText>
            </w:r>
            <w:r>
              <w:fldChar w:fldCharType="separate"/>
            </w:r>
            <w:r>
              <w:t xml:space="preserve">1</w:t>
            </w:r>
            <w:r>
              <w:fldChar w:fldCharType="end"/>
            </w:r>
            <w:r>
              <w:rPr>
                <w:lang w:val="zh-CN"/>
              </w:rPr>
              <w:t xml:space="preserve"> 页，共 </w:t>
            </w:r>
            <w:r>
              <w:rPr>
                <w:rFonts w:hint="eastAsia"/>
                <w:lang w:val="en-US" w:eastAsia="zh-CN"/>
              </w:rPr>
              <w:t xml:space="preserve">104</w:t>
            </w:r>
            <w:r>
              <w:rPr>
                <w:rFonts w:hint="eastAsia"/>
              </w:rPr>
              <w:t xml:space="preserve">页</w:t>
            </w:r>
          </w:sdtContent>
        </w:sdt>
      </w:sdtContent>
    </w:sd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rPr>
        <w:rStyle w:val="1076"/>
      </w:rPr>
    </w:pPr>
    <w:r>
      <w:rPr>
        <w:rStyle w:val="1076"/>
      </w:rPr>
      <w:fldChar w:fldCharType="begin"/>
    </w:r>
    <w:r>
      <w:rPr>
        <w:rStyle w:val="1076"/>
      </w:rPr>
      <w:instrText xml:space="preserve">PAGE  </w:instrText>
    </w:r>
    <w:r>
      <w:rPr>
        <w:rStyle w:val="1076"/>
      </w:rPr>
      <w:fldChar w:fldCharType="end"/>
    </w:r>
    <w:r/>
  </w:p>
  <w:p>
    <w:pPr>
      <w:pStyle w:val="105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rPr>
        <w:rStyle w:val="1076"/>
      </w:rPr>
    </w:pPr>
    <w:r>
      <w:rPr>
        <w:rStyle w:val="1076"/>
      </w:rPr>
      <w:fldChar w:fldCharType="begin"/>
    </w:r>
    <w:r>
      <w:rPr>
        <w:rStyle w:val="1076"/>
      </w:rPr>
      <w:instrText xml:space="preserve">PAGE  </w:instrText>
    </w:r>
    <w:r>
      <w:rPr>
        <w:rStyle w:val="1076"/>
      </w:rPr>
      <w:fldChar w:fldCharType="end"/>
    </w:r>
    <w:r/>
  </w:p>
  <w:p>
    <w:pPr>
      <w:pStyle w:val="105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rPr>
        <w:rStyle w:val="1076"/>
      </w:rPr>
    </w:pPr>
    <w:r>
      <w:rPr>
        <w:rStyle w:val="1076"/>
      </w:rPr>
      <w:fldChar w:fldCharType="begin"/>
    </w:r>
    <w:r>
      <w:rPr>
        <w:rStyle w:val="1076"/>
      </w:rPr>
      <w:instrText xml:space="preserve">PAGE  </w:instrText>
    </w:r>
    <w:r>
      <w:rPr>
        <w:rStyle w:val="1076"/>
      </w:rPr>
      <w:fldChar w:fldCharType="end"/>
    </w:r>
    <w:r/>
  </w:p>
  <w:p>
    <w:pPr>
      <w:pStyle w:val="105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rPr>
        <w:rStyle w:val="1076"/>
      </w:rPr>
    </w:pPr>
    <w:r>
      <w:rPr>
        <w:rStyle w:val="1076"/>
      </w:rPr>
      <w:fldChar w:fldCharType="begin"/>
    </w:r>
    <w:r>
      <w:rPr>
        <w:rStyle w:val="1076"/>
      </w:rPr>
      <w:instrText xml:space="preserve">PAGE  </w:instrText>
    </w:r>
    <w:r>
      <w:rPr>
        <w:rStyle w:val="1076"/>
      </w:rPr>
      <w:fldChar w:fldCharType="end"/>
    </w:r>
    <w:r/>
  </w:p>
  <w:p>
    <w:pPr>
      <w:pStyle w:val="10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1871980</wp:posOffset>
              </wp:positionH>
              <wp:positionV relativeFrom="paragraph">
                <wp:posOffset>-96520</wp:posOffset>
              </wp:positionV>
              <wp:extent cx="2016760" cy="204470"/>
              <wp:effectExtent l="0" t="0" r="2540" b="5080"/>
              <wp:wrapTopAndBottom/>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47.4pt;mso-position-horizontal:absolute;mso-position-vertical-relative:text;margin-top:-7.6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1823085</wp:posOffset>
              </wp:positionH>
              <wp:positionV relativeFrom="paragraph">
                <wp:posOffset>-113665</wp:posOffset>
              </wp:positionV>
              <wp:extent cx="2016760" cy="204470"/>
              <wp:effectExtent l="0" t="0" r="2540" b="5080"/>
              <wp:wrapTopAndBottom/>
              <wp:docPr id="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3.5pt;mso-position-horizontal:absolute;mso-position-vertical-relative:text;margin-top:-8.9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1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lowerLetter"/>
      <w:isLgl w:val="false"/>
      <w:suff w:val="tab"/>
      <w:lvlText w:val="%2."/>
      <w:lvlJc w:val="left"/>
      <w:pPr>
        <w:ind w:left="840" w:hanging="420"/>
        <w:tabs>
          <w:tab w:val="left" w:pos="840" w:leader="none"/>
        </w:tabs>
      </w:pPr>
      <w:rPr>
        <w:rFonts w:hint="default"/>
      </w:rPr>
    </w:lvl>
    <w:lvl w:ilvl="2">
      <w:start w:val="1"/>
      <w:numFmt w:val="lowerLetter"/>
      <w:isLgl w:val="false"/>
      <w:suff w:val="tab"/>
      <w:lvlText w:val="%3)"/>
      <w:lvlJc w:val="left"/>
      <w:pPr>
        <w:ind w:left="1260" w:hanging="420"/>
        <w:tabs>
          <w:tab w:val="left" w:pos="1260" w:leader="none"/>
        </w:tabs>
      </w:pPr>
      <w:rPr>
        <w:rFonts w:hint="default"/>
      </w:rPr>
    </w:lvl>
    <w:lvl w:ilvl="3">
      <w:start w:val="1"/>
      <w:numFmt w:val="lowerRoman"/>
      <w:isLgl w:val="false"/>
      <w:suff w:val="tab"/>
      <w:lvlText w:val="%4."/>
      <w:lvlJc w:val="left"/>
      <w:pPr>
        <w:ind w:left="1680" w:hanging="420"/>
        <w:tabs>
          <w:tab w:val="left" w:pos="1680" w:leader="none"/>
        </w:tabs>
      </w:pPr>
      <w:rPr>
        <w:rFonts w:hint="default"/>
      </w:rPr>
    </w:lvl>
    <w:lvl w:ilvl="4">
      <w:start w:val="1"/>
      <w:numFmt w:val="lowerRoman"/>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Letter"/>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Roman"/>
      <w:isLgl w:val="false"/>
      <w:suff w:val="tab"/>
      <w:lvlText w:val="%9)"/>
      <w:lvlJc w:val="left"/>
      <w:pPr>
        <w:ind w:left="3780" w:hanging="420"/>
        <w:tabs>
          <w:tab w:val="left" w:pos="3780" w:leader="none"/>
        </w:tabs>
      </w:pPr>
      <w:rPr>
        <w:rFonts w:hint="default"/>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2098" w:hanging="794"/>
        <w:tabs>
          <w:tab w:val="left" w:pos="1417"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7">
    <w:multiLevelType w:val="hybridMultilevel"/>
    <w:lvl w:ilvl="0">
      <w:start w:val="1"/>
      <w:numFmt w:val="decimal"/>
      <w:pStyle w:val="114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lowerLetter"/>
      <w:pStyle w:val="1224"/>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194"/>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43"/>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42"/>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79"/>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78"/>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87"/>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00"/>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63"/>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1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2">
    <w:multiLevelType w:val="hybridMultilevel"/>
    <w:lvl w:ilvl="0">
      <w:start w:val="1"/>
      <w:numFmt w:val="decimal"/>
      <w:isLgl w:val="false"/>
      <w:suff w:val="tab"/>
      <w:lvlText w:val="%1"/>
      <w:lvlJc w:val="left"/>
      <w:pPr>
        <w:ind w:left="4445" w:hanging="900"/>
        <w:tabs>
          <w:tab w:val="left" w:pos="4445"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pStyle w:val="1148"/>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680" w:hanging="680"/>
      </w:pPr>
      <w:rPr>
        <w:rFonts w:hint="eastAsia" w:ascii="宋体" w:hAnsi="宋体" w:eastAsia="宋体"/>
      </w:rPr>
    </w:lvl>
    <w:lvl w:ilvl="1">
      <w:start w:val="1"/>
      <w:numFmt w:val="decimal"/>
      <w:isLgl w:val="false"/>
      <w:suff w:val="tab"/>
      <w:lvlText w:val="%1.%2"/>
      <w:lvlJc w:val="left"/>
      <w:pPr>
        <w:ind w:left="851" w:hanging="851"/>
      </w:pPr>
      <w:rPr>
        <w:rFonts w:hint="eastAsia" w:ascii="宋体" w:hAnsi="宋体" w:eastAsia="宋体"/>
        <w:color w:val="auto"/>
      </w:rPr>
    </w:lvl>
    <w:lvl w:ilvl="2">
      <w:start w:val="1"/>
      <w:numFmt w:val="decimal"/>
      <w:pStyle w:val="125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5">
    <w:multiLevelType w:val="hybridMultilevel"/>
    <w:lvl w:ilvl="0">
      <w:start w:val="1"/>
      <w:numFmt w:val="decimal"/>
      <w:isLgl w:val="false"/>
      <w:suff w:val="nothing"/>
      <w:lvlText w:val="%1）"/>
      <w:lvlJc w:val="left"/>
      <w:pPr/>
    </w:lvl>
    <w:lvl w:ilvl="1">
      <w:start w:val="1"/>
      <w:numFmt w:val="lowerLetter"/>
      <w:isLgl w:val="false"/>
      <w:suff w:val="tab"/>
      <w:lvlText w:val="%2."/>
      <w:lvlJc w:val="left"/>
      <w:pPr>
        <w:ind w:left="840" w:hanging="420"/>
        <w:tabs>
          <w:tab w:val="left" w:pos="840" w:leader="none"/>
        </w:tabs>
      </w:pPr>
      <w:rPr>
        <w:rFonts w:hint="default"/>
      </w:rPr>
    </w:lvl>
    <w:lvl w:ilvl="2">
      <w:start w:val="1"/>
      <w:numFmt w:val="lowerLetter"/>
      <w:isLgl w:val="false"/>
      <w:suff w:val="tab"/>
      <w:lvlText w:val="%3)"/>
      <w:lvlJc w:val="left"/>
      <w:pPr>
        <w:ind w:left="1260" w:hanging="420"/>
        <w:tabs>
          <w:tab w:val="left" w:pos="1260" w:leader="none"/>
        </w:tabs>
      </w:pPr>
      <w:rPr>
        <w:rFonts w:hint="default"/>
      </w:rPr>
    </w:lvl>
    <w:lvl w:ilvl="3">
      <w:start w:val="1"/>
      <w:numFmt w:val="lowerRoman"/>
      <w:isLgl w:val="false"/>
      <w:suff w:val="tab"/>
      <w:lvlText w:val="%4."/>
      <w:lvlJc w:val="left"/>
      <w:pPr>
        <w:ind w:left="1680" w:hanging="420"/>
        <w:tabs>
          <w:tab w:val="left" w:pos="1680" w:leader="none"/>
        </w:tabs>
      </w:pPr>
      <w:rPr>
        <w:rFonts w:hint="default"/>
      </w:rPr>
    </w:lvl>
    <w:lvl w:ilvl="4">
      <w:start w:val="1"/>
      <w:numFmt w:val="lowerRoman"/>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Letter"/>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Roman"/>
      <w:isLgl w:val="false"/>
      <w:suff w:val="tab"/>
      <w:lvlText w:val="%9)"/>
      <w:lvlJc w:val="left"/>
      <w:pPr>
        <w:ind w:left="3780" w:hanging="420"/>
        <w:tabs>
          <w:tab w:val="left" w:pos="3780" w:leader="none"/>
        </w:tabs>
      </w:pPr>
      <w:rPr>
        <w:rFonts w:hint="default"/>
      </w:rPr>
    </w:lvl>
  </w:abstractNum>
  <w:num w:numId="1">
    <w:abstractNumId w:val="10"/>
  </w:num>
  <w:num w:numId="2">
    <w:abstractNumId w:val="13"/>
  </w:num>
  <w:num w:numId="3">
    <w:abstractNumId w:val="7"/>
  </w:num>
  <w:num w:numId="4">
    <w:abstractNumId w:val="11"/>
  </w:num>
  <w:num w:numId="5">
    <w:abstractNumId w:val="9"/>
  </w:num>
  <w:num w:numId="6">
    <w:abstractNumId w:val="8"/>
  </w:num>
  <w:num w:numId="7">
    <w:abstractNumId w:val="14"/>
  </w:num>
  <w:num w:numId="8">
    <w:abstractNumId w:val="12"/>
  </w:num>
  <w:num w:numId="9">
    <w:abstractNumId w:val="6"/>
  </w:num>
  <w:num w:numId="10">
    <w:abstractNumId w:val="5"/>
  </w:num>
  <w:num w:numId="11">
    <w:abstractNumId w:val="1"/>
  </w:num>
  <w:num w:numId="12">
    <w:abstractNumId w:val="4"/>
  </w:num>
  <w:num w:numId="13">
    <w:abstractNumId w:val="0"/>
  </w:num>
  <w:num w:numId="14">
    <w:abstractNumId w:val="15"/>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6">
    <w:name w:val="Heading 1 Char"/>
    <w:basedOn w:val="1039"/>
    <w:link w:val="1030"/>
    <w:uiPriority w:val="9"/>
    <w:rPr>
      <w:rFonts w:ascii="Arial" w:hAnsi="Arial" w:eastAsia="Arial" w:cs="Arial"/>
      <w:sz w:val="40"/>
      <w:szCs w:val="40"/>
    </w:rPr>
  </w:style>
  <w:style w:type="character" w:styleId="877">
    <w:name w:val="Heading 2 Char"/>
    <w:basedOn w:val="1039"/>
    <w:link w:val="1031"/>
    <w:uiPriority w:val="9"/>
    <w:rPr>
      <w:rFonts w:ascii="Arial" w:hAnsi="Arial" w:eastAsia="Arial" w:cs="Arial"/>
      <w:sz w:val="34"/>
    </w:rPr>
  </w:style>
  <w:style w:type="character" w:styleId="878">
    <w:name w:val="Heading 3 Char"/>
    <w:basedOn w:val="1039"/>
    <w:link w:val="1032"/>
    <w:uiPriority w:val="9"/>
    <w:rPr>
      <w:rFonts w:ascii="Arial" w:hAnsi="Arial" w:eastAsia="Arial" w:cs="Arial"/>
      <w:sz w:val="30"/>
      <w:szCs w:val="30"/>
    </w:rPr>
  </w:style>
  <w:style w:type="character" w:styleId="879">
    <w:name w:val="Heading 4 Char"/>
    <w:basedOn w:val="1039"/>
    <w:link w:val="1033"/>
    <w:uiPriority w:val="9"/>
    <w:rPr>
      <w:rFonts w:ascii="Arial" w:hAnsi="Arial" w:eastAsia="Arial" w:cs="Arial"/>
      <w:b/>
      <w:bCs/>
      <w:sz w:val="26"/>
      <w:szCs w:val="26"/>
    </w:rPr>
  </w:style>
  <w:style w:type="character" w:styleId="880">
    <w:name w:val="Heading 5 Char"/>
    <w:basedOn w:val="1039"/>
    <w:link w:val="1034"/>
    <w:uiPriority w:val="9"/>
    <w:rPr>
      <w:rFonts w:ascii="Arial" w:hAnsi="Arial" w:eastAsia="Arial" w:cs="Arial"/>
      <w:b/>
      <w:bCs/>
      <w:sz w:val="24"/>
      <w:szCs w:val="24"/>
    </w:rPr>
  </w:style>
  <w:style w:type="character" w:styleId="881">
    <w:name w:val="Heading 6 Char"/>
    <w:basedOn w:val="1039"/>
    <w:link w:val="1035"/>
    <w:uiPriority w:val="9"/>
    <w:rPr>
      <w:rFonts w:ascii="Arial" w:hAnsi="Arial" w:eastAsia="Arial" w:cs="Arial"/>
      <w:b/>
      <w:bCs/>
      <w:sz w:val="22"/>
      <w:szCs w:val="22"/>
    </w:rPr>
  </w:style>
  <w:style w:type="character" w:styleId="882">
    <w:name w:val="Heading 7 Char"/>
    <w:basedOn w:val="1039"/>
    <w:link w:val="1036"/>
    <w:uiPriority w:val="9"/>
    <w:rPr>
      <w:rFonts w:ascii="Arial" w:hAnsi="Arial" w:eastAsia="Arial" w:cs="Arial"/>
      <w:b/>
      <w:bCs/>
      <w:i/>
      <w:iCs/>
      <w:sz w:val="22"/>
      <w:szCs w:val="22"/>
    </w:rPr>
  </w:style>
  <w:style w:type="character" w:styleId="883">
    <w:name w:val="Heading 8 Char"/>
    <w:basedOn w:val="1039"/>
    <w:link w:val="1037"/>
    <w:uiPriority w:val="9"/>
    <w:rPr>
      <w:rFonts w:ascii="Arial" w:hAnsi="Arial" w:eastAsia="Arial" w:cs="Arial"/>
      <w:i/>
      <w:iCs/>
      <w:sz w:val="22"/>
      <w:szCs w:val="22"/>
    </w:rPr>
  </w:style>
  <w:style w:type="character" w:styleId="884">
    <w:name w:val="Heading 9 Char"/>
    <w:basedOn w:val="1039"/>
    <w:link w:val="1038"/>
    <w:uiPriority w:val="9"/>
    <w:rPr>
      <w:rFonts w:ascii="Arial" w:hAnsi="Arial" w:eastAsia="Arial" w:cs="Arial"/>
      <w:i/>
      <w:iCs/>
      <w:sz w:val="21"/>
      <w:szCs w:val="21"/>
    </w:rPr>
  </w:style>
  <w:style w:type="paragraph" w:styleId="885">
    <w:name w:val="No Spacing"/>
    <w:uiPriority w:val="1"/>
    <w:qFormat/>
    <w:pPr>
      <w:spacing w:before="0" w:after="0" w:line="240" w:lineRule="auto"/>
    </w:pPr>
  </w:style>
  <w:style w:type="character" w:styleId="886">
    <w:name w:val="Title Char"/>
    <w:basedOn w:val="1039"/>
    <w:link w:val="1070"/>
    <w:uiPriority w:val="10"/>
    <w:rPr>
      <w:sz w:val="48"/>
      <w:szCs w:val="48"/>
    </w:rPr>
  </w:style>
  <w:style w:type="paragraph" w:styleId="887">
    <w:name w:val="Subtitle"/>
    <w:basedOn w:val="1029"/>
    <w:next w:val="1029"/>
    <w:link w:val="888"/>
    <w:uiPriority w:val="11"/>
    <w:qFormat/>
    <w:pPr>
      <w:spacing w:before="200" w:after="200"/>
    </w:pPr>
    <w:rPr>
      <w:sz w:val="24"/>
      <w:szCs w:val="24"/>
    </w:rPr>
  </w:style>
  <w:style w:type="character" w:styleId="888">
    <w:name w:val="Subtitle Char"/>
    <w:basedOn w:val="1039"/>
    <w:link w:val="887"/>
    <w:uiPriority w:val="11"/>
    <w:rPr>
      <w:sz w:val="24"/>
      <w:szCs w:val="24"/>
    </w:rPr>
  </w:style>
  <w:style w:type="paragraph" w:styleId="889">
    <w:name w:val="Quote"/>
    <w:basedOn w:val="1029"/>
    <w:next w:val="1029"/>
    <w:link w:val="890"/>
    <w:uiPriority w:val="29"/>
    <w:qFormat/>
    <w:pPr>
      <w:ind w:left="720" w:right="720"/>
    </w:pPr>
    <w:rPr>
      <w:i/>
    </w:rPr>
  </w:style>
  <w:style w:type="character" w:styleId="890">
    <w:name w:val="Quote Char"/>
    <w:link w:val="889"/>
    <w:uiPriority w:val="29"/>
    <w:rPr>
      <w:i/>
    </w:rPr>
  </w:style>
  <w:style w:type="paragraph" w:styleId="891">
    <w:name w:val="Intense Quote"/>
    <w:basedOn w:val="1029"/>
    <w:next w:val="1029"/>
    <w:link w:val="8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name w:val="Intense Quote Char"/>
    <w:link w:val="891"/>
    <w:uiPriority w:val="30"/>
    <w:rPr>
      <w:i/>
    </w:rPr>
  </w:style>
  <w:style w:type="character" w:styleId="893">
    <w:name w:val="Header Char"/>
    <w:basedOn w:val="1039"/>
    <w:link w:val="1059"/>
    <w:uiPriority w:val="99"/>
  </w:style>
  <w:style w:type="character" w:styleId="894">
    <w:name w:val="Footer Char"/>
    <w:basedOn w:val="1039"/>
    <w:link w:val="1058"/>
    <w:uiPriority w:val="99"/>
  </w:style>
  <w:style w:type="character" w:styleId="895">
    <w:name w:val="Caption Char"/>
    <w:basedOn w:val="1043"/>
    <w:link w:val="1058"/>
    <w:uiPriority w:val="99"/>
  </w:style>
  <w:style w:type="table" w:styleId="896">
    <w:name w:val="Table Grid Light"/>
    <w:basedOn w:val="10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7">
    <w:name w:val="Plain Table 1"/>
    <w:basedOn w:val="10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2"/>
    <w:basedOn w:val="10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3"/>
    <w:basedOn w:val="10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name w:val="Plain Table 4"/>
    <w:basedOn w:val="10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name w:val="Plain Table 5"/>
    <w:basedOn w:val="10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2">
    <w:name w:val="Grid Table 1 Light"/>
    <w:basedOn w:val="10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3">
    <w:name w:val="Grid Table 1 Light - Accent 1"/>
    <w:basedOn w:val="10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4">
    <w:name w:val="Grid Table 1 Light - Accent 2"/>
    <w:basedOn w:val="10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5">
    <w:name w:val="Grid Table 1 Light - Accent 3"/>
    <w:basedOn w:val="10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6">
    <w:name w:val="Grid Table 1 Light - Accent 4"/>
    <w:basedOn w:val="10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7">
    <w:name w:val="Grid Table 1 Light - Accent 5"/>
    <w:basedOn w:val="10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8">
    <w:name w:val="Grid Table 1 Light - Accent 6"/>
    <w:basedOn w:val="10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9">
    <w:name w:val="Grid Table 2"/>
    <w:basedOn w:val="10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0">
    <w:name w:val="Grid Table 2 - Accent 1"/>
    <w:basedOn w:val="10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1">
    <w:name w:val="Grid Table 2 - Accent 2"/>
    <w:basedOn w:val="10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2 - Accent 3"/>
    <w:basedOn w:val="10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2 - Accent 4"/>
    <w:basedOn w:val="10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2 - Accent 5"/>
    <w:basedOn w:val="10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5">
    <w:name w:val="Grid Table 2 - Accent 6"/>
    <w:basedOn w:val="10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6">
    <w:name w:val="Grid Table 3"/>
    <w:basedOn w:val="10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1"/>
    <w:basedOn w:val="10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2"/>
    <w:basedOn w:val="10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3"/>
    <w:basedOn w:val="10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4"/>
    <w:basedOn w:val="10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5"/>
    <w:basedOn w:val="10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6"/>
    <w:basedOn w:val="10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4"/>
    <w:basedOn w:val="10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name w:val="Grid Table 4 - Accent 1"/>
    <w:basedOn w:val="10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5">
    <w:name w:val="Grid Table 4 - Accent 2"/>
    <w:basedOn w:val="10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6">
    <w:name w:val="Grid Table 4 - Accent 3"/>
    <w:basedOn w:val="10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7">
    <w:name w:val="Grid Table 4 - Accent 4"/>
    <w:basedOn w:val="10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8">
    <w:name w:val="Grid Table 4 - Accent 5"/>
    <w:basedOn w:val="10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9">
    <w:name w:val="Grid Table 4 - Accent 6"/>
    <w:basedOn w:val="10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0">
    <w:name w:val="Grid Table 5 Dark"/>
    <w:basedOn w:val="10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1">
    <w:name w:val="Grid Table 5 Dark- Accent 1"/>
    <w:basedOn w:val="10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2">
    <w:name w:val="Grid Table 5 Dark - Accent 2"/>
    <w:basedOn w:val="10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3">
    <w:name w:val="Grid Table 5 Dark - Accent 3"/>
    <w:basedOn w:val="10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4">
    <w:name w:val="Grid Table 5 Dark- Accent 4"/>
    <w:basedOn w:val="10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5">
    <w:name w:val="Grid Table 5 Dark - Accent 5"/>
    <w:basedOn w:val="10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6">
    <w:name w:val="Grid Table 5 Dark - Accent 6"/>
    <w:basedOn w:val="10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7">
    <w:name w:val="Grid Table 6 Colorful"/>
    <w:basedOn w:val="10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8">
    <w:name w:val="Grid Table 6 Colorful - Accent 1"/>
    <w:basedOn w:val="10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9">
    <w:name w:val="Grid Table 6 Colorful - Accent 2"/>
    <w:basedOn w:val="10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0">
    <w:name w:val="Grid Table 6 Colorful - Accent 3"/>
    <w:basedOn w:val="10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1">
    <w:name w:val="Grid Table 6 Colorful - Accent 4"/>
    <w:basedOn w:val="10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2">
    <w:name w:val="Grid Table 6 Colorful - Accent 5"/>
    <w:basedOn w:val="10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3">
    <w:name w:val="Grid Table 6 Colorful - Accent 6"/>
    <w:basedOn w:val="10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7 Colorful"/>
    <w:basedOn w:val="10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5">
    <w:name w:val="Grid Table 7 Colorful - Accent 1"/>
    <w:basedOn w:val="10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6">
    <w:name w:val="Grid Table 7 Colorful - Accent 2"/>
    <w:basedOn w:val="10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7 Colorful - Accent 3"/>
    <w:basedOn w:val="10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7 Colorful - Accent 4"/>
    <w:basedOn w:val="10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7 Colorful - Accent 5"/>
    <w:basedOn w:val="10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0">
    <w:name w:val="Grid Table 7 Colorful - Accent 6"/>
    <w:basedOn w:val="10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1">
    <w:name w:val="List Table 1 Light"/>
    <w:basedOn w:val="10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name w:val="List Table 1 Light - Accent 1"/>
    <w:basedOn w:val="104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3">
    <w:name w:val="List Table 1 Light - Accent 2"/>
    <w:basedOn w:val="104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4">
    <w:name w:val="List Table 1 Light - Accent 3"/>
    <w:basedOn w:val="104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5">
    <w:name w:val="List Table 1 Light - Accent 4"/>
    <w:basedOn w:val="104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6">
    <w:name w:val="List Table 1 Light - Accent 5"/>
    <w:basedOn w:val="104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7">
    <w:name w:val="List Table 1 Light - Accent 6"/>
    <w:basedOn w:val="104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8">
    <w:name w:val="List Table 2"/>
    <w:basedOn w:val="10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9">
    <w:name w:val="List Table 2 - Accent 1"/>
    <w:basedOn w:val="10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0">
    <w:name w:val="List Table 2 - Accent 2"/>
    <w:basedOn w:val="10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1">
    <w:name w:val="List Table 2 - Accent 3"/>
    <w:basedOn w:val="10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2">
    <w:name w:val="List Table 2 - Accent 4"/>
    <w:basedOn w:val="10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3">
    <w:name w:val="List Table 2 - Accent 5"/>
    <w:basedOn w:val="10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4">
    <w:name w:val="List Table 2 - Accent 6"/>
    <w:basedOn w:val="10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5">
    <w:name w:val="List Table 3"/>
    <w:basedOn w:val="10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6">
    <w:name w:val="List Table 3 - Accent 1"/>
    <w:basedOn w:val="10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7">
    <w:name w:val="List Table 3 - Accent 2"/>
    <w:basedOn w:val="10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8">
    <w:name w:val="List Table 3 - Accent 3"/>
    <w:basedOn w:val="10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9">
    <w:name w:val="List Table 3 - Accent 4"/>
    <w:basedOn w:val="10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0">
    <w:name w:val="List Table 3 - Accent 5"/>
    <w:basedOn w:val="10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1">
    <w:name w:val="List Table 3 - Accent 6"/>
    <w:basedOn w:val="10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2">
    <w:name w:val="List Table 4"/>
    <w:basedOn w:val="10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3">
    <w:name w:val="List Table 4 - Accent 1"/>
    <w:basedOn w:val="10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4">
    <w:name w:val="List Table 4 - Accent 2"/>
    <w:basedOn w:val="10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5">
    <w:name w:val="List Table 4 - Accent 3"/>
    <w:basedOn w:val="10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6">
    <w:name w:val="List Table 4 - Accent 4"/>
    <w:basedOn w:val="10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7">
    <w:name w:val="List Table 4 - Accent 5"/>
    <w:basedOn w:val="10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8">
    <w:name w:val="List Table 4 - Accent 6"/>
    <w:basedOn w:val="10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9">
    <w:name w:val="List Table 5 Dark"/>
    <w:basedOn w:val="10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1"/>
    <w:basedOn w:val="10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2"/>
    <w:basedOn w:val="10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3"/>
    <w:basedOn w:val="10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4"/>
    <w:basedOn w:val="10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5"/>
    <w:basedOn w:val="10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6"/>
    <w:basedOn w:val="10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6 Colorful"/>
    <w:basedOn w:val="10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7">
    <w:name w:val="List Table 6 Colorful - Accent 1"/>
    <w:basedOn w:val="10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8">
    <w:name w:val="List Table 6 Colorful - Accent 2"/>
    <w:basedOn w:val="10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9">
    <w:name w:val="List Table 6 Colorful - Accent 3"/>
    <w:basedOn w:val="10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0">
    <w:name w:val="List Table 6 Colorful - Accent 4"/>
    <w:basedOn w:val="10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1">
    <w:name w:val="List Table 6 Colorful - Accent 5"/>
    <w:basedOn w:val="10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2">
    <w:name w:val="List Table 6 Colorful - Accent 6"/>
    <w:basedOn w:val="10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3">
    <w:name w:val="List Table 7 Colorful"/>
    <w:basedOn w:val="10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4">
    <w:name w:val="List Table 7 Colorful - Accent 1"/>
    <w:basedOn w:val="10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5">
    <w:name w:val="List Table 7 Colorful - Accent 2"/>
    <w:basedOn w:val="10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6">
    <w:name w:val="List Table 7 Colorful - Accent 3"/>
    <w:basedOn w:val="10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7">
    <w:name w:val="List Table 7 Colorful - Accent 4"/>
    <w:basedOn w:val="10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8">
    <w:name w:val="List Table 7 Colorful - Accent 5"/>
    <w:basedOn w:val="10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9">
    <w:name w:val="List Table 7 Colorful - Accent 6"/>
    <w:basedOn w:val="10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0">
    <w:name w:val="Lined - Accent"/>
    <w:basedOn w:val="10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1">
    <w:name w:val="Lined - Accent 1"/>
    <w:basedOn w:val="10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2">
    <w:name w:val="Lined - Accent 2"/>
    <w:basedOn w:val="10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3">
    <w:name w:val="Lined - Accent 3"/>
    <w:basedOn w:val="10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4">
    <w:name w:val="Lined - Accent 4"/>
    <w:basedOn w:val="10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5">
    <w:name w:val="Lined - Accent 5"/>
    <w:basedOn w:val="10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6">
    <w:name w:val="Lined - Accent 6"/>
    <w:basedOn w:val="10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7">
    <w:name w:val="Bordered &amp; Lined - Accent"/>
    <w:basedOn w:val="10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8">
    <w:name w:val="Bordered &amp; Lined - Accent 1"/>
    <w:basedOn w:val="10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9">
    <w:name w:val="Bordered &amp; Lined - Accent 2"/>
    <w:basedOn w:val="10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0">
    <w:name w:val="Bordered &amp; Lined - Accent 3"/>
    <w:basedOn w:val="10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1">
    <w:name w:val="Bordered &amp; Lined - Accent 4"/>
    <w:basedOn w:val="10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2">
    <w:name w:val="Bordered &amp; Lined - Accent 5"/>
    <w:basedOn w:val="10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3">
    <w:name w:val="Bordered &amp; Lined - Accent 6"/>
    <w:basedOn w:val="10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4">
    <w:name w:val="Bordered"/>
    <w:basedOn w:val="10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5">
    <w:name w:val="Bordered - Accent 1"/>
    <w:basedOn w:val="10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6">
    <w:name w:val="Bordered - Accent 2"/>
    <w:basedOn w:val="10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7">
    <w:name w:val="Bordered - Accent 3"/>
    <w:basedOn w:val="10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8">
    <w:name w:val="Bordered - Accent 4"/>
    <w:basedOn w:val="10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9">
    <w:name w:val="Bordered - Accent 5"/>
    <w:basedOn w:val="10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0">
    <w:name w:val="Bordered - Accent 6"/>
    <w:basedOn w:val="10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21">
    <w:name w:val="footnote text"/>
    <w:basedOn w:val="1029"/>
    <w:link w:val="1022"/>
    <w:uiPriority w:val="99"/>
    <w:semiHidden/>
    <w:unhideWhenUsed/>
    <w:pPr>
      <w:spacing w:after="40" w:line="240" w:lineRule="auto"/>
    </w:pPr>
    <w:rPr>
      <w:sz w:val="18"/>
    </w:rPr>
  </w:style>
  <w:style w:type="character" w:styleId="1022">
    <w:name w:val="Footnote Text Char"/>
    <w:link w:val="1021"/>
    <w:uiPriority w:val="99"/>
    <w:rPr>
      <w:sz w:val="18"/>
    </w:rPr>
  </w:style>
  <w:style w:type="character" w:styleId="1023">
    <w:name w:val="footnote reference"/>
    <w:basedOn w:val="1039"/>
    <w:uiPriority w:val="99"/>
    <w:unhideWhenUsed/>
    <w:rPr>
      <w:vertAlign w:val="superscript"/>
    </w:rPr>
  </w:style>
  <w:style w:type="paragraph" w:styleId="1024">
    <w:name w:val="endnote text"/>
    <w:basedOn w:val="1029"/>
    <w:link w:val="1025"/>
    <w:uiPriority w:val="99"/>
    <w:semiHidden/>
    <w:unhideWhenUsed/>
    <w:pPr>
      <w:spacing w:after="0" w:line="240" w:lineRule="auto"/>
    </w:pPr>
    <w:rPr>
      <w:sz w:val="20"/>
    </w:rPr>
  </w:style>
  <w:style w:type="character" w:styleId="1025">
    <w:name w:val="Endnote Text Char"/>
    <w:link w:val="1024"/>
    <w:uiPriority w:val="99"/>
    <w:rPr>
      <w:sz w:val="20"/>
    </w:rPr>
  </w:style>
  <w:style w:type="character" w:styleId="1026">
    <w:name w:val="endnote reference"/>
    <w:basedOn w:val="1039"/>
    <w:uiPriority w:val="99"/>
    <w:semiHidden/>
    <w:unhideWhenUsed/>
    <w:rPr>
      <w:vertAlign w:val="superscript"/>
    </w:rPr>
  </w:style>
  <w:style w:type="paragraph" w:styleId="1027">
    <w:name w:val="TOC Heading"/>
    <w:uiPriority w:val="39"/>
    <w:unhideWhenUsed/>
  </w:style>
  <w:style w:type="paragraph" w:styleId="1028">
    <w:name w:val="table of figures"/>
    <w:basedOn w:val="1029"/>
    <w:next w:val="1029"/>
    <w:uiPriority w:val="99"/>
    <w:unhideWhenUsed/>
    <w:pPr>
      <w:spacing w:after="0" w:afterAutospacing="0"/>
    </w:pPr>
  </w:style>
  <w:style w:type="paragraph" w:styleId="102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30">
    <w:name w:val="Heading 1"/>
    <w:basedOn w:val="1029"/>
    <w:next w:val="1029"/>
    <w:link w:val="1085"/>
    <w:uiPriority w:val="0"/>
    <w:qFormat/>
    <w:pPr>
      <w:jc w:val="center"/>
      <w:keepLines/>
      <w:keepNext/>
      <w:spacing w:before="240" w:after="120" w:line="300" w:lineRule="auto"/>
      <w:outlineLvl w:val="0"/>
    </w:pPr>
    <w:rPr>
      <w:rFonts w:ascii="宋体"/>
      <w:b/>
      <w:sz w:val="32"/>
      <w:szCs w:val="20"/>
    </w:rPr>
  </w:style>
  <w:style w:type="paragraph" w:styleId="1031">
    <w:name w:val="Heading 2"/>
    <w:basedOn w:val="1029"/>
    <w:next w:val="1029"/>
    <w:link w:val="1087"/>
    <w:uiPriority w:val="0"/>
    <w:qFormat/>
    <w:pPr>
      <w:jc w:val="center"/>
      <w:keepLines/>
      <w:keepNext/>
      <w:spacing w:before="120" w:line="300" w:lineRule="auto"/>
      <w:outlineLvl w:val="1"/>
    </w:pPr>
    <w:rPr>
      <w:rFonts w:ascii="Arial" w:hAnsi="Arial" w:eastAsia="黑体"/>
      <w:b/>
      <w:sz w:val="30"/>
      <w:szCs w:val="20"/>
    </w:rPr>
  </w:style>
  <w:style w:type="paragraph" w:styleId="1032">
    <w:name w:val="Heading 3"/>
    <w:basedOn w:val="1029"/>
    <w:next w:val="1041"/>
    <w:link w:val="1088"/>
    <w:uiPriority w:val="0"/>
    <w:qFormat/>
    <w:pPr>
      <w:jc w:val="left"/>
      <w:keepLines/>
      <w:keepNext/>
      <w:spacing w:before="360" w:after="120"/>
      <w:outlineLvl w:val="2"/>
    </w:pPr>
    <w:rPr>
      <w:rFonts w:ascii="宋体"/>
      <w:b/>
      <w:sz w:val="24"/>
      <w:szCs w:val="20"/>
      <w:u w:val="single"/>
    </w:rPr>
  </w:style>
  <w:style w:type="paragraph" w:styleId="1033">
    <w:name w:val="Heading 4"/>
    <w:basedOn w:val="1029"/>
    <w:next w:val="1029"/>
    <w:link w:val="1089"/>
    <w:uiPriority w:val="0"/>
    <w:qFormat/>
    <w:pPr>
      <w:keepLines/>
      <w:keepNext/>
      <w:spacing w:before="280" w:after="290" w:line="376" w:lineRule="atLeast"/>
      <w:outlineLvl w:val="3"/>
    </w:pPr>
    <w:rPr>
      <w:rFonts w:ascii="Arial" w:hAnsi="Arial" w:eastAsia="黑体"/>
      <w:b/>
      <w:sz w:val="28"/>
      <w:szCs w:val="20"/>
    </w:rPr>
  </w:style>
  <w:style w:type="paragraph" w:styleId="1034">
    <w:name w:val="Heading 5"/>
    <w:basedOn w:val="1029"/>
    <w:next w:val="1029"/>
    <w:link w:val="1090"/>
    <w:uiPriority w:val="0"/>
    <w:qFormat/>
    <w:pPr>
      <w:keepLines/>
      <w:keepNext/>
      <w:spacing w:before="280" w:after="290" w:line="376" w:lineRule="atLeast"/>
      <w:outlineLvl w:val="4"/>
    </w:pPr>
    <w:rPr>
      <w:b/>
      <w:sz w:val="28"/>
      <w:szCs w:val="20"/>
    </w:rPr>
  </w:style>
  <w:style w:type="paragraph" w:styleId="1035">
    <w:name w:val="Heading 6"/>
    <w:basedOn w:val="1029"/>
    <w:next w:val="1029"/>
    <w:link w:val="1091"/>
    <w:uiPriority w:val="0"/>
    <w:qFormat/>
    <w:pPr>
      <w:keepLines/>
      <w:keepNext/>
      <w:spacing w:before="240" w:after="64" w:line="320" w:lineRule="atLeast"/>
      <w:outlineLvl w:val="5"/>
    </w:pPr>
    <w:rPr>
      <w:rFonts w:ascii="Arial" w:hAnsi="Arial" w:eastAsia="黑体"/>
      <w:b/>
      <w:sz w:val="24"/>
      <w:szCs w:val="20"/>
    </w:rPr>
  </w:style>
  <w:style w:type="paragraph" w:styleId="1036">
    <w:name w:val="Heading 7"/>
    <w:basedOn w:val="1029"/>
    <w:next w:val="1029"/>
    <w:link w:val="1092"/>
    <w:uiPriority w:val="0"/>
    <w:qFormat/>
    <w:pPr>
      <w:keepLines/>
      <w:keepNext/>
      <w:spacing w:before="240" w:after="64" w:line="320" w:lineRule="atLeast"/>
      <w:outlineLvl w:val="6"/>
    </w:pPr>
    <w:rPr>
      <w:b/>
      <w:sz w:val="24"/>
      <w:szCs w:val="20"/>
    </w:rPr>
  </w:style>
  <w:style w:type="paragraph" w:styleId="1037">
    <w:name w:val="Heading 8"/>
    <w:basedOn w:val="1029"/>
    <w:next w:val="1029"/>
    <w:link w:val="1093"/>
    <w:uiPriority w:val="0"/>
    <w:qFormat/>
    <w:pPr>
      <w:keepLines/>
      <w:keepNext/>
      <w:spacing w:before="240" w:after="64" w:line="320" w:lineRule="atLeast"/>
      <w:outlineLvl w:val="7"/>
    </w:pPr>
    <w:rPr>
      <w:rFonts w:ascii="Arial" w:hAnsi="Arial" w:eastAsia="黑体"/>
      <w:sz w:val="24"/>
      <w:szCs w:val="20"/>
    </w:rPr>
  </w:style>
  <w:style w:type="paragraph" w:styleId="1038">
    <w:name w:val="Heading 9"/>
    <w:basedOn w:val="1029"/>
    <w:next w:val="1029"/>
    <w:link w:val="1094"/>
    <w:uiPriority w:val="0"/>
    <w:qFormat/>
    <w:pPr>
      <w:keepLines/>
      <w:keepNext/>
      <w:spacing w:before="240" w:after="64" w:line="320" w:lineRule="atLeast"/>
      <w:outlineLvl w:val="8"/>
    </w:pPr>
    <w:rPr>
      <w:rFonts w:ascii="Arial" w:hAnsi="Arial" w:eastAsia="黑体"/>
      <w:szCs w:val="20"/>
    </w:rPr>
  </w:style>
  <w:style w:type="character" w:styleId="1039" w:default="1">
    <w:name w:val="Default Paragraph Font"/>
    <w:uiPriority w:val="1"/>
    <w:unhideWhenUsed/>
    <w:qFormat/>
  </w:style>
  <w:style w:type="table" w:styleId="1040" w:default="1">
    <w:name w:val="Normal Table"/>
    <w:uiPriority w:val="99"/>
    <w:semiHidden/>
    <w:unhideWhenUsed/>
    <w:qFormat/>
    <w:tblPr>
      <w:tblCellMar>
        <w:left w:w="108" w:type="dxa"/>
        <w:top w:w="0" w:type="dxa"/>
        <w:right w:w="108" w:type="dxa"/>
        <w:bottom w:w="0" w:type="dxa"/>
      </w:tblCellMar>
    </w:tblPr>
  </w:style>
  <w:style w:type="paragraph" w:styleId="1041">
    <w:name w:val="Normal Indent"/>
    <w:basedOn w:val="1029"/>
    <w:link w:val="1086"/>
    <w:uiPriority w:val="0"/>
    <w:qFormat/>
    <w:pPr>
      <w:ind w:firstLine="420"/>
      <w:jc w:val="left"/>
    </w:pPr>
    <w:rPr>
      <w:rFonts w:ascii="宋体"/>
      <w:sz w:val="24"/>
    </w:rPr>
  </w:style>
  <w:style w:type="paragraph" w:styleId="1042">
    <w:name w:val="toc 7"/>
    <w:basedOn w:val="1029"/>
    <w:next w:val="1029"/>
    <w:uiPriority w:val="0"/>
    <w:qFormat/>
    <w:pPr>
      <w:ind w:left="2520"/>
    </w:pPr>
  </w:style>
  <w:style w:type="paragraph" w:styleId="1043">
    <w:name w:val="Caption"/>
    <w:basedOn w:val="1029"/>
    <w:next w:val="1029"/>
    <w:uiPriority w:val="0"/>
    <w:qFormat/>
    <w:pPr>
      <w:spacing w:line="480" w:lineRule="auto"/>
    </w:pPr>
    <w:rPr>
      <w:rFonts w:ascii="华文中宋" w:hAnsi="华文中宋" w:eastAsia="华文中宋"/>
      <w:sz w:val="36"/>
      <w:szCs w:val="20"/>
    </w:rPr>
  </w:style>
  <w:style w:type="paragraph" w:styleId="1044">
    <w:name w:val="Document Map"/>
    <w:basedOn w:val="1029"/>
    <w:next w:val="1029"/>
    <w:link w:val="1099"/>
    <w:uiPriority w:val="0"/>
    <w:qFormat/>
    <w:pPr>
      <w:shd w:val="clear" w:color="auto" w:fill="000080"/>
    </w:pPr>
  </w:style>
  <w:style w:type="paragraph" w:styleId="1045">
    <w:name w:val="annotation text"/>
    <w:basedOn w:val="1029"/>
    <w:link w:val="1100"/>
    <w:uiPriority w:val="99"/>
    <w:qFormat/>
    <w:pPr>
      <w:jc w:val="left"/>
    </w:pPr>
  </w:style>
  <w:style w:type="paragraph" w:styleId="1046">
    <w:name w:val="Body Text 3"/>
    <w:basedOn w:val="1029"/>
    <w:link w:val="1102"/>
    <w:uiPriority w:val="0"/>
    <w:qFormat/>
    <w:pPr>
      <w:spacing w:after="120"/>
    </w:pPr>
    <w:rPr>
      <w:sz w:val="16"/>
      <w:szCs w:val="16"/>
    </w:rPr>
  </w:style>
  <w:style w:type="paragraph" w:styleId="1047">
    <w:name w:val="Body Text"/>
    <w:basedOn w:val="1029"/>
    <w:next w:val="1029"/>
    <w:link w:val="1084"/>
    <w:uiPriority w:val="0"/>
    <w:qFormat/>
    <w:pPr>
      <w:jc w:val="left"/>
      <w:spacing w:before="120" w:line="360" w:lineRule="auto"/>
      <w:tabs>
        <w:tab w:val="left" w:pos="0" w:leader="none"/>
      </w:tabs>
    </w:pPr>
    <w:rPr>
      <w:rFonts w:ascii="宋体" w:hAnsi="宋体"/>
      <w:sz w:val="24"/>
    </w:rPr>
  </w:style>
  <w:style w:type="paragraph" w:styleId="1048">
    <w:name w:val="Body Text Indent"/>
    <w:basedOn w:val="1029"/>
    <w:link w:val="1103"/>
    <w:uiPriority w:val="99"/>
    <w:qFormat/>
    <w:pPr>
      <w:ind w:firstLine="570"/>
      <w:spacing w:line="360" w:lineRule="auto"/>
    </w:pPr>
    <w:rPr>
      <w:sz w:val="24"/>
    </w:rPr>
  </w:style>
  <w:style w:type="paragraph" w:styleId="1049">
    <w:name w:val="List 2"/>
    <w:basedOn w:val="1029"/>
    <w:uiPriority w:val="0"/>
    <w:qFormat/>
    <w:pPr>
      <w:ind w:left="100" w:hanging="200"/>
    </w:pPr>
  </w:style>
  <w:style w:type="paragraph" w:styleId="1050">
    <w:name w:val="Block Text"/>
    <w:basedOn w:val="1029"/>
    <w:uiPriority w:val="0"/>
    <w:qFormat/>
    <w:pPr>
      <w:ind w:left="480" w:right="-341" w:firstLine="513"/>
      <w:widowControl/>
    </w:pPr>
    <w:rPr>
      <w:sz w:val="24"/>
      <w:szCs w:val="20"/>
    </w:rPr>
  </w:style>
  <w:style w:type="paragraph" w:styleId="1051">
    <w:name w:val="toc 5"/>
    <w:basedOn w:val="1029"/>
    <w:next w:val="1029"/>
    <w:uiPriority w:val="0"/>
    <w:qFormat/>
    <w:pPr>
      <w:ind w:left="1680"/>
    </w:pPr>
  </w:style>
  <w:style w:type="paragraph" w:styleId="1052">
    <w:name w:val="toc 3"/>
    <w:basedOn w:val="1029"/>
    <w:next w:val="1029"/>
    <w:uiPriority w:val="39"/>
    <w:qFormat/>
    <w:pPr>
      <w:ind w:left="840"/>
    </w:pPr>
  </w:style>
  <w:style w:type="paragraph" w:styleId="1053">
    <w:name w:val="Plain Text"/>
    <w:basedOn w:val="1029"/>
    <w:link w:val="1105"/>
    <w:uiPriority w:val="0"/>
    <w:qFormat/>
    <w:rPr>
      <w:rFonts w:hint="eastAsia" w:ascii="宋体" w:hAnsi="Courier New"/>
      <w:szCs w:val="20"/>
    </w:rPr>
  </w:style>
  <w:style w:type="paragraph" w:styleId="1054">
    <w:name w:val="toc 8"/>
    <w:basedOn w:val="1029"/>
    <w:next w:val="1029"/>
    <w:uiPriority w:val="0"/>
    <w:qFormat/>
    <w:pPr>
      <w:ind w:left="2940"/>
    </w:pPr>
  </w:style>
  <w:style w:type="paragraph" w:styleId="1055">
    <w:name w:val="Date"/>
    <w:basedOn w:val="1029"/>
    <w:next w:val="1029"/>
    <w:link w:val="1106"/>
    <w:uiPriority w:val="0"/>
    <w:qFormat/>
    <w:pPr>
      <w:ind w:left="100"/>
    </w:pPr>
    <w:rPr>
      <w:rFonts w:ascii="仿宋_GB2312" w:hAnsi="宋体" w:eastAsia="仿宋_GB2312"/>
      <w:color w:val="000000"/>
      <w:sz w:val="24"/>
    </w:rPr>
  </w:style>
  <w:style w:type="paragraph" w:styleId="1056">
    <w:name w:val="Body Text Indent 2"/>
    <w:basedOn w:val="1029"/>
    <w:link w:val="1107"/>
    <w:uiPriority w:val="0"/>
    <w:qFormat/>
    <w:pPr>
      <w:ind w:firstLine="480"/>
    </w:pPr>
    <w:rPr>
      <w:rFonts w:ascii="仿宋_GB2312" w:eastAsia="仿宋_GB2312"/>
      <w:sz w:val="24"/>
    </w:rPr>
  </w:style>
  <w:style w:type="paragraph" w:styleId="1057">
    <w:name w:val="Balloon Text"/>
    <w:basedOn w:val="1029"/>
    <w:link w:val="1108"/>
    <w:uiPriority w:val="0"/>
    <w:qFormat/>
    <w:rPr>
      <w:sz w:val="18"/>
      <w:szCs w:val="18"/>
    </w:rPr>
  </w:style>
  <w:style w:type="paragraph" w:styleId="1058">
    <w:name w:val="Footer"/>
    <w:basedOn w:val="1029"/>
    <w:link w:val="1096"/>
    <w:uiPriority w:val="99"/>
    <w:unhideWhenUsed/>
    <w:qFormat/>
    <w:pPr>
      <w:jc w:val="center"/>
      <w:tabs>
        <w:tab w:val="center" w:pos="4153" w:leader="none"/>
        <w:tab w:val="right" w:pos="8306" w:leader="none"/>
      </w:tabs>
    </w:pPr>
    <w:rPr>
      <w:rFonts w:asciiTheme="minorEastAsia" w:hAnsiTheme="minorEastAsia" w:eastAsiaTheme="minorEastAsia"/>
      <w:sz w:val="18"/>
      <w:szCs w:val="18"/>
    </w:rPr>
  </w:style>
  <w:style w:type="paragraph" w:styleId="1059">
    <w:name w:val="Header"/>
    <w:basedOn w:val="1029"/>
    <w:link w:val="109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60">
    <w:name w:val="toc 1"/>
    <w:basedOn w:val="1029"/>
    <w:next w:val="1029"/>
    <w:uiPriority w:val="39"/>
    <w:qFormat/>
    <w:pPr>
      <w:spacing w:line="300" w:lineRule="auto"/>
      <w:tabs>
        <w:tab w:val="left" w:pos="1050" w:leader="none"/>
        <w:tab w:val="right" w:pos="8937" w:leader="dot"/>
      </w:tabs>
    </w:pPr>
    <w:rPr>
      <w:rFonts w:ascii="宋体" w:hAnsi="宋体"/>
      <w:b/>
      <w:sz w:val="24"/>
    </w:rPr>
  </w:style>
  <w:style w:type="paragraph" w:styleId="1061">
    <w:name w:val="toc 4"/>
    <w:basedOn w:val="1029"/>
    <w:next w:val="1029"/>
    <w:uiPriority w:val="0"/>
    <w:qFormat/>
    <w:pPr>
      <w:ind w:left="1260"/>
    </w:pPr>
  </w:style>
  <w:style w:type="paragraph" w:styleId="1062">
    <w:name w:val="toc 6"/>
    <w:basedOn w:val="1029"/>
    <w:next w:val="1029"/>
    <w:uiPriority w:val="0"/>
    <w:qFormat/>
    <w:pPr>
      <w:ind w:left="2100"/>
    </w:pPr>
  </w:style>
  <w:style w:type="paragraph" w:styleId="1063">
    <w:name w:val="Body Text Indent 3"/>
    <w:basedOn w:val="1029"/>
    <w:link w:val="1109"/>
    <w:uiPriority w:val="0"/>
    <w:qFormat/>
    <w:pPr>
      <w:ind w:left="720" w:firstLine="480"/>
      <w:jc w:val="left"/>
      <w:spacing w:before="120" w:line="22" w:lineRule="atLeast"/>
    </w:pPr>
    <w:rPr>
      <w:rFonts w:ascii="宋体"/>
      <w:sz w:val="24"/>
      <w:szCs w:val="20"/>
    </w:rPr>
  </w:style>
  <w:style w:type="paragraph" w:styleId="1064">
    <w:name w:val="toc 2"/>
    <w:basedOn w:val="1029"/>
    <w:next w:val="1029"/>
    <w:uiPriority w:val="39"/>
    <w:qFormat/>
    <w:pPr>
      <w:ind w:left="420"/>
      <w:spacing w:line="312" w:lineRule="auto"/>
      <w:tabs>
        <w:tab w:val="right" w:pos="8937" w:leader="dot"/>
      </w:tabs>
    </w:pPr>
  </w:style>
  <w:style w:type="paragraph" w:styleId="1065">
    <w:name w:val="toc 9"/>
    <w:basedOn w:val="1029"/>
    <w:next w:val="1029"/>
    <w:uiPriority w:val="0"/>
    <w:qFormat/>
    <w:pPr>
      <w:ind w:left="3360"/>
    </w:pPr>
  </w:style>
  <w:style w:type="paragraph" w:styleId="1066">
    <w:name w:val="Body Text 2"/>
    <w:basedOn w:val="1029"/>
    <w:link w:val="1110"/>
    <w:uiPriority w:val="0"/>
    <w:qFormat/>
    <w:pPr>
      <w:spacing w:after="120" w:line="480" w:lineRule="auto"/>
    </w:pPr>
  </w:style>
  <w:style w:type="paragraph" w:styleId="1067">
    <w:name w:val="HTML Preformatted"/>
    <w:basedOn w:val="1029"/>
    <w:link w:val="11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68">
    <w:name w:val="Normal (Web)"/>
    <w:basedOn w:val="1029"/>
    <w:link w:val="1294"/>
    <w:uiPriority w:val="99"/>
    <w:unhideWhenUsed/>
    <w:qFormat/>
    <w:pPr>
      <w:jc w:val="left"/>
      <w:spacing w:before="100" w:beforeAutospacing="1" w:after="100" w:afterAutospacing="1"/>
      <w:widowControl/>
    </w:pPr>
    <w:rPr>
      <w:rFonts w:ascii="宋体" w:hAnsi="宋体" w:cs="宋体"/>
      <w:sz w:val="24"/>
    </w:rPr>
  </w:style>
  <w:style w:type="paragraph" w:styleId="1069">
    <w:name w:val="index 1"/>
    <w:basedOn w:val="1029"/>
    <w:next w:val="1029"/>
    <w:uiPriority w:val="0"/>
    <w:qFormat/>
    <w:rPr>
      <w:szCs w:val="20"/>
    </w:rPr>
  </w:style>
  <w:style w:type="paragraph" w:styleId="1070">
    <w:name w:val="Title"/>
    <w:basedOn w:val="1029"/>
    <w:next w:val="1029"/>
    <w:link w:val="1112"/>
    <w:uiPriority w:val="0"/>
    <w:qFormat/>
    <w:pPr>
      <w:jc w:val="center"/>
      <w:outlineLvl w:val="0"/>
    </w:pPr>
    <w:rPr>
      <w:b/>
      <w:sz w:val="32"/>
      <w:szCs w:val="20"/>
    </w:rPr>
  </w:style>
  <w:style w:type="paragraph" w:styleId="1071">
    <w:name w:val="annotation subject"/>
    <w:basedOn w:val="1045"/>
    <w:next w:val="1045"/>
    <w:link w:val="1114"/>
    <w:uiPriority w:val="0"/>
    <w:qFormat/>
    <w:rPr>
      <w:b/>
      <w:bCs/>
    </w:rPr>
  </w:style>
  <w:style w:type="paragraph" w:styleId="1072">
    <w:name w:val="Body Text First Indent"/>
    <w:basedOn w:val="1047"/>
    <w:link w:val="1115"/>
    <w:uiPriority w:val="99"/>
    <w:unhideWhenUsed/>
    <w:qFormat/>
    <w:pPr>
      <w:ind w:firstLine="420"/>
    </w:pPr>
    <w:rPr>
      <w:rFonts w:ascii="Times New Roman" w:hAnsi="Times New Roman"/>
      <w:sz w:val="21"/>
    </w:rPr>
  </w:style>
  <w:style w:type="paragraph" w:styleId="1073">
    <w:name w:val="Body Text First Indent 2"/>
    <w:basedOn w:val="1048"/>
    <w:link w:val="1116"/>
    <w:uiPriority w:val="0"/>
    <w:qFormat/>
    <w:pPr>
      <w:ind w:left="420" w:firstLine="420"/>
      <w:spacing w:after="120" w:line="480" w:lineRule="exact"/>
    </w:pPr>
  </w:style>
  <w:style w:type="table" w:styleId="1074">
    <w:name w:val="Table Grid"/>
    <w:basedOn w:val="104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5">
    <w:name w:val="Strong"/>
    <w:uiPriority w:val="0"/>
    <w:qFormat/>
    <w:rPr>
      <w:b/>
      <w:bCs/>
    </w:rPr>
  </w:style>
  <w:style w:type="character" w:styleId="1076">
    <w:name w:val="page number"/>
    <w:uiPriority w:val="0"/>
    <w:qFormat/>
  </w:style>
  <w:style w:type="character" w:styleId="1077">
    <w:name w:val="FollowedHyperlink"/>
    <w:uiPriority w:val="0"/>
    <w:qFormat/>
    <w:rPr>
      <w:color w:val="333333"/>
      <w:u w:val="none"/>
    </w:rPr>
  </w:style>
  <w:style w:type="character" w:styleId="1078">
    <w:name w:val="Emphasis"/>
    <w:uiPriority w:val="0"/>
    <w:qFormat/>
    <w:rPr>
      <w:color w:val="cc0033"/>
    </w:rPr>
  </w:style>
  <w:style w:type="character" w:styleId="1079">
    <w:name w:val="Hyperlink"/>
    <w:uiPriority w:val="99"/>
    <w:qFormat/>
    <w:rPr>
      <w:color w:val="333333"/>
      <w:u w:val="none"/>
    </w:rPr>
  </w:style>
  <w:style w:type="character" w:styleId="1080">
    <w:name w:val="annotation reference"/>
    <w:uiPriority w:val="99"/>
    <w:qFormat/>
    <w:rPr>
      <w:sz w:val="21"/>
      <w:szCs w:val="21"/>
    </w:rPr>
  </w:style>
  <w:style w:type="character" w:styleId="1081">
    <w:name w:val="HTML Cite"/>
    <w:uiPriority w:val="0"/>
    <w:qFormat/>
    <w:rPr>
      <w:i/>
      <w:iCs/>
    </w:rPr>
  </w:style>
  <w:style w:type="paragraph" w:styleId="1082" w:customStyle="1">
    <w:name w:val="正文首行缩进 21"/>
    <w:basedOn w:val="1083"/>
    <w:uiPriority w:val="0"/>
    <w:qFormat/>
    <w:pPr>
      <w:ind w:left="420" w:firstLine="420"/>
      <w:spacing w:after="120" w:line="480" w:lineRule="exact"/>
    </w:pPr>
    <w:rPr>
      <w:szCs w:val="20"/>
    </w:rPr>
  </w:style>
  <w:style w:type="paragraph" w:styleId="1083" w:customStyle="1">
    <w:name w:val="正文文本缩进11"/>
    <w:basedOn w:val="1029"/>
    <w:next w:val="1029"/>
    <w:uiPriority w:val="0"/>
    <w:qFormat/>
    <w:pPr>
      <w:ind w:firstLine="570"/>
      <w:spacing w:line="360" w:lineRule="auto"/>
    </w:pPr>
    <w:rPr>
      <w:sz w:val="24"/>
    </w:rPr>
  </w:style>
  <w:style w:type="character" w:styleId="1084" w:customStyle="1">
    <w:name w:val="正文文本 Char"/>
    <w:basedOn w:val="1039"/>
    <w:link w:val="1047"/>
    <w:uiPriority w:val="0"/>
    <w:qFormat/>
    <w:rPr>
      <w:rFonts w:ascii="宋体" w:hAnsi="宋体" w:eastAsia="宋体" w:cs="Times New Roman"/>
      <w:sz w:val="24"/>
      <w:szCs w:val="24"/>
    </w:rPr>
  </w:style>
  <w:style w:type="character" w:styleId="1085" w:customStyle="1">
    <w:name w:val="标题 1 Char"/>
    <w:basedOn w:val="1039"/>
    <w:link w:val="1030"/>
    <w:uiPriority w:val="0"/>
    <w:qFormat/>
    <w:rPr>
      <w:rFonts w:ascii="宋体" w:hAnsi="Times New Roman" w:eastAsia="宋体" w:cs="Times New Roman"/>
      <w:b/>
      <w:sz w:val="32"/>
      <w:szCs w:val="20"/>
    </w:rPr>
  </w:style>
  <w:style w:type="character" w:styleId="1086" w:customStyle="1">
    <w:name w:val="正文缩进 Char1"/>
    <w:link w:val="1041"/>
    <w:uiPriority w:val="0"/>
    <w:qFormat/>
    <w:rPr>
      <w:rFonts w:ascii="宋体" w:hAnsi="Times New Roman" w:eastAsia="宋体" w:cs="Times New Roman"/>
      <w:sz w:val="24"/>
      <w:szCs w:val="24"/>
    </w:rPr>
  </w:style>
  <w:style w:type="character" w:styleId="1087" w:customStyle="1">
    <w:name w:val="标题 2 Char1"/>
    <w:link w:val="1031"/>
    <w:uiPriority w:val="0"/>
    <w:qFormat/>
    <w:rPr>
      <w:rFonts w:ascii="Arial" w:hAnsi="Arial" w:eastAsia="黑体" w:cs="Times New Roman"/>
      <w:b/>
      <w:sz w:val="30"/>
      <w:szCs w:val="20"/>
    </w:rPr>
  </w:style>
  <w:style w:type="character" w:styleId="1088" w:customStyle="1">
    <w:name w:val="标题 3 Char1"/>
    <w:link w:val="1032"/>
    <w:uiPriority w:val="0"/>
    <w:qFormat/>
    <w:rPr>
      <w:rFonts w:ascii="宋体" w:hAnsi="Times New Roman" w:eastAsia="宋体" w:cs="Times New Roman"/>
      <w:b/>
      <w:sz w:val="24"/>
      <w:szCs w:val="20"/>
      <w:u w:val="single"/>
    </w:rPr>
  </w:style>
  <w:style w:type="character" w:styleId="1089" w:customStyle="1">
    <w:name w:val="标题 4 Char"/>
    <w:basedOn w:val="1039"/>
    <w:link w:val="1033"/>
    <w:uiPriority w:val="0"/>
    <w:qFormat/>
    <w:rPr>
      <w:rFonts w:ascii="Arial" w:hAnsi="Arial" w:eastAsia="黑体" w:cs="Times New Roman"/>
      <w:b/>
      <w:sz w:val="28"/>
      <w:szCs w:val="20"/>
    </w:rPr>
  </w:style>
  <w:style w:type="character" w:styleId="1090" w:customStyle="1">
    <w:name w:val="标题 5 Char"/>
    <w:basedOn w:val="1039"/>
    <w:link w:val="1034"/>
    <w:uiPriority w:val="0"/>
    <w:qFormat/>
    <w:rPr>
      <w:rFonts w:ascii="Times New Roman" w:hAnsi="Times New Roman" w:eastAsia="宋体" w:cs="Times New Roman"/>
      <w:b/>
      <w:sz w:val="28"/>
      <w:szCs w:val="20"/>
    </w:rPr>
  </w:style>
  <w:style w:type="character" w:styleId="1091" w:customStyle="1">
    <w:name w:val="标题 6 Char"/>
    <w:basedOn w:val="1039"/>
    <w:link w:val="1035"/>
    <w:uiPriority w:val="0"/>
    <w:qFormat/>
    <w:rPr>
      <w:rFonts w:ascii="Arial" w:hAnsi="Arial" w:eastAsia="黑体" w:cs="Times New Roman"/>
      <w:b/>
      <w:sz w:val="24"/>
      <w:szCs w:val="20"/>
    </w:rPr>
  </w:style>
  <w:style w:type="character" w:styleId="1092" w:customStyle="1">
    <w:name w:val="标题 7 Char"/>
    <w:basedOn w:val="1039"/>
    <w:link w:val="1036"/>
    <w:uiPriority w:val="0"/>
    <w:qFormat/>
    <w:rPr>
      <w:rFonts w:ascii="Times New Roman" w:hAnsi="Times New Roman" w:eastAsia="宋体" w:cs="Times New Roman"/>
      <w:b/>
      <w:sz w:val="24"/>
      <w:szCs w:val="20"/>
    </w:rPr>
  </w:style>
  <w:style w:type="character" w:styleId="1093" w:customStyle="1">
    <w:name w:val="标题 8 Char"/>
    <w:basedOn w:val="1039"/>
    <w:link w:val="1037"/>
    <w:uiPriority w:val="0"/>
    <w:qFormat/>
    <w:rPr>
      <w:rFonts w:ascii="Arial" w:hAnsi="Arial" w:eastAsia="黑体" w:cs="Times New Roman"/>
      <w:sz w:val="24"/>
      <w:szCs w:val="20"/>
    </w:rPr>
  </w:style>
  <w:style w:type="character" w:styleId="1094" w:customStyle="1">
    <w:name w:val="标题 9 Char"/>
    <w:basedOn w:val="1039"/>
    <w:link w:val="1038"/>
    <w:uiPriority w:val="0"/>
    <w:qFormat/>
    <w:rPr>
      <w:rFonts w:ascii="Arial" w:hAnsi="Arial" w:eastAsia="黑体" w:cs="Times New Roman"/>
      <w:szCs w:val="20"/>
    </w:rPr>
  </w:style>
  <w:style w:type="character" w:styleId="1095" w:customStyle="1">
    <w:name w:val="页眉 Char"/>
    <w:basedOn w:val="1039"/>
    <w:link w:val="1059"/>
    <w:uiPriority w:val="99"/>
    <w:qFormat/>
    <w:rPr>
      <w:sz w:val="18"/>
      <w:szCs w:val="18"/>
    </w:rPr>
  </w:style>
  <w:style w:type="character" w:styleId="1096" w:customStyle="1">
    <w:name w:val="页脚 Char"/>
    <w:basedOn w:val="1039"/>
    <w:link w:val="1058"/>
    <w:uiPriority w:val="99"/>
    <w:qFormat/>
    <w:rPr>
      <w:rFonts w:asciiTheme="minorEastAsia" w:hAnsiTheme="minorEastAsia" w:eastAsiaTheme="minorEastAsia"/>
      <w:sz w:val="18"/>
      <w:szCs w:val="18"/>
    </w:rPr>
  </w:style>
  <w:style w:type="character" w:styleId="1097" w:customStyle="1">
    <w:name w:val="标题 2 Char"/>
    <w:basedOn w:val="1039"/>
    <w:uiPriority w:val="0"/>
    <w:qFormat/>
    <w:rPr>
      <w:rFonts w:asciiTheme="majorHAnsi" w:hAnsiTheme="majorHAnsi" w:eastAsiaTheme="majorEastAsia" w:cstheme="majorBidi"/>
      <w:b/>
      <w:bCs/>
      <w:sz w:val="32"/>
      <w:szCs w:val="32"/>
    </w:rPr>
  </w:style>
  <w:style w:type="character" w:styleId="1098" w:customStyle="1">
    <w:name w:val="标题 3 Char"/>
    <w:basedOn w:val="1039"/>
    <w:uiPriority w:val="0"/>
    <w:qFormat/>
    <w:rPr>
      <w:rFonts w:ascii="Times New Roman" w:hAnsi="Times New Roman" w:eastAsia="宋体" w:cs="Times New Roman"/>
      <w:b/>
      <w:bCs/>
      <w:sz w:val="32"/>
      <w:szCs w:val="32"/>
    </w:rPr>
  </w:style>
  <w:style w:type="character" w:styleId="1099" w:customStyle="1">
    <w:name w:val="文档结构图 Char"/>
    <w:basedOn w:val="1039"/>
    <w:link w:val="1044"/>
    <w:uiPriority w:val="0"/>
    <w:qFormat/>
    <w:rPr>
      <w:rFonts w:ascii="Times New Roman" w:hAnsi="Times New Roman" w:eastAsia="宋体" w:cs="Times New Roman"/>
      <w:szCs w:val="24"/>
      <w:shd w:val="clear" w:color="auto" w:fill="000080"/>
    </w:rPr>
  </w:style>
  <w:style w:type="character" w:styleId="1100" w:customStyle="1">
    <w:name w:val="批注文字 Char1"/>
    <w:link w:val="1045"/>
    <w:uiPriority w:val="99"/>
    <w:qFormat/>
    <w:rPr>
      <w:rFonts w:ascii="Times New Roman" w:hAnsi="Times New Roman" w:eastAsia="宋体" w:cs="Times New Roman"/>
      <w:szCs w:val="24"/>
    </w:rPr>
  </w:style>
  <w:style w:type="character" w:styleId="1101" w:customStyle="1">
    <w:name w:val="批注文字 Char"/>
    <w:basedOn w:val="1039"/>
    <w:uiPriority w:val="99"/>
    <w:qFormat/>
    <w:rPr>
      <w:rFonts w:ascii="Times New Roman" w:hAnsi="Times New Roman" w:eastAsia="宋体" w:cs="Times New Roman"/>
      <w:szCs w:val="24"/>
    </w:rPr>
  </w:style>
  <w:style w:type="character" w:styleId="1102" w:customStyle="1">
    <w:name w:val="正文文本 3 Char"/>
    <w:basedOn w:val="1039"/>
    <w:link w:val="1046"/>
    <w:uiPriority w:val="0"/>
    <w:qFormat/>
    <w:rPr>
      <w:rFonts w:ascii="Times New Roman" w:hAnsi="Times New Roman" w:eastAsia="宋体" w:cs="Times New Roman"/>
      <w:sz w:val="16"/>
      <w:szCs w:val="16"/>
    </w:rPr>
  </w:style>
  <w:style w:type="character" w:styleId="1103" w:customStyle="1">
    <w:name w:val="正文文本缩进 Char2"/>
    <w:link w:val="1048"/>
    <w:uiPriority w:val="99"/>
    <w:qFormat/>
    <w:rPr>
      <w:rFonts w:ascii="Times New Roman" w:hAnsi="Times New Roman" w:eastAsia="宋体" w:cs="Times New Roman"/>
      <w:sz w:val="24"/>
      <w:szCs w:val="24"/>
    </w:rPr>
  </w:style>
  <w:style w:type="character" w:styleId="1104" w:customStyle="1">
    <w:name w:val="正文文本缩进 Char"/>
    <w:basedOn w:val="1039"/>
    <w:uiPriority w:val="0"/>
    <w:qFormat/>
    <w:rPr>
      <w:rFonts w:ascii="Times New Roman" w:hAnsi="Times New Roman" w:eastAsia="宋体" w:cs="Times New Roman"/>
      <w:szCs w:val="24"/>
    </w:rPr>
  </w:style>
  <w:style w:type="character" w:styleId="1105" w:customStyle="1">
    <w:name w:val="纯文本 Char"/>
    <w:basedOn w:val="1039"/>
    <w:link w:val="1053"/>
    <w:uiPriority w:val="0"/>
    <w:qFormat/>
    <w:rPr>
      <w:rFonts w:ascii="宋体" w:hAnsi="Courier New" w:eastAsia="宋体" w:cs="Times New Roman"/>
      <w:szCs w:val="20"/>
    </w:rPr>
  </w:style>
  <w:style w:type="character" w:styleId="1106" w:customStyle="1">
    <w:name w:val="日期 Char"/>
    <w:basedOn w:val="1039"/>
    <w:link w:val="1055"/>
    <w:uiPriority w:val="0"/>
    <w:qFormat/>
    <w:rPr>
      <w:rFonts w:ascii="仿宋_GB2312" w:hAnsi="宋体" w:eastAsia="仿宋_GB2312" w:cs="Times New Roman"/>
      <w:color w:val="000000"/>
      <w:sz w:val="24"/>
      <w:szCs w:val="24"/>
    </w:rPr>
  </w:style>
  <w:style w:type="character" w:styleId="1107" w:customStyle="1">
    <w:name w:val="正文文本缩进 2 Char"/>
    <w:basedOn w:val="1039"/>
    <w:link w:val="1056"/>
    <w:uiPriority w:val="0"/>
    <w:qFormat/>
    <w:rPr>
      <w:rFonts w:ascii="仿宋_GB2312" w:hAnsi="Times New Roman" w:eastAsia="仿宋_GB2312" w:cs="Times New Roman"/>
      <w:sz w:val="24"/>
      <w:szCs w:val="24"/>
    </w:rPr>
  </w:style>
  <w:style w:type="character" w:styleId="1108" w:customStyle="1">
    <w:name w:val="批注框文本 Char"/>
    <w:basedOn w:val="1039"/>
    <w:link w:val="1057"/>
    <w:uiPriority w:val="0"/>
    <w:qFormat/>
    <w:rPr>
      <w:rFonts w:ascii="Times New Roman" w:hAnsi="Times New Roman" w:eastAsia="宋体" w:cs="Times New Roman"/>
      <w:sz w:val="18"/>
      <w:szCs w:val="18"/>
    </w:rPr>
  </w:style>
  <w:style w:type="character" w:styleId="1109" w:customStyle="1">
    <w:name w:val="正文文本缩进 3 Char"/>
    <w:basedOn w:val="1039"/>
    <w:link w:val="1063"/>
    <w:uiPriority w:val="0"/>
    <w:qFormat/>
    <w:rPr>
      <w:rFonts w:ascii="宋体" w:hAnsi="Times New Roman" w:eastAsia="宋体" w:cs="Times New Roman"/>
      <w:sz w:val="24"/>
      <w:szCs w:val="20"/>
    </w:rPr>
  </w:style>
  <w:style w:type="character" w:styleId="1110" w:customStyle="1">
    <w:name w:val="正文文本 2 Char"/>
    <w:basedOn w:val="1039"/>
    <w:link w:val="1066"/>
    <w:uiPriority w:val="0"/>
    <w:qFormat/>
    <w:rPr>
      <w:rFonts w:ascii="Times New Roman" w:hAnsi="Times New Roman" w:eastAsia="宋体" w:cs="Times New Roman"/>
      <w:szCs w:val="24"/>
    </w:rPr>
  </w:style>
  <w:style w:type="character" w:styleId="1111" w:customStyle="1">
    <w:name w:val="HTML 预设格式 Char"/>
    <w:basedOn w:val="1039"/>
    <w:link w:val="1067"/>
    <w:uiPriority w:val="0"/>
    <w:qFormat/>
    <w:rPr>
      <w:rFonts w:ascii="宋体" w:hAnsi="宋体" w:eastAsia="宋体" w:cs="Times New Roman"/>
      <w:sz w:val="24"/>
      <w:szCs w:val="24"/>
    </w:rPr>
  </w:style>
  <w:style w:type="character" w:styleId="1112" w:customStyle="1">
    <w:name w:val="标题 Char1"/>
    <w:link w:val="1070"/>
    <w:uiPriority w:val="0"/>
    <w:qFormat/>
    <w:rPr>
      <w:rFonts w:ascii="Times New Roman" w:hAnsi="Times New Roman" w:eastAsia="宋体" w:cs="Times New Roman"/>
      <w:b/>
      <w:sz w:val="32"/>
      <w:szCs w:val="20"/>
    </w:rPr>
  </w:style>
  <w:style w:type="character" w:styleId="1113" w:customStyle="1">
    <w:name w:val="标题 Char"/>
    <w:basedOn w:val="1039"/>
    <w:uiPriority w:val="0"/>
    <w:qFormat/>
    <w:rPr>
      <w:rFonts w:eastAsia="宋体" w:asciiTheme="majorHAnsi" w:hAnsiTheme="majorHAnsi" w:cstheme="majorBidi"/>
      <w:b/>
      <w:bCs/>
      <w:sz w:val="32"/>
      <w:szCs w:val="32"/>
    </w:rPr>
  </w:style>
  <w:style w:type="character" w:styleId="1114" w:customStyle="1">
    <w:name w:val="批注主题 Char"/>
    <w:basedOn w:val="1101"/>
    <w:link w:val="1071"/>
    <w:uiPriority w:val="0"/>
    <w:qFormat/>
    <w:rPr>
      <w:rFonts w:ascii="Times New Roman" w:hAnsi="Times New Roman" w:eastAsia="宋体" w:cs="Times New Roman"/>
      <w:b/>
      <w:bCs/>
      <w:szCs w:val="24"/>
    </w:rPr>
  </w:style>
  <w:style w:type="character" w:styleId="1115" w:customStyle="1">
    <w:name w:val="正文首行缩进 Char"/>
    <w:basedOn w:val="1084"/>
    <w:link w:val="1072"/>
    <w:uiPriority w:val="99"/>
    <w:qFormat/>
    <w:rPr>
      <w:rFonts w:ascii="Times New Roman" w:hAnsi="Times New Roman" w:eastAsia="宋体" w:cs="Times New Roman"/>
      <w:sz w:val="24"/>
      <w:szCs w:val="24"/>
    </w:rPr>
  </w:style>
  <w:style w:type="character" w:styleId="1116" w:customStyle="1">
    <w:name w:val="正文首行缩进 2 Char"/>
    <w:basedOn w:val="1104"/>
    <w:link w:val="1073"/>
    <w:uiPriority w:val="0"/>
    <w:qFormat/>
    <w:rPr>
      <w:rFonts w:ascii="Times New Roman" w:hAnsi="Times New Roman" w:eastAsia="宋体" w:cs="Times New Roman"/>
      <w:sz w:val="24"/>
      <w:szCs w:val="24"/>
    </w:rPr>
  </w:style>
  <w:style w:type="character" w:styleId="1117" w:customStyle="1">
    <w:name w:val="页脚 Char1"/>
    <w:uiPriority w:val="99"/>
    <w:qFormat/>
    <w:rPr>
      <w:rFonts w:ascii="宋体" w:eastAsia="宋体"/>
      <w:sz w:val="18"/>
      <w:lang w:val="en-US" w:eastAsia="zh-CN" w:bidi="ar-SA"/>
    </w:rPr>
  </w:style>
  <w:style w:type="character" w:styleId="1118" w:customStyle="1">
    <w:name w:val="页眉 Char1"/>
    <w:uiPriority w:val="0"/>
    <w:qFormat/>
    <w:rPr>
      <w:rFonts w:eastAsia="宋体"/>
      <w:sz w:val="18"/>
      <w:szCs w:val="18"/>
      <w:lang w:val="en-US" w:eastAsia="zh-CN" w:bidi="ar-SA"/>
    </w:rPr>
  </w:style>
  <w:style w:type="character" w:styleId="1119" w:customStyle="1">
    <w:name w:val="批注文字 字符"/>
    <w:uiPriority w:val="99"/>
    <w:qFormat/>
    <w:rPr>
      <w:rFonts w:ascii="Times New Roman" w:hAnsi="Times New Roman" w:eastAsia="宋体" w:cs="Times New Roman"/>
      <w:sz w:val="24"/>
      <w:lang w:val="en-US" w:eastAsia="zh-CN" w:bidi="ar-SA"/>
    </w:rPr>
  </w:style>
  <w:style w:type="character" w:styleId="1120" w:customStyle="1">
    <w:name w:val="c21"/>
    <w:uiPriority w:val="0"/>
    <w:qFormat/>
    <w:rPr>
      <w:rFonts w:hint="default" w:ascii="ˎ̥" w:hAnsi="ˎ̥"/>
      <w:color w:val="000000"/>
      <w:sz w:val="20"/>
      <w:szCs w:val="20"/>
      <w:u w:val="none"/>
    </w:rPr>
  </w:style>
  <w:style w:type="character" w:styleId="1121" w:customStyle="1">
    <w:name w:val="title4"/>
    <w:uiPriority w:val="0"/>
    <w:qFormat/>
    <w:rPr>
      <w:b/>
      <w:bCs/>
      <w:color w:val="1d87b3"/>
      <w:sz w:val="15"/>
      <w:szCs w:val="15"/>
    </w:rPr>
  </w:style>
  <w:style w:type="character" w:styleId="1122" w:customStyle="1">
    <w:name w:val="标题 2 Char Char"/>
    <w:uiPriority w:val="0"/>
    <w:qFormat/>
    <w:rPr>
      <w:rFonts w:ascii="Arial" w:hAnsi="Arial" w:eastAsia="黑体"/>
      <w:b/>
      <w:bCs/>
      <w:sz w:val="32"/>
      <w:szCs w:val="32"/>
      <w:lang w:val="en-US" w:eastAsia="zh-CN" w:bidi="ar-SA"/>
    </w:rPr>
  </w:style>
  <w:style w:type="character" w:styleId="1123" w:customStyle="1">
    <w:name w:val="black1"/>
    <w:uiPriority w:val="0"/>
    <w:qFormat/>
    <w:rPr>
      <w:color w:val="000000"/>
    </w:rPr>
  </w:style>
  <w:style w:type="character" w:styleId="1124" w:customStyle="1">
    <w:name w:val="street-address"/>
    <w:uiPriority w:val="0"/>
    <w:qFormat/>
  </w:style>
  <w:style w:type="character" w:styleId="1125" w:customStyle="1">
    <w:name w:val="locality"/>
    <w:uiPriority w:val="0"/>
    <w:qFormat/>
  </w:style>
  <w:style w:type="character" w:styleId="1126" w:customStyle="1">
    <w:name w:val="正文文本缩进 Char1"/>
    <w:link w:val="1127"/>
    <w:uiPriority w:val="0"/>
    <w:qFormat/>
    <w:rPr>
      <w:rFonts w:ascii="宋体" w:hAnsi="宋体" w:eastAsia="宋体"/>
      <w:sz w:val="24"/>
      <w:szCs w:val="24"/>
    </w:rPr>
  </w:style>
  <w:style w:type="paragraph" w:styleId="1127" w:customStyle="1">
    <w:name w:val="正文文本缩进1"/>
    <w:basedOn w:val="1029"/>
    <w:link w:val="1126"/>
    <w:uiPriority w:val="0"/>
    <w:qFormat/>
    <w:pPr>
      <w:ind w:firstLine="480"/>
      <w:spacing w:line="480" w:lineRule="exact"/>
    </w:pPr>
    <w:rPr>
      <w:rFonts w:ascii="宋体" w:hAnsi="宋体" w:cstheme="minorBidi"/>
      <w:sz w:val="24"/>
    </w:rPr>
  </w:style>
  <w:style w:type="character" w:styleId="1128" w:customStyle="1">
    <w:name w:val="Char Char11"/>
    <w:uiPriority w:val="0"/>
    <w:qFormat/>
    <w:rPr>
      <w:rFonts w:ascii="宋体" w:eastAsia="宋体"/>
      <w:b/>
      <w:sz w:val="24"/>
      <w:u w:val="single"/>
      <w:lang w:val="en-US" w:eastAsia="zh-CN" w:bidi="ar-SA"/>
    </w:rPr>
  </w:style>
  <w:style w:type="character" w:styleId="1129" w:customStyle="1">
    <w:name w:val="txt"/>
    <w:uiPriority w:val="0"/>
    <w:qFormat/>
  </w:style>
  <w:style w:type="character" w:styleId="1130" w:customStyle="1">
    <w:name w:val="正文缩进 Char Char"/>
    <w:link w:val="1131"/>
    <w:uiPriority w:val="0"/>
    <w:qFormat/>
    <w:rPr>
      <w:rFonts w:ascii="宋体" w:eastAsia="宋体"/>
      <w:color w:val="000000"/>
      <w:sz w:val="28"/>
    </w:rPr>
  </w:style>
  <w:style w:type="paragraph" w:styleId="1131" w:customStyle="1">
    <w:name w:val="正文缩进1"/>
    <w:basedOn w:val="1029"/>
    <w:link w:val="1130"/>
    <w:uiPriority w:val="0"/>
    <w:qFormat/>
    <w:pPr>
      <w:ind w:firstLine="567"/>
      <w:spacing w:line="480" w:lineRule="exact"/>
      <w:widowControl/>
    </w:pPr>
    <w:rPr>
      <w:rFonts w:ascii="宋体" w:hAnsiTheme="minorHAnsi" w:cstheme="minorBidi"/>
      <w:color w:val="000000"/>
      <w:sz w:val="28"/>
      <w:szCs w:val="22"/>
    </w:rPr>
  </w:style>
  <w:style w:type="character" w:styleId="1132" w:customStyle="1">
    <w:name w:val="普通文字1 Char1"/>
    <w:uiPriority w:val="0"/>
    <w:qFormat/>
    <w:rPr>
      <w:rFonts w:ascii="宋体" w:hAnsi="Courier New" w:eastAsia="宋体"/>
      <w:sz w:val="21"/>
      <w:lang w:val="en-US" w:eastAsia="zh-CN" w:bidi="ar-SA"/>
    </w:rPr>
  </w:style>
  <w:style w:type="character" w:styleId="1133" w:customStyle="1">
    <w:name w:val="chanpin1"/>
    <w:uiPriority w:val="0"/>
    <w:qFormat/>
    <w:rPr>
      <w:rFonts w:hint="default" w:ascii="ˎ̥" w:hAnsi="ˎ̥"/>
      <w:color w:val="000000"/>
      <w:sz w:val="20"/>
      <w:szCs w:val="20"/>
      <w:u w:val="none"/>
    </w:rPr>
  </w:style>
  <w:style w:type="character" w:styleId="1134" w:customStyle="1">
    <w:name w:val="彩色列表 - 强调文字颜色 1 Char"/>
    <w:link w:val="1135"/>
    <w:uiPriority w:val="34"/>
    <w:qFormat/>
    <w:rPr>
      <w:rFonts w:ascii="Calibri" w:hAnsi="Calibri" w:eastAsia="宋体"/>
    </w:rPr>
  </w:style>
  <w:style w:type="paragraph" w:styleId="1135" w:customStyle="1">
    <w:name w:val="彩色列表 - 强调文字颜色 11"/>
    <w:basedOn w:val="1029"/>
    <w:link w:val="1134"/>
    <w:uiPriority w:val="34"/>
    <w:qFormat/>
    <w:pPr>
      <w:ind w:firstLine="420"/>
    </w:pPr>
    <w:rPr>
      <w:rFonts w:ascii="Calibri" w:hAnsi="Calibri" w:cstheme="minorBidi"/>
      <w:szCs w:val="22"/>
    </w:rPr>
  </w:style>
  <w:style w:type="character" w:styleId="1136" w:customStyle="1">
    <w:name w:val="标题 3 Char Char"/>
    <w:uiPriority w:val="0"/>
    <w:qFormat/>
    <w:rPr>
      <w:rFonts w:eastAsia="宋体"/>
      <w:b/>
      <w:bCs/>
      <w:sz w:val="32"/>
      <w:szCs w:val="32"/>
      <w:lang w:val="en-US" w:eastAsia="zh-CN" w:bidi="ar-SA"/>
    </w:rPr>
  </w:style>
  <w:style w:type="character" w:styleId="1137" w:customStyle="1">
    <w:name w:val="段1 Char"/>
    <w:uiPriority w:val="0"/>
    <w:qFormat/>
    <w:rPr>
      <w:rFonts w:ascii="宋体" w:eastAsia="宋体"/>
      <w:sz w:val="24"/>
      <w:lang w:val="en-US" w:eastAsia="zh-CN" w:bidi="ar-SA"/>
    </w:rPr>
  </w:style>
  <w:style w:type="character" w:styleId="1138" w:customStyle="1">
    <w:name w:val="chanpin拷贝"/>
    <w:uiPriority w:val="0"/>
    <w:qFormat/>
  </w:style>
  <w:style w:type="character" w:styleId="1139" w:customStyle="1">
    <w:name w:val="纯文本 Char1"/>
    <w:uiPriority w:val="0"/>
    <w:qFormat/>
    <w:rPr>
      <w:rFonts w:ascii="宋体" w:hAnsi="Courier New" w:eastAsia="宋体"/>
      <w:sz w:val="21"/>
      <w:lang w:val="en-US" w:eastAsia="zh-CN" w:bidi="ar-SA"/>
    </w:rPr>
  </w:style>
  <w:style w:type="character" w:styleId="1140" w:customStyle="1">
    <w:name w:val="apple-style-span"/>
    <w:uiPriority w:val="0"/>
    <w:qFormat/>
    <w:rPr>
      <w:rFonts w:cs="Times New Roman"/>
    </w:rPr>
  </w:style>
  <w:style w:type="paragraph" w:styleId="1141" w:customStyle="1">
    <w:name w:val="二级条标题"/>
    <w:basedOn w:val="1142"/>
    <w:next w:val="102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42" w:customStyle="1">
    <w:name w:val="一级条标题"/>
    <w:basedOn w:val="1143"/>
    <w:next w:val="1029"/>
    <w:uiPriority w:val="0"/>
    <w:qFormat/>
    <w:pPr>
      <w:numPr>
        <w:ilvl w:val="1"/>
      </w:numPr>
      <w:ind w:left="0" w:hanging="840"/>
      <w:tabs>
        <w:tab w:val="left" w:pos="360" w:leader="none"/>
        <w:tab w:val="left" w:pos="840" w:leader="none"/>
      </w:tabs>
      <w:outlineLvl w:val="1"/>
    </w:pPr>
  </w:style>
  <w:style w:type="paragraph" w:styleId="1143" w:customStyle="1">
    <w:name w:val="章标题"/>
    <w:next w:val="1029"/>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44" w:customStyle="1">
    <w:name w:val="font7"/>
    <w:basedOn w:val="1029"/>
    <w:uiPriority w:val="0"/>
    <w:qFormat/>
    <w:pPr>
      <w:jc w:val="left"/>
      <w:spacing w:before="100" w:beforeAutospacing="1" w:after="100" w:afterAutospacing="1"/>
      <w:widowControl/>
    </w:pPr>
    <w:rPr>
      <w:rFonts w:eastAsia="Arial Unicode MS"/>
      <w:b/>
      <w:bCs/>
      <w:color w:val="000000"/>
      <w:sz w:val="20"/>
      <w:szCs w:val="20"/>
    </w:rPr>
  </w:style>
  <w:style w:type="paragraph" w:styleId="1145" w:customStyle="1">
    <w:name w:val="字元 字元"/>
    <w:basedOn w:val="1029"/>
    <w:uiPriority w:val="0"/>
    <w:qFormat/>
    <w:rPr>
      <w:rFonts w:ascii="Tahoma" w:hAnsi="Tahoma"/>
      <w:sz w:val="24"/>
      <w:szCs w:val="20"/>
    </w:rPr>
  </w:style>
  <w:style w:type="paragraph" w:styleId="1146" w:customStyle="1">
    <w:name w:val="Char3 Char Char Char"/>
    <w:basedOn w:val="1029"/>
    <w:uiPriority w:val="0"/>
    <w:qFormat/>
    <w:rPr>
      <w:rFonts w:ascii="Tahoma" w:hAnsi="Tahoma"/>
      <w:sz w:val="24"/>
      <w:szCs w:val="20"/>
    </w:rPr>
  </w:style>
  <w:style w:type="paragraph" w:styleId="1147" w:customStyle="1">
    <w:name w:val="font6"/>
    <w:basedOn w:val="1029"/>
    <w:uiPriority w:val="0"/>
    <w:qFormat/>
    <w:pPr>
      <w:jc w:val="left"/>
      <w:spacing w:before="100" w:beforeAutospacing="1" w:after="100" w:afterAutospacing="1"/>
      <w:widowControl/>
    </w:pPr>
    <w:rPr>
      <w:rFonts w:ascii="宋体" w:hAnsi="宋体" w:cs="宋体"/>
      <w:sz w:val="20"/>
      <w:szCs w:val="20"/>
    </w:rPr>
  </w:style>
  <w:style w:type="paragraph" w:styleId="1148" w:customStyle="1">
    <w:name w:val="项目编号2"/>
    <w:basedOn w:val="1149"/>
    <w:uiPriority w:val="0"/>
    <w:qFormat/>
    <w:pPr>
      <w:numPr>
        <w:numId w:val="2"/>
      </w:numPr>
    </w:pPr>
  </w:style>
  <w:style w:type="paragraph" w:styleId="1149" w:customStyle="1">
    <w:name w:val="项目编号1"/>
    <w:basedOn w:val="1029"/>
    <w:uiPriority w:val="0"/>
    <w:qFormat/>
    <w:pPr>
      <w:numPr>
        <w:ilvl w:val="0"/>
        <w:numId w:val="3"/>
      </w:numPr>
      <w:spacing w:before="100" w:beforeAutospacing="1" w:after="100" w:afterAutospacing="1" w:line="360" w:lineRule="auto"/>
    </w:pPr>
    <w:rPr>
      <w:sz w:val="24"/>
    </w:rPr>
  </w:style>
  <w:style w:type="paragraph" w:styleId="1150" w:customStyle="1">
    <w:name w:val="图中文字"/>
    <w:basedOn w:val="1029"/>
    <w:uiPriority w:val="0"/>
    <w:qFormat/>
    <w:pPr>
      <w:jc w:val="center"/>
      <w:spacing w:line="0" w:lineRule="atLeast"/>
    </w:pPr>
    <w:rPr>
      <w:sz w:val="24"/>
      <w:szCs w:val="20"/>
    </w:rPr>
  </w:style>
  <w:style w:type="paragraph" w:styleId="1151" w:customStyle="1">
    <w:name w:val="xl46"/>
    <w:basedOn w:val="1029"/>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52" w:customStyle="1">
    <w:name w:val="xl25"/>
    <w:basedOn w:val="10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53" w:customStyle="1">
    <w:name w:val="Char2"/>
    <w:basedOn w:val="1029"/>
    <w:uiPriority w:val="0"/>
    <w:qFormat/>
    <w:rPr>
      <w:rFonts w:ascii="Tahoma" w:hAnsi="Tahoma"/>
      <w:sz w:val="24"/>
      <w:szCs w:val="20"/>
    </w:rPr>
  </w:style>
  <w:style w:type="paragraph" w:styleId="1154" w:customStyle="1">
    <w:name w:val="xl35"/>
    <w:basedOn w:val="102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5" w:customStyle="1">
    <w:name w:val="xl40"/>
    <w:basedOn w:val="10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6" w:customStyle="1">
    <w:name w:val="xl52"/>
    <w:basedOn w:val="102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57" w:customStyle="1">
    <w:name w:val="xl43"/>
    <w:basedOn w:val="102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58" w:customStyle="1">
    <w:name w:val="background1"/>
    <w:basedOn w:val="1029"/>
    <w:uiPriority w:val="0"/>
    <w:qFormat/>
    <w:pPr>
      <w:jc w:val="left"/>
      <w:spacing w:before="100" w:beforeAutospacing="1" w:after="100" w:afterAutospacing="1"/>
      <w:widowControl/>
    </w:pPr>
    <w:rPr>
      <w:rFonts w:ascii="宋体" w:hAnsi="宋体" w:cs="宋体"/>
      <w:sz w:val="24"/>
    </w:rPr>
  </w:style>
  <w:style w:type="paragraph" w:styleId="1159" w:customStyle="1">
    <w:name w:val="Char Char Char Char Char Char Char"/>
    <w:basedOn w:val="1029"/>
    <w:uiPriority w:val="0"/>
    <w:qFormat/>
    <w:pPr>
      <w:ind w:firstLine="200"/>
      <w:spacing w:line="360" w:lineRule="auto"/>
    </w:pPr>
    <w:rPr>
      <w:rFonts w:eastAsia="仿宋_GB2312"/>
      <w:sz w:val="24"/>
    </w:rPr>
  </w:style>
  <w:style w:type="paragraph" w:styleId="1160" w:customStyle="1">
    <w:name w:val="xl38"/>
    <w:basedOn w:val="10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61" w:customStyle="1">
    <w:name w:val="xl36"/>
    <w:basedOn w:val="102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2" w:customStyle="1">
    <w:name w:val="正文 + 宋体"/>
    <w:basedOn w:val="1029"/>
    <w:uiPriority w:val="0"/>
    <w:qFormat/>
    <w:pPr>
      <w:ind w:left="360" w:hanging="360"/>
      <w:jc w:val="left"/>
      <w:widowControl/>
    </w:pPr>
    <w:rPr>
      <w:rFonts w:ascii="宋体" w:hAnsi="宋体" w:cs="宋体"/>
      <w:b/>
      <w:bCs/>
      <w:color w:val="000000"/>
      <w:sz w:val="18"/>
      <w:szCs w:val="18"/>
    </w:rPr>
  </w:style>
  <w:style w:type="paragraph" w:styleId="1163" w:customStyle="1">
    <w:name w:val="正文列项_数字"/>
    <w:basedOn w:val="102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64" w:customStyle="1">
    <w:name w:val="xl39"/>
    <w:basedOn w:val="10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5" w:customStyle="1">
    <w:name w:val="xl37"/>
    <w:basedOn w:val="102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6" w:customStyle="1">
    <w:name w:val="xl32"/>
    <w:basedOn w:val="102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7" w:customStyle="1">
    <w:name w:val="font8"/>
    <w:basedOn w:val="1029"/>
    <w:uiPriority w:val="0"/>
    <w:qFormat/>
    <w:pPr>
      <w:jc w:val="left"/>
      <w:spacing w:before="100" w:beforeAutospacing="1" w:after="100" w:afterAutospacing="1"/>
      <w:widowControl/>
    </w:pPr>
    <w:rPr>
      <w:sz w:val="36"/>
      <w:szCs w:val="36"/>
    </w:rPr>
  </w:style>
  <w:style w:type="paragraph" w:styleId="1168" w:customStyle="1">
    <w:name w:val="Char"/>
    <w:basedOn w:val="1029"/>
    <w:uiPriority w:val="0"/>
    <w:qFormat/>
    <w:pPr>
      <w:tabs>
        <w:tab w:val="left" w:pos="360" w:leader="none"/>
      </w:tabs>
    </w:pPr>
    <w:rPr>
      <w:sz w:val="24"/>
    </w:rPr>
  </w:style>
  <w:style w:type="paragraph" w:styleId="1169" w:customStyle="1">
    <w:name w:val="Char Char Char Char Char Char Char Char Char Char Char Char Char Char Char Char"/>
    <w:basedOn w:val="1029"/>
    <w:uiPriority w:val="0"/>
    <w:qFormat/>
    <w:pPr>
      <w:jc w:val="center"/>
      <w:spacing w:after="160" w:line="240" w:lineRule="exact"/>
      <w:widowControl/>
    </w:pPr>
    <w:rPr>
      <w:rFonts w:ascii="宋体" w:hAnsi="宋体"/>
      <w:b/>
      <w:sz w:val="30"/>
      <w:szCs w:val="30"/>
      <w:lang w:eastAsia="en-US"/>
    </w:rPr>
  </w:style>
  <w:style w:type="paragraph" w:styleId="1170" w:customStyle="1">
    <w:name w:val="xl45"/>
    <w:basedOn w:val="102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1" w:customStyle="1">
    <w:name w:val="Char Char1 Char Char Char Char Char Char"/>
    <w:basedOn w:val="1029"/>
    <w:uiPriority w:val="0"/>
    <w:qFormat/>
    <w:pPr>
      <w:jc w:val="left"/>
      <w:spacing w:after="160" w:line="240" w:lineRule="exact"/>
      <w:widowControl/>
    </w:pPr>
    <w:rPr>
      <w:rFonts w:ascii="Verdana" w:hAnsi="Verdana" w:eastAsia="仿宋_GB2312"/>
      <w:sz w:val="24"/>
      <w:szCs w:val="20"/>
      <w:lang w:eastAsia="en-US"/>
    </w:rPr>
  </w:style>
  <w:style w:type="paragraph" w:styleId="1172" w:customStyle="1">
    <w:name w:val="Char Char1"/>
    <w:basedOn w:val="1044"/>
    <w:uiPriority w:val="0"/>
    <w:qFormat/>
    <w:rPr>
      <w:rFonts w:ascii="Tahoma" w:hAnsi="Tahoma"/>
      <w:sz w:val="24"/>
    </w:rPr>
  </w:style>
  <w:style w:type="paragraph" w:styleId="1173" w:customStyle="1">
    <w:name w:val="xl26"/>
    <w:basedOn w:val="10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74" w:customStyle="1">
    <w:name w:val="xl30"/>
    <w:basedOn w:val="10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5" w:customStyle="1">
    <w:name w:val="xl41"/>
    <w:basedOn w:val="102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76" w:customStyle="1">
    <w:name w:val="样式 宋体 五号 行距: 单倍行距"/>
    <w:basedOn w:val="1029"/>
    <w:uiPriority w:val="0"/>
    <w:qFormat/>
    <w:pPr>
      <w:jc w:val="left"/>
    </w:pPr>
    <w:rPr>
      <w:rFonts w:ascii="宋体" w:hAnsi="宋体"/>
      <w:szCs w:val="20"/>
    </w:rPr>
  </w:style>
  <w:style w:type="paragraph" w:styleId="1177" w:customStyle="1">
    <w:name w:val="Char1 Char Char Char1"/>
    <w:basedOn w:val="1029"/>
    <w:uiPriority w:val="0"/>
    <w:qFormat/>
    <w:rPr>
      <w:rFonts w:ascii="Tahoma" w:hAnsi="Tahoma" w:cs="仿宋_GB2312"/>
      <w:sz w:val="24"/>
      <w:szCs w:val="28"/>
    </w:rPr>
  </w:style>
  <w:style w:type="paragraph" w:styleId="1178" w:customStyle="1">
    <w:name w:val="四级条标题"/>
    <w:basedOn w:val="1179"/>
    <w:next w:val="1029"/>
    <w:uiPriority w:val="0"/>
    <w:qFormat/>
    <w:pPr>
      <w:numPr>
        <w:ilvl w:val="4"/>
      </w:numPr>
      <w:ind w:left="0" w:hanging="840"/>
      <w:tabs>
        <w:tab w:val="left" w:pos="360" w:leader="none"/>
        <w:tab w:val="left" w:pos="840" w:leader="none"/>
      </w:tabs>
      <w:outlineLvl w:val="4"/>
    </w:pPr>
  </w:style>
  <w:style w:type="paragraph" w:styleId="1179" w:customStyle="1">
    <w:name w:val="三级条标题"/>
    <w:basedOn w:val="1141"/>
    <w:next w:val="1029"/>
    <w:uiPriority w:val="0"/>
    <w:qFormat/>
    <w:pPr>
      <w:numPr>
        <w:ilvl w:val="3"/>
        <w:numId w:val="1"/>
      </w:numPr>
      <w:ind w:left="0" w:hanging="840"/>
      <w:outlineLvl w:val="3"/>
    </w:pPr>
  </w:style>
  <w:style w:type="paragraph" w:styleId="1180"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81" w:customStyle="1">
    <w:name w:val="样式 标题 2 + 宋体 五号 行距: 单倍行距"/>
    <w:basedOn w:val="1031"/>
    <w:uiPriority w:val="0"/>
    <w:qFormat/>
    <w:pPr>
      <w:numPr>
        <w:ilvl w:val="1"/>
        <w:numId w:val="4"/>
      </w:numPr>
      <w:jc w:val="left"/>
      <w:spacing w:before="260" w:after="260" w:line="240" w:lineRule="auto"/>
    </w:pPr>
    <w:rPr>
      <w:rFonts w:ascii="宋体" w:hAnsi="宋体" w:eastAsia="宋体"/>
      <w:bCs/>
      <w:sz w:val="21"/>
    </w:rPr>
  </w:style>
  <w:style w:type="paragraph" w:styleId="1182" w:customStyle="1">
    <w:name w:val="List Paragraph1"/>
    <w:basedOn w:val="1029"/>
    <w:uiPriority w:val="0"/>
    <w:qFormat/>
    <w:pPr>
      <w:ind w:firstLine="420"/>
    </w:pPr>
    <w:rPr>
      <w:rFonts w:ascii="Calibri" w:hAnsi="Calibri"/>
      <w:szCs w:val="22"/>
    </w:rPr>
  </w:style>
  <w:style w:type="paragraph" w:styleId="1183" w:customStyle="1">
    <w:name w:val="项目符号1"/>
    <w:basedOn w:val="1184"/>
    <w:uiPriority w:val="0"/>
    <w:qFormat/>
    <w:pPr>
      <w:ind w:left="-25" w:firstLine="0"/>
    </w:pPr>
  </w:style>
  <w:style w:type="paragraph" w:styleId="1184" w:customStyle="1">
    <w:name w:val="正文文本样式"/>
    <w:basedOn w:val="1029"/>
    <w:uiPriority w:val="0"/>
    <w:qFormat/>
    <w:pPr>
      <w:ind w:firstLine="482"/>
      <w:spacing w:line="360" w:lineRule="auto"/>
    </w:pPr>
    <w:rPr>
      <w:rFonts w:cs="宋体"/>
      <w:sz w:val="24"/>
      <w:szCs w:val="20"/>
    </w:rPr>
  </w:style>
  <w:style w:type="paragraph" w:styleId="1185" w:customStyle="1">
    <w:name w:val="xl27"/>
    <w:basedOn w:val="10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86" w:customStyle="1">
    <w:name w:val="font5"/>
    <w:basedOn w:val="1029"/>
    <w:uiPriority w:val="0"/>
    <w:qFormat/>
    <w:pPr>
      <w:jc w:val="left"/>
      <w:spacing w:before="100" w:beforeAutospacing="1" w:after="100" w:afterAutospacing="1"/>
      <w:widowControl/>
    </w:pPr>
    <w:rPr>
      <w:rFonts w:ascii="宋体" w:hAnsi="宋体" w:cs="宋体"/>
      <w:sz w:val="18"/>
      <w:szCs w:val="18"/>
    </w:rPr>
  </w:style>
  <w:style w:type="paragraph" w:styleId="1187" w:customStyle="1">
    <w:name w:val="五级条标题"/>
    <w:basedOn w:val="1178"/>
    <w:next w:val="1029"/>
    <w:uiPriority w:val="0"/>
    <w:qFormat/>
    <w:pPr>
      <w:numPr>
        <w:ilvl w:val="5"/>
      </w:numPr>
      <w:ind w:left="0" w:hanging="840"/>
      <w:outlineLvl w:val="5"/>
    </w:pPr>
  </w:style>
  <w:style w:type="paragraph" w:styleId="1188" w:customStyle="1">
    <w:name w:val="xl49"/>
    <w:basedOn w:val="10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89" w:customStyle="1">
    <w:name w:val="文档正文"/>
    <w:basedOn w:val="1029"/>
    <w:uiPriority w:val="0"/>
    <w:qFormat/>
    <w:pPr>
      <w:spacing w:before="120" w:after="120" w:line="180" w:lineRule="auto"/>
    </w:pPr>
    <w:rPr>
      <w:rFonts w:ascii="Arial" w:hAnsi="Arial"/>
      <w:szCs w:val="20"/>
    </w:rPr>
  </w:style>
  <w:style w:type="paragraph" w:styleId="1190" w:customStyle="1">
    <w:name w:val="xl33"/>
    <w:basedOn w:val="10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1" w:customStyle="1">
    <w:name w:val="xl42"/>
    <w:basedOn w:val="10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92" w:customStyle="1">
    <w:name w:val="Char Char Char1 Char"/>
    <w:basedOn w:val="1029"/>
    <w:uiPriority w:val="0"/>
    <w:qFormat/>
    <w:rPr>
      <w:rFonts w:ascii="Tahoma" w:hAnsi="Tahoma"/>
      <w:sz w:val="24"/>
      <w:szCs w:val="20"/>
    </w:rPr>
  </w:style>
  <w:style w:type="paragraph" w:styleId="1193" w:customStyle="1">
    <w:name w:val="xl44"/>
    <w:basedOn w:val="102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94" w:customStyle="1">
    <w:name w:val="1名"/>
    <w:basedOn w:val="1029"/>
    <w:uiPriority w:val="0"/>
    <w:qFormat/>
    <w:pPr>
      <w:numPr>
        <w:ilvl w:val="0"/>
        <w:numId w:val="5"/>
      </w:numPr>
      <w:spacing w:before="120"/>
    </w:pPr>
    <w:rPr>
      <w:rFonts w:ascii="宋体"/>
      <w:sz w:val="28"/>
      <w:szCs w:val="20"/>
    </w:rPr>
  </w:style>
  <w:style w:type="paragraph" w:styleId="1195" w:customStyle="1">
    <w:name w:val="font9"/>
    <w:basedOn w:val="102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96" w:customStyle="1">
    <w:name w:val="Char Char Char1 Char1"/>
    <w:basedOn w:val="1029"/>
    <w:uiPriority w:val="0"/>
    <w:qFormat/>
    <w:rPr>
      <w:rFonts w:ascii="Tahoma" w:hAnsi="Tahoma"/>
      <w:sz w:val="24"/>
      <w:szCs w:val="20"/>
    </w:rPr>
  </w:style>
  <w:style w:type="paragraph" w:styleId="1197" w:customStyle="1">
    <w:name w:val="Char Char Char Char Char Char Char Char Char Char"/>
    <w:basedOn w:val="1029"/>
    <w:uiPriority w:val="0"/>
    <w:qFormat/>
  </w:style>
  <w:style w:type="paragraph" w:styleId="1198" w:customStyle="1">
    <w:name w:val="Char Char1 Char Char Char Char Char Char Char Char"/>
    <w:basedOn w:val="1029"/>
    <w:uiPriority w:val="0"/>
    <w:qFormat/>
    <w:pPr>
      <w:jc w:val="left"/>
      <w:spacing w:after="160" w:line="240" w:lineRule="exact"/>
      <w:widowControl/>
    </w:pPr>
    <w:rPr>
      <w:rFonts w:ascii="Verdana" w:hAnsi="Verdana"/>
      <w:sz w:val="20"/>
      <w:szCs w:val="20"/>
      <w:lang w:eastAsia="en-US"/>
    </w:rPr>
  </w:style>
  <w:style w:type="paragraph" w:styleId="1199" w:customStyle="1">
    <w:name w:val="Char1"/>
    <w:basedOn w:val="1029"/>
    <w:uiPriority w:val="0"/>
    <w:qFormat/>
    <w:pPr>
      <w:tabs>
        <w:tab w:val="left" w:pos="360" w:leader="none"/>
      </w:tabs>
    </w:pPr>
    <w:rPr>
      <w:sz w:val="24"/>
    </w:rPr>
  </w:style>
  <w:style w:type="paragraph" w:styleId="1200" w:customStyle="1">
    <w:name w:val="正文列项_字母"/>
    <w:basedOn w:val="102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01" w:customStyle="1">
    <w:name w:val="xl28"/>
    <w:basedOn w:val="10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2" w:customStyle="1">
    <w:name w:val="xl47"/>
    <w:basedOn w:val="102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3" w:customStyle="1">
    <w:name w:val="默认段落字体 Para Char Char Char Char"/>
    <w:basedOn w:val="1029"/>
    <w:uiPriority w:val="0"/>
    <w:qFormat/>
    <w:rPr>
      <w:rFonts w:ascii="Arial" w:hAnsi="Arial" w:cs="Arial"/>
      <w:szCs w:val="21"/>
    </w:rPr>
  </w:style>
  <w:style w:type="paragraph" w:styleId="1204" w:customStyle="1">
    <w:name w:val="xl48"/>
    <w:basedOn w:val="10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05" w:customStyle="1">
    <w:name w:val="xl31"/>
    <w:basedOn w:val="102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06" w:customStyle="1">
    <w:name w:val="xl53"/>
    <w:basedOn w:val="10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7" w:customStyle="1">
    <w:name w:val="Char Char Char"/>
    <w:basedOn w:val="1029"/>
    <w:uiPriority w:val="0"/>
    <w:qFormat/>
    <w:rPr>
      <w:rFonts w:ascii="Tahoma" w:hAnsi="Tahoma"/>
      <w:sz w:val="24"/>
      <w:szCs w:val="20"/>
    </w:rPr>
  </w:style>
  <w:style w:type="paragraph" w:styleId="1208" w:customStyle="1">
    <w:name w:val="xl50"/>
    <w:basedOn w:val="10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09" w:customStyle="1">
    <w:name w:val="缺省文本"/>
    <w:basedOn w:val="1029"/>
    <w:uiPriority w:val="0"/>
    <w:qFormat/>
    <w:pPr>
      <w:jc w:val="left"/>
    </w:pPr>
    <w:rPr>
      <w:sz w:val="24"/>
    </w:rPr>
  </w:style>
  <w:style w:type="paragraph" w:styleId="1210" w:customStyle="1">
    <w:name w:val="Char Char Char1"/>
    <w:basedOn w:val="1029"/>
    <w:uiPriority w:val="0"/>
    <w:qFormat/>
    <w:rPr>
      <w:rFonts w:ascii="Tahoma" w:hAnsi="Tahoma"/>
      <w:sz w:val="24"/>
      <w:szCs w:val="20"/>
    </w:rPr>
  </w:style>
  <w:style w:type="paragraph" w:styleId="1211" w:customStyle="1">
    <w:name w:val="Char Char Char Char Char Char Char1"/>
    <w:basedOn w:val="1029"/>
    <w:uiPriority w:val="0"/>
    <w:qFormat/>
    <w:pPr>
      <w:ind w:firstLine="200"/>
      <w:spacing w:line="360" w:lineRule="auto"/>
    </w:pPr>
    <w:rPr>
      <w:rFonts w:eastAsia="仿宋_GB2312"/>
      <w:sz w:val="24"/>
    </w:rPr>
  </w:style>
  <w:style w:type="paragraph" w:styleId="1212" w:customStyle="1">
    <w:name w:val="xl51"/>
    <w:basedOn w:val="102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3" w:customStyle="1">
    <w:name w:val="样式2"/>
    <w:basedOn w:val="1069"/>
    <w:uiPriority w:val="0"/>
    <w:qFormat/>
    <w:pPr>
      <w:jc w:val="center"/>
      <w:spacing w:line="360" w:lineRule="auto"/>
    </w:pPr>
    <w:rPr>
      <w:sz w:val="24"/>
    </w:rPr>
  </w:style>
  <w:style w:type="paragraph" w:styleId="1214" w:customStyle="1">
    <w:name w:val="xl24"/>
    <w:basedOn w:val="10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5" w:customStyle="1">
    <w:name w:val="xl29"/>
    <w:basedOn w:val="10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16" w:customStyle="1">
    <w:name w:val="正文 + 楷体_GB2312"/>
    <w:basedOn w:val="1029"/>
    <w:uiPriority w:val="0"/>
    <w:qFormat/>
    <w:pPr>
      <w:jc w:val="left"/>
      <w:widowControl/>
    </w:pPr>
    <w:rPr>
      <w:rFonts w:ascii="楷体_GB2312" w:eastAsia="楷体_GB2312" w:cs="Arial"/>
      <w:sz w:val="24"/>
    </w:rPr>
  </w:style>
  <w:style w:type="paragraph" w:styleId="1217" w:customStyle="1">
    <w:name w:val="xl34"/>
    <w:basedOn w:val="10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18" w:customStyle="1">
    <w:name w:val="1 Char Char Char Char"/>
    <w:basedOn w:val="1029"/>
    <w:uiPriority w:val="0"/>
    <w:qFormat/>
    <w:rPr>
      <w:rFonts w:ascii="Tahoma" w:hAnsi="Tahoma"/>
      <w:sz w:val="24"/>
      <w:szCs w:val="20"/>
    </w:rPr>
  </w:style>
  <w:style w:type="paragraph" w:styleId="1219"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20" w:customStyle="1">
    <w:name w:val="列出段落1"/>
    <w:basedOn w:val="1029"/>
    <w:uiPriority w:val="0"/>
    <w:qFormat/>
    <w:pPr>
      <w:ind w:firstLine="420"/>
    </w:pPr>
    <w:rPr>
      <w:rFonts w:ascii="Calibri" w:hAnsi="Calibri"/>
      <w:szCs w:val="22"/>
    </w:rPr>
  </w:style>
  <w:style w:type="paragraph" w:styleId="1221" w:customStyle="1">
    <w:name w:val="default"/>
    <w:basedOn w:val="1029"/>
    <w:uiPriority w:val="0"/>
    <w:qFormat/>
    <w:pPr>
      <w:jc w:val="left"/>
      <w:spacing w:before="100" w:beforeAutospacing="1" w:after="100" w:afterAutospacing="1"/>
      <w:widowControl/>
    </w:pPr>
    <w:rPr>
      <w:rFonts w:ascii="宋体" w:hAnsi="宋体" w:cs="宋体"/>
      <w:sz w:val="24"/>
    </w:rPr>
  </w:style>
  <w:style w:type="paragraph" w:styleId="1222" w:customStyle="1">
    <w:name w:val="字元 字元1"/>
    <w:basedOn w:val="1029"/>
    <w:uiPriority w:val="0"/>
    <w:qFormat/>
    <w:rPr>
      <w:rFonts w:ascii="Tahoma" w:hAnsi="Tahoma"/>
      <w:sz w:val="24"/>
      <w:szCs w:val="20"/>
    </w:rPr>
  </w:style>
  <w:style w:type="paragraph" w:styleId="1223" w:customStyle="1">
    <w:name w:val="_Style 160"/>
    <w:uiPriority w:val="0"/>
    <w:qFormat/>
    <w:rPr>
      <w:rFonts w:ascii="Times New Roman" w:hAnsi="Times New Roman" w:eastAsia="宋体" w:cs="Times New Roman"/>
      <w:sz w:val="21"/>
      <w:szCs w:val="24"/>
      <w:lang w:val="en-US" w:eastAsia="zh-CN" w:bidi="ar-SA"/>
    </w:rPr>
  </w:style>
  <w:style w:type="paragraph" w:styleId="1224" w:customStyle="1">
    <w:name w:val="项目编号3"/>
    <w:basedOn w:val="1184"/>
    <w:uiPriority w:val="0"/>
    <w:qFormat/>
    <w:pPr>
      <w:numPr>
        <w:ilvl w:val="0"/>
        <w:numId w:val="6"/>
      </w:numPr>
    </w:pPr>
  </w:style>
  <w:style w:type="paragraph" w:styleId="1225" w:customStyle="1">
    <w:name w:val="Char21"/>
    <w:basedOn w:val="1029"/>
    <w:uiPriority w:val="0"/>
    <w:qFormat/>
    <w:rPr>
      <w:rFonts w:ascii="Tahoma" w:hAnsi="Tahoma"/>
      <w:sz w:val="24"/>
      <w:szCs w:val="20"/>
    </w:rPr>
  </w:style>
  <w:style w:type="paragraph" w:styleId="1226" w:customStyle="1">
    <w:name w:val="表格文字"/>
    <w:basedOn w:val="1048"/>
    <w:uiPriority w:val="0"/>
    <w:qFormat/>
    <w:pPr>
      <w:ind w:firstLine="0"/>
      <w:spacing w:before="20" w:after="20" w:line="240" w:lineRule="auto"/>
    </w:pPr>
    <w:rPr>
      <w:rFonts w:ascii="Century Gothic" w:hAnsi="Century Gothic"/>
      <w:sz w:val="20"/>
      <w:szCs w:val="20"/>
    </w:rPr>
  </w:style>
  <w:style w:type="paragraph" w:styleId="1227" w:customStyle="1">
    <w:name w:val="Char Char Char Char Char Char Char Char Char Char1"/>
    <w:basedOn w:val="1029"/>
    <w:uiPriority w:val="0"/>
    <w:qFormat/>
    <w:rPr>
      <w:rFonts w:ascii="宋体" w:hAnsi="宋体" w:cs="Courier New"/>
      <w:sz w:val="32"/>
      <w:szCs w:val="32"/>
    </w:rPr>
  </w:style>
  <w:style w:type="paragraph" w:styleId="1228" w:customStyle="1">
    <w:name w:val="正文文本样式 加粗"/>
    <w:basedOn w:val="1184"/>
    <w:uiPriority w:val="0"/>
    <w:qFormat/>
    <w:rPr>
      <w:b/>
    </w:rPr>
  </w:style>
  <w:style w:type="paragraph" w:styleId="1229" w:customStyle="1">
    <w:name w:val="Char2 Char Char Char Char Char Char"/>
    <w:basedOn w:val="1029"/>
    <w:uiPriority w:val="0"/>
    <w:qFormat/>
    <w:pPr>
      <w:jc w:val="center"/>
      <w:spacing w:line="400" w:lineRule="exact"/>
      <w:widowControl/>
    </w:pPr>
  </w:style>
  <w:style w:type="paragraph" w:styleId="1230" w:customStyle="1">
    <w:name w:val="Char Char4"/>
    <w:basedOn w:val="1029"/>
    <w:uiPriority w:val="0"/>
    <w:qFormat/>
    <w:pPr>
      <w:jc w:val="center"/>
      <w:spacing w:line="400" w:lineRule="exact"/>
      <w:widowControl/>
    </w:pPr>
  </w:style>
  <w:style w:type="paragraph" w:styleId="1231" w:customStyle="1">
    <w:name w:val="Char3 Char Char Char1"/>
    <w:basedOn w:val="1029"/>
    <w:uiPriority w:val="0"/>
    <w:qFormat/>
    <w:rPr>
      <w:rFonts w:ascii="Tahoma" w:hAnsi="Tahoma"/>
      <w:sz w:val="24"/>
      <w:szCs w:val="20"/>
    </w:rPr>
  </w:style>
  <w:style w:type="paragraph" w:styleId="1232" w:customStyle="1">
    <w:name w:val="中等深浅网格 21"/>
    <w:uiPriority w:val="0"/>
    <w:qFormat/>
    <w:pPr>
      <w:jc w:val="both"/>
      <w:widowControl w:val="off"/>
    </w:pPr>
    <w:rPr>
      <w:rFonts w:ascii="Times New Roman" w:hAnsi="Times New Roman" w:eastAsia="宋体" w:cs="Times New Roman"/>
      <w:sz w:val="21"/>
      <w:szCs w:val="24"/>
      <w:lang w:val="en-US" w:eastAsia="zh-CN" w:bidi="ar-SA"/>
    </w:rPr>
  </w:style>
  <w:style w:type="paragraph" w:styleId="1233" w:customStyle="1">
    <w:name w:val="22222222222222"/>
    <w:basedOn w:val="1029"/>
    <w:uiPriority w:val="0"/>
    <w:qFormat/>
    <w:pPr>
      <w:ind w:firstLine="480"/>
      <w:jc w:val="left"/>
      <w:spacing w:line="360" w:lineRule="auto"/>
      <w:widowControl/>
    </w:pPr>
    <w:rPr>
      <w:color w:val="ff0000"/>
      <w:sz w:val="24"/>
      <w:szCs w:val="20"/>
    </w:rPr>
  </w:style>
  <w:style w:type="character" w:styleId="1234" w:customStyle="1">
    <w:name w:val="中等深浅网格 1 - 强调文字颜色 2 Char"/>
    <w:link w:val="1235"/>
    <w:uiPriority w:val="0"/>
    <w:qFormat/>
    <w:rPr>
      <w:szCs w:val="24"/>
      <w:lang w:val="zh-CN"/>
    </w:rPr>
  </w:style>
  <w:style w:type="paragraph" w:styleId="1235" w:customStyle="1">
    <w:name w:val="1"/>
    <w:link w:val="1234"/>
    <w:uiPriority w:val="0"/>
    <w:qFormat/>
    <w:rPr>
      <w:rFonts w:asciiTheme="minorHAnsi" w:hAnsiTheme="minorHAnsi" w:eastAsiaTheme="minorEastAsia" w:cstheme="minorBidi"/>
      <w:sz w:val="21"/>
      <w:szCs w:val="24"/>
      <w:lang w:val="zh-CN" w:eastAsia="zh-CN" w:bidi="ar-SA"/>
    </w:rPr>
  </w:style>
  <w:style w:type="paragraph" w:styleId="1236" w:customStyle="1">
    <w:name w:val="图文"/>
    <w:basedOn w:val="1029"/>
    <w:uiPriority w:val="0"/>
    <w:qFormat/>
    <w:pPr>
      <w:spacing w:after="50" w:line="360" w:lineRule="auto"/>
    </w:pPr>
    <w:rPr>
      <w:sz w:val="24"/>
    </w:rPr>
  </w:style>
  <w:style w:type="paragraph" w:styleId="1237" w:customStyle="1">
    <w:name w:val="xl23"/>
    <w:basedOn w:val="1029"/>
    <w:uiPriority w:val="0"/>
    <w:qFormat/>
    <w:pPr>
      <w:spacing w:before="100" w:beforeAutospacing="1" w:after="100" w:afterAutospacing="1" w:line="360" w:lineRule="auto"/>
      <w:widowControl/>
    </w:pPr>
    <w:rPr>
      <w:sz w:val="24"/>
      <w:szCs w:val="20"/>
    </w:rPr>
  </w:style>
  <w:style w:type="paragraph" w:styleId="1238" w:customStyle="1">
    <w:name w:val="正文表格"/>
    <w:basedOn w:val="1029"/>
    <w:link w:val="1239"/>
    <w:uiPriority w:val="0"/>
    <w:qFormat/>
    <w:pPr>
      <w:jc w:val="left"/>
    </w:pPr>
    <w:rPr>
      <w:rFonts w:ascii="宋体" w:hAnsi="宋体"/>
      <w:color w:val="000000"/>
      <w:szCs w:val="21"/>
    </w:rPr>
  </w:style>
  <w:style w:type="character" w:styleId="1239" w:customStyle="1">
    <w:name w:val="正文表格 Char"/>
    <w:link w:val="1238"/>
    <w:uiPriority w:val="0"/>
    <w:qFormat/>
    <w:rPr>
      <w:rFonts w:ascii="宋体" w:hAnsi="宋体" w:eastAsia="宋体" w:cs="Times New Roman"/>
      <w:color w:val="000000"/>
      <w:szCs w:val="21"/>
    </w:rPr>
  </w:style>
  <w:style w:type="paragraph" w:styleId="1240" w:customStyle="1">
    <w:name w:val="正文重点"/>
    <w:basedOn w:val="1029"/>
    <w:link w:val="1241"/>
    <w:uiPriority w:val="0"/>
    <w:qFormat/>
    <w:pPr>
      <w:ind w:firstLine="482"/>
      <w:jc w:val="left"/>
      <w:spacing w:line="360" w:lineRule="auto"/>
    </w:pPr>
    <w:rPr>
      <w:b/>
      <w:sz w:val="24"/>
      <w:szCs w:val="20"/>
    </w:rPr>
  </w:style>
  <w:style w:type="character" w:styleId="1241" w:customStyle="1">
    <w:name w:val="正文重点 Char"/>
    <w:link w:val="1240"/>
    <w:uiPriority w:val="0"/>
    <w:qFormat/>
    <w:rPr>
      <w:rFonts w:ascii="Times New Roman" w:hAnsi="Times New Roman" w:eastAsia="宋体" w:cs="Times New Roman"/>
      <w:b/>
      <w:sz w:val="24"/>
      <w:szCs w:val="20"/>
    </w:rPr>
  </w:style>
  <w:style w:type="paragraph" w:styleId="1242" w:customStyle="1">
    <w:name w:val="标题1-附件"/>
    <w:basedOn w:val="1030"/>
    <w:uiPriority w:val="0"/>
    <w:qFormat/>
    <w:pPr>
      <w:jc w:val="left"/>
    </w:pPr>
    <w:rPr>
      <w:sz w:val="24"/>
      <w:szCs w:val="24"/>
    </w:rPr>
  </w:style>
  <w:style w:type="paragraph" w:styleId="1243" w:customStyle="1">
    <w:name w:val="正文小标题"/>
    <w:basedOn w:val="1029"/>
    <w:next w:val="1041"/>
    <w:link w:val="1244"/>
    <w:uiPriority w:val="0"/>
    <w:qFormat/>
    <w:pPr>
      <w:ind w:firstLine="482"/>
      <w:jc w:val="left"/>
      <w:spacing w:before="312" w:after="312"/>
    </w:pPr>
    <w:rPr>
      <w:rFonts w:ascii="宋体" w:hAnsi="宋体"/>
      <w:b/>
      <w:i/>
      <w:color w:val="ff0000"/>
      <w:sz w:val="24"/>
      <w:szCs w:val="20"/>
    </w:rPr>
  </w:style>
  <w:style w:type="character" w:styleId="1244" w:customStyle="1">
    <w:name w:val="正文小标题 Char"/>
    <w:link w:val="1243"/>
    <w:uiPriority w:val="0"/>
    <w:qFormat/>
    <w:rPr>
      <w:rFonts w:ascii="宋体" w:hAnsi="宋体" w:eastAsia="宋体" w:cs="Times New Roman"/>
      <w:b/>
      <w:i/>
      <w:color w:val="ff0000"/>
      <w:sz w:val="24"/>
      <w:szCs w:val="20"/>
    </w:rPr>
  </w:style>
  <w:style w:type="paragraph" w:styleId="1245" w:customStyle="1">
    <w:name w:val="正文大标题"/>
    <w:basedOn w:val="1243"/>
    <w:next w:val="1041"/>
    <w:link w:val="1246"/>
    <w:uiPriority w:val="0"/>
    <w:qFormat/>
    <w:pPr>
      <w:jc w:val="center"/>
    </w:pPr>
    <w:rPr>
      <w:i w:val="0"/>
      <w:color w:val="000000"/>
      <w:sz w:val="28"/>
      <w:szCs w:val="21"/>
    </w:rPr>
  </w:style>
  <w:style w:type="character" w:styleId="1246" w:customStyle="1">
    <w:name w:val="正文大标题 Char"/>
    <w:link w:val="1245"/>
    <w:uiPriority w:val="0"/>
    <w:qFormat/>
    <w:rPr>
      <w:rFonts w:ascii="宋体" w:hAnsi="宋体" w:eastAsia="宋体" w:cs="Times New Roman"/>
      <w:b/>
      <w:color w:val="000000"/>
      <w:sz w:val="28"/>
      <w:szCs w:val="21"/>
    </w:rPr>
  </w:style>
  <w:style w:type="paragraph" w:styleId="1247" w:customStyle="1">
    <w:name w:val="注释"/>
    <w:basedOn w:val="1029"/>
    <w:link w:val="1248"/>
    <w:uiPriority w:val="0"/>
    <w:qFormat/>
    <w:pPr>
      <w:ind w:left="420" w:hanging="420"/>
      <w:jc w:val="left"/>
    </w:pPr>
    <w:rPr>
      <w:rFonts w:ascii="宋体" w:hAnsi="宋体"/>
      <w:szCs w:val="21"/>
    </w:rPr>
  </w:style>
  <w:style w:type="character" w:styleId="1248" w:customStyle="1">
    <w:name w:val="注释 Char"/>
    <w:link w:val="1247"/>
    <w:uiPriority w:val="0"/>
    <w:qFormat/>
    <w:rPr>
      <w:rFonts w:ascii="宋体" w:hAnsi="宋体" w:eastAsia="宋体" w:cs="Times New Roman"/>
      <w:szCs w:val="21"/>
    </w:rPr>
  </w:style>
  <w:style w:type="paragraph" w:styleId="1249" w:customStyle="1">
    <w:name w:val="正文须知-1级"/>
    <w:basedOn w:val="1029"/>
    <w:next w:val="1029"/>
    <w:uiPriority w:val="0"/>
    <w:qFormat/>
    <w:pPr>
      <w:ind w:left="680" w:hanging="680"/>
      <w:spacing w:line="300" w:lineRule="auto"/>
    </w:pPr>
    <w:rPr>
      <w:rFonts w:ascii="宋体" w:hAnsi="Calibri"/>
      <w:sz w:val="24"/>
      <w:szCs w:val="21"/>
    </w:rPr>
  </w:style>
  <w:style w:type="paragraph" w:styleId="1250" w:customStyle="1">
    <w:name w:val="正文须知-2级"/>
    <w:basedOn w:val="1029"/>
    <w:uiPriority w:val="0"/>
    <w:qFormat/>
    <w:pPr>
      <w:ind w:left="851" w:hanging="851"/>
      <w:spacing w:line="300" w:lineRule="auto"/>
    </w:pPr>
    <w:rPr>
      <w:rFonts w:ascii="宋体" w:hAnsi="Calibri"/>
      <w:sz w:val="24"/>
      <w:szCs w:val="21"/>
    </w:rPr>
  </w:style>
  <w:style w:type="paragraph" w:styleId="1251" w:customStyle="1">
    <w:name w:val="正文须知-3级"/>
    <w:basedOn w:val="1029"/>
    <w:uiPriority w:val="0"/>
    <w:qFormat/>
    <w:pPr>
      <w:numPr>
        <w:ilvl w:val="2"/>
        <w:numId w:val="7"/>
      </w:numPr>
      <w:ind w:hanging="355"/>
      <w:spacing w:line="300" w:lineRule="auto"/>
    </w:pPr>
    <w:rPr>
      <w:rFonts w:ascii="宋体" w:hAnsi="Calibri"/>
      <w:sz w:val="24"/>
      <w:szCs w:val="21"/>
    </w:rPr>
  </w:style>
  <w:style w:type="character" w:styleId="1252" w:customStyle="1">
    <w:name w:val="纯文本 字符"/>
    <w:uiPriority w:val="99"/>
    <w:qFormat/>
    <w:rPr>
      <w:rFonts w:ascii="宋体" w:hAnsi="Courier New" w:eastAsia="宋体" w:cs="Times New Roman"/>
      <w:sz w:val="21"/>
      <w:szCs w:val="21"/>
      <w:lang w:val="en-US" w:eastAsia="zh-CN" w:bidi="ar-SA"/>
    </w:rPr>
  </w:style>
  <w:style w:type="paragraph" w:styleId="1253" w:customStyle="1">
    <w:name w:val="表格1"/>
    <w:basedOn w:val="1029"/>
    <w:uiPriority w:val="0"/>
    <w:qFormat/>
    <w:pPr>
      <w:ind w:firstLine="480"/>
      <w:jc w:val="center"/>
    </w:pPr>
    <w:rPr>
      <w:sz w:val="24"/>
      <w:szCs w:val="20"/>
    </w:rPr>
  </w:style>
  <w:style w:type="character" w:styleId="1254" w:customStyle="1">
    <w:name w:val="纯文本 字符1"/>
    <w:uiPriority w:val="0"/>
    <w:qFormat/>
    <w:rPr>
      <w:rFonts w:ascii="宋体" w:hAnsi="Courier New"/>
    </w:rPr>
  </w:style>
  <w:style w:type="character" w:styleId="1255" w:customStyle="1">
    <w:name w:val="bjh-p"/>
    <w:uiPriority w:val="0"/>
    <w:qFormat/>
  </w:style>
  <w:style w:type="paragraph" w:styleId="1256" w:customStyle="1">
    <w:name w:val="无标题条"/>
    <w:next w:val="1029"/>
    <w:uiPriority w:val="0"/>
    <w:qFormat/>
    <w:pPr>
      <w:jc w:val="both"/>
    </w:pPr>
    <w:rPr>
      <w:rFonts w:ascii="Times New Roman" w:hAnsi="Times New Roman" w:eastAsia="宋体" w:cs="Times New Roman"/>
      <w:sz w:val="21"/>
      <w:lang w:val="en-US" w:eastAsia="zh-CN" w:bidi="ar-SA"/>
    </w:rPr>
  </w:style>
  <w:style w:type="character" w:styleId="1257" w:customStyle="1">
    <w:name w:val="正文格式 Char"/>
    <w:link w:val="1258"/>
    <w:uiPriority w:val="0"/>
    <w:qFormat/>
    <w:rPr>
      <w:rFonts w:ascii="宋体" w:hAnsi="宋体"/>
      <w:sz w:val="24"/>
      <w:szCs w:val="24"/>
      <w:lang w:val="en-GB"/>
    </w:rPr>
  </w:style>
  <w:style w:type="paragraph" w:styleId="1258" w:customStyle="1">
    <w:name w:val="正文格式"/>
    <w:basedOn w:val="1029"/>
    <w:link w:val="1257"/>
    <w:uiPriority w:val="0"/>
    <w:qFormat/>
    <w:pPr>
      <w:ind w:firstLine="480"/>
      <w:spacing w:line="360" w:lineRule="auto"/>
    </w:pPr>
    <w:rPr>
      <w:rFonts w:ascii="宋体" w:hAnsi="宋体" w:eastAsiaTheme="minorEastAsia" w:cstheme="minorBidi"/>
      <w:sz w:val="24"/>
      <w:lang w:val="en-GB"/>
    </w:rPr>
  </w:style>
  <w:style w:type="character" w:styleId="1259" w:customStyle="1">
    <w:name w:val="正文缩进 Char"/>
    <w:uiPriority w:val="0"/>
    <w:qFormat/>
    <w:rPr>
      <w:rFonts w:ascii="宋体" w:eastAsia="宋体"/>
      <w:sz w:val="24"/>
      <w:szCs w:val="24"/>
      <w:lang w:val="en-US" w:eastAsia="zh-CN" w:bidi="ar-SA"/>
    </w:rPr>
  </w:style>
  <w:style w:type="character" w:styleId="1260" w:customStyle="1">
    <w:name w:val="Char Char111"/>
    <w:uiPriority w:val="0"/>
    <w:qFormat/>
    <w:rPr>
      <w:rFonts w:ascii="宋体" w:eastAsia="宋体"/>
      <w:b/>
      <w:sz w:val="24"/>
      <w:u w:val="single"/>
      <w:lang w:val="en-US" w:eastAsia="zh-CN" w:bidi="ar-SA"/>
    </w:rPr>
  </w:style>
  <w:style w:type="character" w:styleId="1261" w:customStyle="1">
    <w:name w:val="列出段落 Char"/>
    <w:uiPriority w:val="0"/>
    <w:qFormat/>
    <w:rPr>
      <w:rFonts w:ascii="Calibri" w:hAnsi="Calibri" w:eastAsia="宋体"/>
      <w:sz w:val="21"/>
      <w:szCs w:val="22"/>
      <w:lang w:val="en-US" w:eastAsia="zh-CN" w:bidi="ar-SA"/>
    </w:rPr>
  </w:style>
  <w:style w:type="paragraph" w:styleId="1262" w:customStyle="1">
    <w:name w:val="字元 字元2"/>
    <w:basedOn w:val="1029"/>
    <w:uiPriority w:val="0"/>
    <w:qFormat/>
    <w:rPr>
      <w:rFonts w:ascii="Tahoma" w:hAnsi="Tahoma"/>
      <w:sz w:val="24"/>
      <w:szCs w:val="20"/>
    </w:rPr>
  </w:style>
  <w:style w:type="paragraph" w:styleId="1263" w:customStyle="1">
    <w:name w:val="Char3 Char Char Char2"/>
    <w:basedOn w:val="1029"/>
    <w:uiPriority w:val="0"/>
    <w:qFormat/>
    <w:rPr>
      <w:rFonts w:ascii="Tahoma" w:hAnsi="Tahoma"/>
      <w:sz w:val="24"/>
      <w:szCs w:val="20"/>
    </w:rPr>
  </w:style>
  <w:style w:type="paragraph" w:styleId="1264" w:customStyle="1">
    <w:name w:val="正文文本缩进2"/>
    <w:basedOn w:val="1029"/>
    <w:uiPriority w:val="0"/>
    <w:qFormat/>
    <w:pPr>
      <w:ind w:firstLine="480"/>
      <w:spacing w:line="480" w:lineRule="exact"/>
    </w:pPr>
    <w:rPr>
      <w:rFonts w:ascii="宋体" w:hAnsi="宋体"/>
      <w:sz w:val="24"/>
      <w:lang w:val="zh-CN"/>
    </w:rPr>
  </w:style>
  <w:style w:type="paragraph" w:styleId="1265" w:customStyle="1">
    <w:name w:val="Char3"/>
    <w:basedOn w:val="1029"/>
    <w:uiPriority w:val="0"/>
    <w:qFormat/>
    <w:pPr>
      <w:tabs>
        <w:tab w:val="left" w:pos="360" w:leader="none"/>
      </w:tabs>
    </w:pPr>
    <w:rPr>
      <w:sz w:val="24"/>
    </w:rPr>
  </w:style>
  <w:style w:type="paragraph" w:styleId="1266" w:customStyle="1">
    <w:name w:val="Char Char Char Char Char Char Char Char Char Char Char Char Char Char Char Char1"/>
    <w:basedOn w:val="1029"/>
    <w:uiPriority w:val="0"/>
    <w:qFormat/>
    <w:pPr>
      <w:jc w:val="center"/>
      <w:spacing w:after="160" w:line="240" w:lineRule="exact"/>
      <w:widowControl/>
    </w:pPr>
    <w:rPr>
      <w:rFonts w:ascii="宋体" w:hAnsi="宋体"/>
      <w:b/>
      <w:sz w:val="30"/>
      <w:szCs w:val="30"/>
      <w:lang w:eastAsia="en-US"/>
    </w:rPr>
  </w:style>
  <w:style w:type="paragraph" w:styleId="1267" w:customStyle="1">
    <w:name w:val="Char Char1 Char Char Char Char Char Char1"/>
    <w:basedOn w:val="1029"/>
    <w:uiPriority w:val="0"/>
    <w:qFormat/>
    <w:pPr>
      <w:jc w:val="left"/>
      <w:spacing w:after="160" w:line="240" w:lineRule="exact"/>
      <w:widowControl/>
    </w:pPr>
    <w:rPr>
      <w:rFonts w:ascii="Verdana" w:hAnsi="Verdana" w:eastAsia="仿宋_GB2312"/>
      <w:sz w:val="24"/>
      <w:szCs w:val="20"/>
      <w:lang w:eastAsia="en-US"/>
    </w:rPr>
  </w:style>
  <w:style w:type="paragraph" w:styleId="1268" w:customStyle="1">
    <w:name w:val="列出段落2"/>
    <w:basedOn w:val="1029"/>
    <w:uiPriority w:val="34"/>
    <w:qFormat/>
    <w:pPr>
      <w:ind w:firstLine="420"/>
    </w:pPr>
    <w:rPr>
      <w:rFonts w:ascii="Calibri" w:hAnsi="Calibri"/>
      <w:szCs w:val="22"/>
    </w:rPr>
  </w:style>
  <w:style w:type="paragraph" w:styleId="1269" w:customStyle="1">
    <w:name w:val="Char Char Char1 Char2"/>
    <w:basedOn w:val="1029"/>
    <w:uiPriority w:val="0"/>
    <w:qFormat/>
    <w:rPr>
      <w:rFonts w:ascii="Tahoma" w:hAnsi="Tahoma"/>
      <w:sz w:val="24"/>
      <w:szCs w:val="20"/>
    </w:rPr>
  </w:style>
  <w:style w:type="paragraph" w:styleId="1270" w:customStyle="1">
    <w:name w:val="Char Char Char2"/>
    <w:basedOn w:val="1029"/>
    <w:uiPriority w:val="0"/>
    <w:qFormat/>
    <w:rPr>
      <w:rFonts w:ascii="Tahoma" w:hAnsi="Tahoma"/>
      <w:sz w:val="24"/>
      <w:szCs w:val="20"/>
    </w:rPr>
  </w:style>
  <w:style w:type="paragraph" w:styleId="1271" w:customStyle="1">
    <w:name w:val="Char Char Char Char Char Char Char2"/>
    <w:basedOn w:val="1029"/>
    <w:uiPriority w:val="0"/>
    <w:qFormat/>
    <w:pPr>
      <w:ind w:firstLine="200"/>
      <w:spacing w:line="360" w:lineRule="auto"/>
    </w:pPr>
    <w:rPr>
      <w:rFonts w:eastAsia="仿宋_GB2312"/>
      <w:sz w:val="24"/>
    </w:rPr>
  </w:style>
  <w:style w:type="paragraph" w:styleId="1272" w:customStyle="1">
    <w:name w:val="正文缩进2"/>
    <w:basedOn w:val="1029"/>
    <w:uiPriority w:val="0"/>
    <w:qFormat/>
    <w:pPr>
      <w:ind w:firstLine="567"/>
      <w:spacing w:line="480" w:lineRule="exact"/>
      <w:widowControl/>
    </w:pPr>
    <w:rPr>
      <w:rFonts w:ascii="宋体"/>
      <w:color w:val="000000"/>
      <w:sz w:val="28"/>
      <w:szCs w:val="20"/>
      <w:lang w:val="zh-CN"/>
    </w:rPr>
  </w:style>
  <w:style w:type="paragraph" w:styleId="1273" w:customStyle="1">
    <w:name w:val="修订1"/>
    <w:uiPriority w:val="0"/>
    <w:qFormat/>
    <w:rPr>
      <w:rFonts w:ascii="Times New Roman" w:hAnsi="Times New Roman" w:eastAsia="宋体" w:cs="Times New Roman"/>
      <w:sz w:val="21"/>
      <w:szCs w:val="24"/>
      <w:lang w:val="en-US" w:eastAsia="zh-CN" w:bidi="ar-SA"/>
    </w:rPr>
  </w:style>
  <w:style w:type="paragraph" w:styleId="1274" w:customStyle="1">
    <w:name w:val="Char22"/>
    <w:basedOn w:val="1029"/>
    <w:uiPriority w:val="0"/>
    <w:qFormat/>
    <w:rPr>
      <w:rFonts w:ascii="Tahoma" w:hAnsi="Tahoma"/>
      <w:sz w:val="24"/>
      <w:szCs w:val="20"/>
    </w:rPr>
  </w:style>
  <w:style w:type="paragraph" w:styleId="1275" w:customStyle="1">
    <w:name w:val="Char Char Char Char Char Char Char Char Char Char2"/>
    <w:basedOn w:val="1029"/>
    <w:uiPriority w:val="0"/>
    <w:qFormat/>
    <w:rPr>
      <w:rFonts w:ascii="宋体" w:hAnsi="宋体" w:cs="Courier New"/>
      <w:sz w:val="32"/>
      <w:szCs w:val="32"/>
    </w:rPr>
  </w:style>
  <w:style w:type="paragraph" w:styleId="1276" w:customStyle="1">
    <w:name w:val="Char2 Char Char Char Char Char Char1"/>
    <w:basedOn w:val="1029"/>
    <w:uiPriority w:val="0"/>
    <w:qFormat/>
    <w:pPr>
      <w:jc w:val="center"/>
      <w:spacing w:line="400" w:lineRule="exact"/>
      <w:widowControl/>
    </w:pPr>
  </w:style>
  <w:style w:type="paragraph" w:styleId="1277" w:customStyle="1">
    <w:name w:val="Char Char41"/>
    <w:basedOn w:val="1029"/>
    <w:uiPriority w:val="0"/>
    <w:qFormat/>
    <w:pPr>
      <w:jc w:val="center"/>
      <w:spacing w:line="400" w:lineRule="exact"/>
      <w:widowControl/>
    </w:pPr>
  </w:style>
  <w:style w:type="paragraph" w:styleId="1278" w:customStyle="1">
    <w:name w:val="图例"/>
    <w:basedOn w:val="1029"/>
    <w:uiPriority w:val="0"/>
    <w:qFormat/>
    <w:pPr>
      <w:jc w:val="center"/>
      <w:spacing w:before="120" w:after="120" w:line="360" w:lineRule="auto"/>
    </w:pPr>
    <w:rPr>
      <w:rFonts w:eastAsia="仿宋_GB2312"/>
      <w:b/>
      <w:sz w:val="24"/>
      <w:szCs w:val="20"/>
    </w:rPr>
  </w:style>
  <w:style w:type="paragraph" w:styleId="1279" w:customStyle="1">
    <w:name w:val="Table Paragraph"/>
    <w:basedOn w:val="1029"/>
    <w:uiPriority w:val="1"/>
    <w:qFormat/>
    <w:pPr>
      <w:jc w:val="left"/>
      <w:spacing w:line="360" w:lineRule="auto"/>
    </w:pPr>
    <w:rPr>
      <w:rFonts w:cs="宋体" w:asciiTheme="minorEastAsia" w:hAnsiTheme="minorEastAsia" w:eastAsiaTheme="minorEastAsia"/>
      <w:szCs w:val="21"/>
    </w:rPr>
  </w:style>
  <w:style w:type="paragraph" w:styleId="1280" w:customStyle="1">
    <w:name w:val="成文日期"/>
    <w:basedOn w:val="1029"/>
    <w:link w:val="1281"/>
    <w:uiPriority w:val="0"/>
    <w:qFormat/>
    <w:pPr>
      <w:ind w:right="400" w:firstLine="200"/>
      <w:jc w:val="right"/>
      <w:spacing w:line="570" w:lineRule="exact"/>
    </w:pPr>
    <w:rPr>
      <w:rFonts w:ascii="仿宋_GB2312" w:eastAsia="仿宋_GB2312"/>
      <w:sz w:val="32"/>
      <w:szCs w:val="20"/>
    </w:rPr>
  </w:style>
  <w:style w:type="character" w:styleId="1281" w:customStyle="1">
    <w:name w:val="成文日期 Char"/>
    <w:link w:val="1280"/>
    <w:uiPriority w:val="0"/>
    <w:qFormat/>
    <w:rPr>
      <w:rFonts w:ascii="仿宋_GB2312" w:hAnsi="Times New Roman" w:eastAsia="仿宋_GB2312" w:cs="Times New Roman"/>
      <w:sz w:val="32"/>
      <w:szCs w:val="20"/>
    </w:rPr>
  </w:style>
  <w:style w:type="paragraph" w:styleId="1282" w:customStyle="1">
    <w:name w:val="段"/>
    <w:next w:val="1029"/>
    <w:uiPriority w:val="0"/>
    <w:qFormat/>
    <w:pPr>
      <w:ind w:firstLine="200"/>
      <w:jc w:val="both"/>
    </w:pPr>
    <w:rPr>
      <w:rFonts w:ascii="宋体" w:hAnsi="Calibri" w:eastAsia="宋体" w:cs="Times New Roman"/>
      <w:sz w:val="21"/>
      <w:lang w:val="en-US" w:eastAsia="zh-CN" w:bidi="ar-SA"/>
    </w:rPr>
  </w:style>
  <w:style w:type="paragraph" w:styleId="1283" w:customStyle="1">
    <w:name w:val="Í¼±íÕýÎÄ"/>
    <w:basedOn w:val="1029"/>
    <w:next w:val="1041"/>
    <w:uiPriority w:val="0"/>
    <w:qFormat/>
    <w:pPr>
      <w:ind w:firstLine="420"/>
    </w:pPr>
    <w:rPr>
      <w:sz w:val="24"/>
      <w:szCs w:val="20"/>
    </w:rPr>
  </w:style>
  <w:style w:type="character" w:styleId="1284" w:customStyle="1">
    <w:name w:val="font11"/>
    <w:uiPriority w:val="0"/>
    <w:qFormat/>
    <w:rPr>
      <w:rFonts w:hint="eastAsia" w:ascii="宋体" w:hAnsi="宋体" w:eastAsia="宋体" w:cs="宋体"/>
      <w:color w:val="000000"/>
      <w:sz w:val="24"/>
      <w:szCs w:val="24"/>
      <w:u w:val="none"/>
    </w:rPr>
  </w:style>
  <w:style w:type="character" w:styleId="1285" w:customStyle="1">
    <w:name w:val="font21"/>
    <w:uiPriority w:val="0"/>
    <w:qFormat/>
    <w:rPr>
      <w:rFonts w:hint="eastAsia" w:ascii="宋体" w:hAnsi="宋体" w:eastAsia="宋体" w:cs="宋体"/>
      <w:color w:val="ff0000"/>
      <w:sz w:val="24"/>
      <w:szCs w:val="24"/>
      <w:u w:val="none"/>
    </w:rPr>
  </w:style>
  <w:style w:type="character" w:styleId="1286" w:customStyle="1">
    <w:name w:val="font31"/>
    <w:basedOn w:val="1039"/>
    <w:uiPriority w:val="0"/>
    <w:qFormat/>
    <w:rPr>
      <w:rFonts w:hint="eastAsia" w:ascii="宋体" w:hAnsi="宋体" w:eastAsia="宋体" w:cs="宋体"/>
      <w:color w:val="ff0000"/>
      <w:sz w:val="24"/>
      <w:szCs w:val="24"/>
      <w:u w:val="none"/>
    </w:rPr>
  </w:style>
  <w:style w:type="character" w:styleId="1287" w:customStyle="1">
    <w:name w:val="l-btn-left"/>
    <w:uiPriority w:val="0"/>
    <w:qFormat/>
  </w:style>
  <w:style w:type="character" w:styleId="1288" w:customStyle="1">
    <w:name w:val="l-btn-text36"/>
    <w:uiPriority w:val="0"/>
    <w:qFormat/>
  </w:style>
  <w:style w:type="character" w:styleId="1289" w:customStyle="1">
    <w:name w:val="current"/>
    <w:uiPriority w:val="0"/>
    <w:qFormat/>
    <w:rPr>
      <w:b/>
      <w:bCs/>
      <w:color w:val="05a7d8"/>
      <w:sz w:val="18"/>
      <w:szCs w:val="18"/>
    </w:rPr>
  </w:style>
  <w:style w:type="character" w:styleId="1290" w:customStyle="1">
    <w:name w:val="l-btn-text"/>
    <w:uiPriority w:val="0"/>
    <w:qFormat/>
  </w:style>
  <w:style w:type="paragraph" w:styleId="1291" w:customStyle="1">
    <w:name w:val="彩色底纹 - 强调文字颜色 11"/>
    <w:uiPriority w:val="71"/>
    <w:qFormat/>
    <w:rPr>
      <w:rFonts w:ascii="Times New Roman" w:hAnsi="Times New Roman" w:eastAsia="宋体" w:cs="Times New Roman"/>
      <w:sz w:val="21"/>
      <w:szCs w:val="24"/>
      <w:lang w:val="en-US" w:eastAsia="zh-CN" w:bidi="ar-SA"/>
    </w:rPr>
  </w:style>
  <w:style w:type="paragraph" w:styleId="1292">
    <w:name w:val="List Paragraph"/>
    <w:basedOn w:val="1029"/>
    <w:uiPriority w:val="34"/>
    <w:qFormat/>
    <w:pPr>
      <w:ind w:firstLine="420"/>
    </w:pPr>
  </w:style>
  <w:style w:type="paragraph" w:styleId="1293" w:customStyle="1">
    <w:name w:val="表格"/>
    <w:basedOn w:val="1029"/>
    <w:uiPriority w:val="0"/>
    <w:qFormat/>
    <w:rPr>
      <w:rFonts w:ascii="Calibri" w:hAnsi="Calibri"/>
      <w:szCs w:val="21"/>
    </w:rPr>
  </w:style>
  <w:style w:type="character" w:styleId="1294" w:customStyle="1">
    <w:name w:val="普通(网站) Char"/>
    <w:link w:val="1068"/>
    <w:uiPriority w:val="99"/>
    <w:qFormat/>
    <w:rPr>
      <w:rFonts w:ascii="宋体" w:hAnsi="宋体" w:eastAsia="宋体" w:cs="宋体"/>
      <w:sz w:val="24"/>
      <w:szCs w:val="24"/>
    </w:rPr>
  </w:style>
  <w:style w:type="paragraph" w:styleId="1295" w:customStyle="1">
    <w:name w:val="null3"/>
    <w:uiPriority w:val="0"/>
    <w:qFormat/>
    <w:rPr>
      <w:rFonts w:ascii="Calibri" w:hAnsi="Calibri" w:eastAsia="宋体" w:cs="Times New Roman"/>
      <w:lang w:val="en-US" w:eastAsia="zh-CN" w:bidi="ar-SA"/>
    </w:rPr>
  </w:style>
  <w:style w:type="paragraph" w:styleId="1296" w:customStyle="1">
    <w:name w:val="纯文本11"/>
    <w:basedOn w:val="1029"/>
    <w:next w:val="1297"/>
    <w:uiPriority w:val="99"/>
    <w:qFormat/>
    <w:rPr>
      <w:rFonts w:hint="eastAsia" w:ascii="宋体" w:hAnsi="Courier New"/>
      <w:szCs w:val="20"/>
    </w:rPr>
  </w:style>
  <w:style w:type="paragraph" w:styleId="1297" w:customStyle="1">
    <w:name w:val="正文缩进11"/>
    <w:basedOn w:val="1029"/>
    <w:uiPriority w:val="0"/>
    <w:qFormat/>
    <w:pPr>
      <w:ind w:firstLine="420"/>
      <w:jc w:val="left"/>
    </w:pPr>
    <w:rPr>
      <w:rFonts w:ascii="宋体"/>
      <w:sz w:val="24"/>
    </w:rPr>
  </w:style>
  <w:style w:type="table" w:styleId="1298"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99" w:customStyle="1">
    <w:name w:val="☆ 正文"/>
    <w:uiPriority w:val="0"/>
    <w:qFormat/>
    <w:pPr>
      <w:jc w:val="both"/>
      <w:widowControl w:val="off"/>
    </w:pPr>
    <w:rPr>
      <w:rFonts w:ascii="Calibri" w:hAnsi="Calibri" w:eastAsia="宋体" w:cs="Times New Roman"/>
      <w:sz w:val="21"/>
      <w:szCs w:val="22"/>
      <w:lang w:val="en-US" w:eastAsia="zh-CN" w:bidi="ar-SA"/>
    </w:rPr>
  </w:style>
  <w:style w:type="paragraph" w:styleId="1300" w:customStyle="1">
    <w:name w:val="正文文本1"/>
    <w:basedOn w:val="1029"/>
    <w:link w:val="1301"/>
    <w:uiPriority w:val="0"/>
    <w:qFormat/>
    <w:pPr>
      <w:spacing w:before="120" w:line="22" w:lineRule="atLeast"/>
      <w:tabs>
        <w:tab w:val="left" w:pos="567" w:leader="none"/>
      </w:tabs>
    </w:pPr>
    <w:rPr>
      <w:rFonts w:ascii="宋体" w:hAnsi="宋体"/>
      <w:sz w:val="24"/>
    </w:rPr>
  </w:style>
  <w:style w:type="character" w:styleId="1301" w:customStyle="1">
    <w:name w:val="正文文本_"/>
    <w:basedOn w:val="1039"/>
    <w:link w:val="1300"/>
    <w:uiPriority w:val="99"/>
    <w:unhideWhenUsed/>
    <w:qFormat/>
    <w:rPr>
      <w:rFonts w:ascii="宋体" w:hAnsi="宋体"/>
      <w:sz w:val="24"/>
    </w:rPr>
  </w:style>
  <w:style w:type="character" w:styleId="1302" w:customStyle="1">
    <w:name w:val="font61"/>
    <w:basedOn w:val="1039"/>
    <w:uiPriority w:val="0"/>
    <w:qFormat/>
    <w:rPr>
      <w:rFonts w:hint="eastAsia" w:ascii="宋体" w:hAnsi="宋体" w:eastAsia="宋体" w:cs="宋体"/>
      <w:color w:val="000000"/>
      <w:sz w:val="14"/>
      <w:szCs w:val="14"/>
      <w:u w:val="none"/>
    </w:rPr>
  </w:style>
  <w:style w:type="character" w:styleId="1303" w:customStyle="1">
    <w:name w:val="font71"/>
    <w:basedOn w:val="1039"/>
    <w:uiPriority w:val="0"/>
    <w:qFormat/>
    <w:rPr>
      <w:rFonts w:hint="eastAsia" w:ascii="宋体" w:hAnsi="宋体" w:eastAsia="宋体" w:cs="宋体"/>
      <w:color w:val="000000"/>
      <w:sz w:val="14"/>
      <w:szCs w:val="14"/>
      <w:u w:val="none"/>
    </w:rPr>
  </w:style>
  <w:style w:type="character" w:styleId="1304" w:customStyle="1">
    <w:name w:val="font51"/>
    <w:basedOn w:val="1039"/>
    <w:uiPriority w:val="0"/>
    <w:qFormat/>
    <w:rPr>
      <w:rFonts w:hint="eastAsia" w:ascii="宋体" w:hAnsi="宋体" w:eastAsia="宋体" w:cs="宋体"/>
      <w:color w:val="000000"/>
      <w:sz w:val="18"/>
      <w:szCs w:val="18"/>
      <w:u w:val="none"/>
    </w:rPr>
  </w:style>
  <w:style w:type="character" w:styleId="1305" w:customStyle="1">
    <w:name w:val="font91"/>
    <w:basedOn w:val="1039"/>
    <w:uiPriority w:val="0"/>
    <w:qFormat/>
    <w:rPr>
      <w:rFonts w:hint="default" w:ascii="Times New Roman" w:hAnsi="Times New Roman" w:cs="Times New Roman"/>
      <w:color w:val="000000"/>
      <w:sz w:val="18"/>
      <w:szCs w:val="18"/>
      <w:u w:val="none"/>
    </w:rPr>
  </w:style>
  <w:style w:type="paragraph" w:styleId="1306" w:customStyle="1">
    <w:name w:val="普通(网站)1"/>
    <w:basedOn w:val="1029"/>
    <w:uiPriority w:val="99"/>
    <w:qFormat/>
    <w:pPr>
      <w:jc w:val="left"/>
      <w:spacing w:before="100" w:beforeAutospacing="1" w:after="100" w:afterAutospacing="1"/>
      <w:widowControl/>
    </w:pPr>
    <w:rPr>
      <w:rFonts w:ascii="宋体" w:hAnsi="宋体" w:cs="宋体"/>
      <w:sz w:val="24"/>
    </w:rPr>
  </w:style>
  <w:style w:type="paragraph" w:styleId="1307" w:customStyle="1">
    <w:name w:val="标题 21"/>
    <w:basedOn w:val="1029"/>
    <w:next w:val="1297"/>
    <w:uiPriority w:val="0"/>
    <w:qFormat/>
    <w:pPr>
      <w:jc w:val="center"/>
      <w:keepLines/>
      <w:keepNext/>
      <w:spacing w:before="120" w:line="300" w:lineRule="auto"/>
      <w:outlineLvl w:val="1"/>
    </w:pPr>
    <w:rPr>
      <w:rFonts w:ascii="Arial" w:hAnsi="Arial" w:eastAsia="黑体"/>
      <w:b/>
      <w:sz w:val="30"/>
      <w:szCs w:val="20"/>
    </w:rPr>
  </w:style>
  <w:style w:type="numbering" w:styleId="13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�൭</dc:creator>
  <cp:lastModifiedBy>戴女士</cp:lastModifiedBy>
  <cp:revision>117</cp:revision>
  <dcterms:created xsi:type="dcterms:W3CDTF">2024-06-05T08:50:00Z</dcterms:created>
  <dcterms:modified xsi:type="dcterms:W3CDTF">2026-07-06T05:14:17Z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00FCC903CEAB470DA63AC55510B178FD_13</vt:lpwstr>
  </property>
  <property fmtid="{D5CDD505-2E9C-101B-9397-08002B2CF9AE}" pid="4" name="KSOTemplateDocerSaveRecord">
    <vt:lpwstr>eyJoZGlkIjoiMjQ5M2U2NWY3ZmFiY2VmMmQyZDgwMDFlNzJkNWNlYmIiLCJ1c2VySWQiOiIxMjI0MTUyMzMzIn0=</vt:lpwstr>
  </property>
</Properties>
</file>