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default" w:ascii="楷体" w:hAnsi="楷体" w:eastAsia="楷体" w:cs="楷体"/>
          <w:w w:val="80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80"/>
          <w:sz w:val="32"/>
          <w:szCs w:val="32"/>
          <w:u w:val="single"/>
          <w:lang w:val="en-US" w:eastAsia="zh-CN"/>
        </w:rPr>
        <w:t>常州市新北区罗溪镇卫生院大会议室显示系统提档升级项目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4.7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万元</w:t>
      </w:r>
    </w:p>
    <w:p w14:paraId="1B53E549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常州市新北区罗溪镇卫生院</w:t>
      </w:r>
    </w:p>
    <w:p w14:paraId="55E4CD0E">
      <w:pPr>
        <w:rPr>
          <w:rFonts w:hint="eastAsia" w:ascii="楷体" w:hAnsi="楷体" w:eastAsia="楷体" w:cs="楷体"/>
          <w:sz w:val="32"/>
          <w:szCs w:val="32"/>
        </w:rPr>
      </w:pPr>
    </w:p>
    <w:p w14:paraId="327363B5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7A855264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29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80697F">
            <w:pPr>
              <w:spacing w:line="360" w:lineRule="auto"/>
              <w:ind w:firstLine="480" w:firstLineChars="20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常州市新北区罗溪镇卫生院大会议室作为院内重要的多功能场所，承担着日常行政会议、学术研讨、职工培训等多项核心功能。为进一步提升大会议室的信息化水平和使用功能，确保各类会议及活动的顺利开展，特实施本次显示系统提档升级项目。本项目旨在通过更换和升级大会议室的核心显示设备、信号处理设备及相关辅助设施，构建一套显示效果清晰、操作便捷、稳定可靠、兼容性强的现代化显示系统。</w:t>
            </w:r>
          </w:p>
        </w:tc>
      </w:tr>
      <w:tr w14:paraId="46F2F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8A6CF">
            <w:pPr>
              <w:jc w:val="center"/>
              <w:rPr>
                <w:rFonts w:hint="eastAsia" w:ascii="华文中宋" w:hAnsi="华文中宋" w:eastAsia="华文中宋" w:cs="Times New Roman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979E257">
            <w:pPr>
              <w:spacing w:line="480" w:lineRule="auto"/>
              <w:jc w:val="both"/>
              <w:rPr>
                <w:rFonts w:hint="default" w:ascii="楷体_GB2312" w:hAnsi="Calibri" w:eastAsia="楷体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在合同签订后5个工作日内完成供货、安装和调试并交付使用。货物质保期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为三年。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59EFA">
            <w:pPr>
              <w:jc w:val="center"/>
              <w:rPr>
                <w:rFonts w:hint="default" w:ascii="楷体_GB2312" w:hAnsi="Calibri" w:eastAsia="楷体_GB2312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772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楷体_GB2312" w:hAnsi="Calibri" w:eastAsia="楷体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经验收合格后付至合同价款50%，剩余50%在2026年底前结清。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01608">
            <w:pPr>
              <w:jc w:val="center"/>
              <w:rPr>
                <w:rFonts w:hint="default" w:ascii="楷体_GB2312" w:hAnsi="Calibri" w:eastAsia="楷体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6243A84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17：00前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唐女士-18961201061；</w:t>
            </w:r>
          </w:p>
          <w:p w14:paraId="67909FC8">
            <w:pPr>
              <w:spacing w:line="48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tbl>
      <w:tblPr>
        <w:tblStyle w:val="6"/>
        <w:tblW w:w="60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342"/>
        <w:gridCol w:w="6645"/>
        <w:gridCol w:w="750"/>
        <w:gridCol w:w="731"/>
      </w:tblGrid>
      <w:tr w14:paraId="4939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E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货物清单及要求</w:t>
            </w:r>
          </w:p>
        </w:tc>
      </w:tr>
      <w:tr w14:paraId="0DCD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6B7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P2室内全彩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FA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LED类型：SMD 1515                                                                 2.像素点间距：2mm                                                                       3.模组尺寸：320*160mm                                                                4.像素点：250000点/m²                                                                5.反光率：≤2%                                </w:t>
            </w:r>
          </w:p>
          <w:p w14:paraId="26149F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亮度：≥800CD                                                                                 7.色温：1000-13000K可调                                                 8.可视角度：水平≥160°、垂直≥160°                                           9.亮度均匀性：≥98                                                                        10.色度均匀性：在±0.002Cx,Cy之内                                                  11.刷新率：≥3840Hz                                                                      12.灰度等级：16bit                                                                                   13.低亮高灰：100%亮度时，14bit、20%亮度时，12bit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14.平均功耗：≤350W/m²                                                                         15.峰值功耗：≤800W/m²                                                               16.LED像素失控率：≤1/150000                                                                   17.智能节电：带有节能节电功能                                                                                                                      18.逐点校正及数据存储：具有模块级亮度色度校正功能，校正数据可保存回读                                                                                            19.色彩和亮度自动调整：对色彩和亮度自动调整</w:t>
            </w:r>
          </w:p>
          <w:p w14:paraId="0588DF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20.多点测温：具有多点测温系统，均衡散热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</w:tr>
      <w:tr w14:paraId="0FFB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全彩接收卡 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B8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单卡12个标准HUB75E接口，输出24组RGB数据，无需配转接板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2.最大带载：26万像素点（512*512）、常规芯片128*1024、PWM芯片 256*1024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3.最大支持1/128扫描类型，支持静态屏、1/2~1/128扫之间的任意扫描类型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4.兼容支持两种调试操作模式：一键发送所有参数并自动固化到接收卡；模组参数、连接设置参数、发送卡参数独立发送、固化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5.支持各种PWM芯片、双锁存芯片、通用芯片</w:t>
            </w:r>
          </w:p>
          <w:p w14:paraId="2C2021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支持数据组交换，智能描组功能，用户可根据屏幕闪烁提示，在软件上完成映射设置，即可完成修改HUB接口数据组交换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7.支持双程序备份功能，即使升级过程中断电，产品仍能正常启动运行，保证产品后续升级的安全性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8.支持升级程序后自动重启生效</w:t>
            </w:r>
          </w:p>
          <w:p w14:paraId="17E474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9.持接收卡与发送端设备绑定双向加密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10.通讯方式：采用两个千兆网口通讯，输入口和输出卡可自动识别无需设置，即插即用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11.灰度等级，支持256-65536级任意灰度等级设置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12.支持高灰高刷、一级起灰、低亮高灰显示，可消除某行偏暗、低灰偏红、鬼影等细节问题。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13.支持亮度逐点校正，提供校正低灰补偿，保障低灰显示效果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14.支持修边修缝功能，可消除显示单元间的亮暗线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15.支持接收卡画面旋转功能，实现0度、90度、180度、270度画面显示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16.支持抽点显示与数据偏移，支持异形构造功能，可快速完成异形屏带载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17.支持接收卡固件程序、配置参数回读，通过软件可回读接收卡的固件程序和配置参数并保存到本地</w:t>
            </w:r>
          </w:p>
          <w:p w14:paraId="4089C2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18.支持接收卡之间网络通信状态检测，反馈数据包总数、错误包数、在线接收卡数量等数据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19.支持Mapping 功能，可清晰获取接收卡的位置和走线方式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20.支持接收卡网口备份功能，备份状态下，接收卡网络数据为双向传输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21.支持灯板标序功能，实现模组布局可视化调试</w:t>
            </w:r>
          </w:p>
          <w:p w14:paraId="6CECA7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22.具备电源接反保护电路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23.支持通过按钮进入测试模板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24.接收卡均采用工业级标准物料以及工业级设计，支持工作环境为-40℃~80℃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25.支持 4.0V~5.5V 直流电压，支持宽电压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26.支持接收卡参数锁定功能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27.自动断电功能：可配合多功能卡，实现当温度高于设定值时,自动断电,或打开风扇空调降低温度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28.固件升级：支持多类型接收卡程序混合升级相互不影响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0C11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高清视频处理器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2F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集成单画面视频处理、发送卡功能和U盘播放的三合一控制器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2.带载面积：260万像素点(VP410S)，最宽可达3840点，最高可达2500点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3.支持2路高清输入，自由切换输入信号源，各通道之间实现快速切换，支持淡入直出功能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4.HDMI1.4接口x2（1920x1080@60Hz）、HDCP1.2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5.USB接口x1，支持本地U盘播放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6.USB调试口x1、红外控制x1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7.支持音频输出x1（3.5mm接口）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8.输出：千兆网口x4，网口带灯，支持上下、左右任意拼接或复制画面输出；单网口65W，最宽3840/最高1920；网口自由划分，任意重叠；网口可以不按照矩形走线，留空不算带载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9.红外遥控器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10.配带按键7个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11.支持一键黑屏功能、一键冻结功能</w:t>
            </w:r>
          </w:p>
          <w:p w14:paraId="6F7505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12.支持按键锁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13.支持亮度一键设置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14.支持EDID配置，HDMI输入模式时，支持常用输入分辨率预设及自定义调节；支持EDID导入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15.支持画面锐度，饱和度，色温，亮度等设置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16.支持画面截取功能，支持裁剪功能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17.支持即设即存，断电开机参数仍保留在设备中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18.支持USB高速升级链路、支持接收卡信息回读、支持接收卡固件版本升级自动检测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19.采用1U标准工业机箱；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20.工作温度：-20℃～50℃，存储温度：-20℃～60℃，工作湿度：20%RH～90%RH，无冷凝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21.无裸露的电压危险部件在维修人员接触区域，设备内电容器的放电、Up=389Vp，1秒后0V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22.视频控制设备可支持250N恒定作用力，外部防护罩可承受250N+10N的恒定作用力持续5S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B4F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定制：专业金属结构，不锈钢包边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2E38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智能配电柜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功率：15KW ;输出3路；过流过压保护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2968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大屏控制</w:t>
            </w:r>
          </w:p>
          <w:p w14:paraId="49CC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8A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可实现视频信号、HDMI、VGA、RGB信号等多种信号源的定义、管理、选择调用和切换显示</w:t>
            </w:r>
          </w:p>
          <w:p w14:paraId="7EB4EF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可方便的实现预案编制、保存、修改、删除，支持预案自动执行功能，实现画面自动显示大屏幕管理软件为全中文界面，方便维护、备份等系统管理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 w14:paraId="79B0B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无氧铜；电缆5*4平方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 w14:paraId="77AB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网线、线槽、HDMI高清线缆、转接头等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5855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3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定制：含原设备拆除、线缆更新、顶面恢复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</w:tbl>
    <w:p w14:paraId="13B5227F">
      <w:pPr>
        <w:rPr>
          <w:rFonts w:hint="eastAsia" w:ascii="仿宋_GB2312" w:eastAsia="仿宋_GB2312"/>
          <w:sz w:val="32"/>
          <w:szCs w:val="32"/>
        </w:rPr>
      </w:pPr>
    </w:p>
    <w:p w14:paraId="2015B763">
      <w:pPr>
        <w:rPr>
          <w:rFonts w:hint="eastAsia" w:ascii="仿宋_GB2312" w:eastAsia="仿宋_GB2312"/>
          <w:sz w:val="32"/>
          <w:szCs w:val="32"/>
        </w:rPr>
      </w:pPr>
    </w:p>
    <w:p w14:paraId="0F59C5B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2CA2E161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6"/>
        <w:tblpPr w:leftFromText="180" w:rightFromText="180" w:vertAnchor="text" w:horzAnchor="margin" w:tblpXSpec="center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641"/>
        <w:gridCol w:w="1293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单价</w:t>
            </w:r>
          </w:p>
        </w:tc>
        <w:tc>
          <w:tcPr>
            <w:tcW w:w="1293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含税（万元）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XXXXX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.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33" w:type="dxa"/>
            <w:noWrap w:val="0"/>
            <w:vAlign w:val="center"/>
          </w:tcPr>
          <w:p w14:paraId="31D4E1A2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……</w:t>
            </w:r>
          </w:p>
        </w:tc>
        <w:tc>
          <w:tcPr>
            <w:tcW w:w="1656" w:type="dxa"/>
            <w:noWrap w:val="0"/>
            <w:vAlign w:val="top"/>
          </w:tcPr>
          <w:p w14:paraId="281DDA3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73B0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144AD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5243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货物及</w:t>
      </w:r>
      <w:r>
        <w:rPr>
          <w:rFonts w:hint="eastAsia" w:ascii="楷体" w:hAnsi="楷体" w:eastAsia="楷体" w:cs="楷体"/>
          <w:sz w:val="24"/>
          <w:szCs w:val="24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3F0BD5D3">
      <w:pPr>
        <w:rPr>
          <w:rFonts w:hint="eastAsia" w:ascii="黑体" w:hAnsi="黑体" w:eastAsia="黑体" w:cs="黑体"/>
          <w:sz w:val="30"/>
          <w:szCs w:val="30"/>
        </w:rPr>
      </w:pPr>
    </w:p>
    <w:p w14:paraId="1CAC986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350E58E6">
      <w:pPr>
        <w:rPr>
          <w:rFonts w:hint="eastAsia" w:ascii="仿宋_GB2312" w:eastAsia="仿宋_GB2312"/>
          <w:sz w:val="32"/>
          <w:szCs w:val="32"/>
        </w:rPr>
      </w:pP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2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2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2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2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2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05B3DDE2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C13C70-5326-421F-8ED8-FF8672695EA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8CDCA2-3440-428F-A541-82AA173C70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31C5418-4574-42E9-B75F-E63DF5DE9325}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402AED-24CA-474B-832D-F80D96A494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A6237EB-C32C-4121-A5C6-66EDCBD569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41379843-715A-488F-8A3E-A03D240857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F483A5C5-4CDE-4462-BB8D-197371E0D1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4E414D33-B769-4498-A434-80438B6D02D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441EF399-C10F-43B2-A25F-58245EE74B9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0" w:fontKey="{1F857BB8-2E17-42D9-AED5-EFE9F5688F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26850822-D25C-4394-B892-CB7452AEECA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2" w:fontKey="{D156EFFA-FD62-4294-8622-63558645D9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abstractNum w:abstractNumId="1">
    <w:nsid w:val="36E4B7E6"/>
    <w:multiLevelType w:val="singleLevel"/>
    <w:tmpl w:val="36E4B7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1616B14"/>
    <w:rsid w:val="10DA05E5"/>
    <w:rsid w:val="19E65B6A"/>
    <w:rsid w:val="1E536607"/>
    <w:rsid w:val="20A565D1"/>
    <w:rsid w:val="21C6306A"/>
    <w:rsid w:val="3C212AB5"/>
    <w:rsid w:val="3D6C19FF"/>
    <w:rsid w:val="53263021"/>
    <w:rsid w:val="55004201"/>
    <w:rsid w:val="5A743876"/>
    <w:rsid w:val="5C552CC5"/>
    <w:rsid w:val="679D776C"/>
    <w:rsid w:val="6F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2727</Words>
  <Characters>3190</Characters>
  <Lines>0</Lines>
  <Paragraphs>0</Paragraphs>
  <TotalTime>52</TotalTime>
  <ScaleCrop>false</ScaleCrop>
  <LinksUpToDate>false</LinksUpToDate>
  <CharactersWithSpaces>4387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2026-01-05T09:09:31Z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EC2085771E994973ABC799A10F9BC2F8_13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