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726F">
      <w:pPr>
        <w:spacing w:line="1160" w:lineRule="exact"/>
        <w:jc w:val="center"/>
        <w:rPr>
          <w:rFonts w:hint="eastAsia" w:ascii="华文中宋" w:hAnsi="华文中宋" w:eastAsia="华文中宋"/>
          <w:sz w:val="44"/>
          <w:szCs w:val="44"/>
        </w:rPr>
      </w:pPr>
    </w:p>
    <w:p w14:paraId="5264D8E3">
      <w:pPr>
        <w:spacing w:line="1160" w:lineRule="exact"/>
        <w:jc w:val="center"/>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sz w:val="44"/>
          <w:szCs w:val="44"/>
        </w:rPr>
        <w:t>询</w:t>
      </w:r>
      <w:r>
        <w:rPr>
          <w:rFonts w:hint="eastAsia" w:ascii="方正公文小标宋" w:hAnsi="方正公文小标宋" w:eastAsia="方正公文小标宋" w:cs="方正公文小标宋"/>
          <w:b w:val="0"/>
          <w:bCs w:val="0"/>
          <w:sz w:val="44"/>
          <w:szCs w:val="44"/>
          <w:lang w:val="en-US" w:eastAsia="zh-CN"/>
        </w:rPr>
        <w:t>比</w:t>
      </w:r>
      <w:r>
        <w:rPr>
          <w:rFonts w:hint="eastAsia" w:ascii="方正公文小标宋" w:hAnsi="方正公文小标宋" w:eastAsia="方正公文小标宋" w:cs="方正公文小标宋"/>
          <w:b w:val="0"/>
          <w:bCs w:val="0"/>
          <w:sz w:val="44"/>
          <w:szCs w:val="44"/>
        </w:rPr>
        <w:t>采购通知</w:t>
      </w:r>
    </w:p>
    <w:p w14:paraId="7B784245">
      <w:pPr>
        <w:spacing w:line="1160" w:lineRule="exact"/>
        <w:rPr>
          <w:rFonts w:ascii="仿宋_GB2312" w:eastAsia="仿宋_GB2312"/>
          <w:sz w:val="32"/>
          <w:szCs w:val="32"/>
        </w:rPr>
      </w:pPr>
    </w:p>
    <w:p w14:paraId="6301F820">
      <w:pPr>
        <w:spacing w:line="240" w:lineRule="auto"/>
        <w:ind w:left="1920" w:hanging="1920" w:hangingChars="600"/>
        <w:jc w:val="both"/>
        <w:rPr>
          <w:rFonts w:hint="eastAsia" w:ascii="楷体" w:hAnsi="楷体" w:eastAsia="楷体" w:cs="楷体"/>
          <w:w w:val="100"/>
          <w:sz w:val="32"/>
          <w:szCs w:val="32"/>
          <w:u w:val="single"/>
          <w:lang w:val="en-US" w:eastAsia="zh-CN"/>
        </w:rPr>
      </w:pPr>
      <w:r>
        <w:rPr>
          <w:rFonts w:hint="eastAsia" w:ascii="楷体" w:hAnsi="楷体" w:eastAsia="楷体" w:cs="楷体"/>
          <w:sz w:val="32"/>
          <w:szCs w:val="32"/>
        </w:rPr>
        <w:t>项目名称：</w:t>
      </w:r>
      <w:r>
        <w:rPr>
          <w:rFonts w:hint="eastAsia" w:ascii="楷体" w:hAnsi="楷体" w:eastAsia="楷体" w:cs="楷体"/>
          <w:w w:val="100"/>
          <w:sz w:val="32"/>
          <w:szCs w:val="32"/>
          <w:u w:val="single"/>
          <w:lang w:val="en-US" w:eastAsia="zh-CN"/>
        </w:rPr>
        <w:t>常州市新北区魏村街道社区卫生服务中心</w:t>
      </w:r>
    </w:p>
    <w:p w14:paraId="3592FAC2">
      <w:pPr>
        <w:spacing w:line="240" w:lineRule="auto"/>
        <w:ind w:firstLine="1600" w:firstLineChars="500"/>
        <w:jc w:val="both"/>
        <w:rPr>
          <w:rFonts w:hint="eastAsia" w:ascii="楷体" w:hAnsi="楷体" w:eastAsia="楷体" w:cs="楷体"/>
          <w:w w:val="100"/>
          <w:sz w:val="32"/>
          <w:szCs w:val="32"/>
          <w:u w:val="single"/>
          <w:lang w:val="en-US" w:eastAsia="zh-CN"/>
        </w:rPr>
      </w:pPr>
      <w:r>
        <w:rPr>
          <w:rFonts w:hint="eastAsia" w:ascii="楷体" w:hAnsi="楷体" w:eastAsia="楷体" w:cs="楷体"/>
          <w:w w:val="100"/>
          <w:sz w:val="32"/>
          <w:szCs w:val="32"/>
          <w:u w:val="single"/>
          <w:lang w:val="en-US" w:eastAsia="zh-CN"/>
        </w:rPr>
        <w:t>建筑消防设施维护保养服务业项目</w:t>
      </w:r>
    </w:p>
    <w:p w14:paraId="5462A6FC">
      <w:pPr>
        <w:spacing w:line="1160" w:lineRule="exact"/>
        <w:rPr>
          <w:rFonts w:hint="eastAsia" w:ascii="楷体" w:hAnsi="楷体" w:eastAsia="楷体" w:cs="楷体"/>
          <w:sz w:val="32"/>
          <w:szCs w:val="32"/>
        </w:rPr>
      </w:pPr>
      <w:r>
        <w:rPr>
          <w:rFonts w:hint="eastAsia" w:ascii="楷体" w:hAnsi="楷体" w:eastAsia="楷体" w:cs="楷体"/>
          <w:sz w:val="32"/>
          <w:szCs w:val="32"/>
        </w:rPr>
        <w:t>项目类别：</w:t>
      </w:r>
      <w:r>
        <w:rPr>
          <w:rFonts w:hint="eastAsia" w:ascii="楷体" w:hAnsi="楷体" w:eastAsia="楷体" w:cs="楷体"/>
          <w:sz w:val="32"/>
          <w:szCs w:val="32"/>
        </w:rPr>
        <w:sym w:font="Wingdings 2" w:char="0052"/>
      </w:r>
      <w:r>
        <w:rPr>
          <w:rFonts w:hint="eastAsia" w:ascii="楷体" w:hAnsi="楷体" w:eastAsia="楷体" w:cs="楷体"/>
          <w:sz w:val="32"/>
          <w:szCs w:val="32"/>
        </w:rPr>
        <w:t xml:space="preserve">服务 </w:t>
      </w:r>
      <w:r>
        <w:rPr>
          <w:rFonts w:hint="eastAsia" w:ascii="楷体" w:hAnsi="楷体" w:eastAsia="楷体" w:cs="楷体"/>
          <w:sz w:val="32"/>
          <w:szCs w:val="32"/>
        </w:rPr>
        <w:sym w:font="Wingdings 2" w:char="00A3"/>
      </w:r>
      <w:r>
        <w:rPr>
          <w:rFonts w:hint="eastAsia" w:ascii="楷体" w:hAnsi="楷体" w:eastAsia="楷体" w:cs="楷体"/>
          <w:sz w:val="32"/>
          <w:szCs w:val="32"/>
        </w:rPr>
        <w:t xml:space="preserve">货物 </w:t>
      </w:r>
      <w:r>
        <w:rPr>
          <w:rFonts w:hint="eastAsia" w:ascii="楷体" w:hAnsi="楷体" w:eastAsia="楷体" w:cs="楷体"/>
          <w:sz w:val="32"/>
          <w:szCs w:val="32"/>
        </w:rPr>
        <w:sym w:font="Wingdings 2" w:char="00A3"/>
      </w:r>
      <w:r>
        <w:rPr>
          <w:rFonts w:hint="eastAsia" w:ascii="楷体" w:hAnsi="楷体" w:eastAsia="楷体" w:cs="楷体"/>
          <w:sz w:val="32"/>
          <w:szCs w:val="32"/>
        </w:rPr>
        <w:t>工程</w:t>
      </w:r>
    </w:p>
    <w:p w14:paraId="1591510E">
      <w:pPr>
        <w:spacing w:line="1160" w:lineRule="exact"/>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rPr>
        <w:t>项目预算：</w:t>
      </w:r>
      <w:r>
        <w:rPr>
          <w:rFonts w:hint="eastAsia" w:ascii="Times New Roman" w:hAnsi="Times New Roman" w:eastAsia="楷体" w:cs="Times New Roman"/>
          <w:sz w:val="32"/>
          <w:szCs w:val="32"/>
          <w:highlight w:val="none"/>
          <w:u w:val="single"/>
          <w:lang w:val="en-US" w:eastAsia="zh-CN"/>
        </w:rPr>
        <w:t>2</w:t>
      </w:r>
      <w:r>
        <w:rPr>
          <w:rFonts w:hint="eastAsia" w:ascii="楷体" w:hAnsi="楷体" w:eastAsia="楷体" w:cs="楷体"/>
          <w:sz w:val="32"/>
          <w:szCs w:val="32"/>
          <w:highlight w:val="none"/>
          <w:u w:val="single"/>
          <w:lang w:val="en-US" w:eastAsia="zh-CN"/>
        </w:rPr>
        <w:t>万元</w:t>
      </w:r>
    </w:p>
    <w:p w14:paraId="44A8BD4E">
      <w:pPr>
        <w:spacing w:line="1160" w:lineRule="exact"/>
        <w:rPr>
          <w:rFonts w:hint="default"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采 购 人</w:t>
      </w:r>
      <w:r>
        <w:rPr>
          <w:rFonts w:hint="eastAsia" w:ascii="楷体" w:hAnsi="楷体" w:eastAsia="楷体" w:cs="楷体"/>
          <w:sz w:val="32"/>
          <w:szCs w:val="32"/>
          <w:highlight w:val="none"/>
        </w:rPr>
        <w:t>：</w:t>
      </w:r>
      <w:r>
        <w:rPr>
          <w:rFonts w:hint="eastAsia" w:ascii="楷体" w:hAnsi="楷体" w:eastAsia="楷体" w:cs="楷体"/>
          <w:w w:val="100"/>
          <w:sz w:val="32"/>
          <w:szCs w:val="32"/>
          <w:u w:val="single"/>
          <w:lang w:val="en-US" w:eastAsia="zh-CN"/>
        </w:rPr>
        <w:t>常州市新北区魏村街道社区卫生服务中心</w:t>
      </w:r>
    </w:p>
    <w:p w14:paraId="5179B82C">
      <w:pPr>
        <w:rPr>
          <w:rFonts w:hint="eastAsia" w:ascii="楷体" w:hAnsi="楷体" w:eastAsia="楷体" w:cs="楷体"/>
          <w:sz w:val="32"/>
          <w:szCs w:val="32"/>
        </w:rPr>
      </w:pPr>
    </w:p>
    <w:p w14:paraId="42DB6F73">
      <w:pPr>
        <w:rPr>
          <w:rFonts w:hint="eastAsia" w:ascii="楷体" w:hAnsi="楷体" w:eastAsia="楷体" w:cs="楷体"/>
          <w:sz w:val="32"/>
          <w:szCs w:val="32"/>
        </w:rPr>
      </w:pPr>
    </w:p>
    <w:p w14:paraId="11046689">
      <w:pPr>
        <w:spacing w:line="1160" w:lineRule="exact"/>
        <w:jc w:val="center"/>
        <w:rPr>
          <w:rFonts w:hint="eastAsia" w:ascii="楷体" w:hAnsi="楷体" w:eastAsia="楷体" w:cs="楷体"/>
          <w:sz w:val="32"/>
          <w:szCs w:val="32"/>
        </w:rPr>
      </w:pPr>
    </w:p>
    <w:p w14:paraId="3FDC9D3A">
      <w:pPr>
        <w:spacing w:line="1160" w:lineRule="exact"/>
        <w:jc w:val="center"/>
        <w:rPr>
          <w:rFonts w:hint="eastAsia" w:ascii="楷体" w:hAnsi="楷体" w:eastAsia="楷体" w:cs="楷体"/>
          <w:sz w:val="32"/>
          <w:szCs w:val="32"/>
        </w:rPr>
      </w:pPr>
    </w:p>
    <w:p w14:paraId="2E72BCDD">
      <w:pPr>
        <w:spacing w:line="240" w:lineRule="auto"/>
        <w:jc w:val="center"/>
        <w:rPr>
          <w:rFonts w:hint="eastAsia" w:ascii="楷体" w:hAnsi="楷体" w:eastAsia="楷体" w:cs="楷体"/>
          <w:sz w:val="32"/>
          <w:szCs w:val="32"/>
          <w:highlight w:val="yellow"/>
        </w:rPr>
      </w:pPr>
      <w:r>
        <w:rPr>
          <w:rFonts w:hint="eastAsia" w:ascii="楷体" w:hAnsi="楷体" w:eastAsia="楷体" w:cs="楷体"/>
          <w:sz w:val="32"/>
          <w:szCs w:val="32"/>
          <w:highlight w:val="yellow"/>
          <w:lang w:val="en-US" w:eastAsia="zh-CN"/>
        </w:rPr>
        <w:t>日期</w:t>
      </w:r>
      <w:r>
        <w:rPr>
          <w:rFonts w:hint="eastAsia" w:ascii="楷体" w:hAnsi="楷体" w:eastAsia="楷体" w:cs="楷体"/>
          <w:sz w:val="32"/>
          <w:szCs w:val="32"/>
          <w:highlight w:val="yellow"/>
          <w:lang w:eastAsia="zh-CN"/>
        </w:rPr>
        <w:t>：</w:t>
      </w:r>
      <w:r>
        <w:rPr>
          <w:rFonts w:hint="default" w:ascii="Times New Roman" w:hAnsi="Times New Roman" w:eastAsia="楷体" w:cs="Times New Roman"/>
          <w:sz w:val="32"/>
          <w:szCs w:val="32"/>
          <w:highlight w:val="yellow"/>
          <w:lang w:val="en-US" w:eastAsia="zh-CN"/>
        </w:rPr>
        <w:t>2025</w:t>
      </w:r>
      <w:r>
        <w:rPr>
          <w:rFonts w:hint="eastAsia" w:ascii="楷体" w:hAnsi="楷体" w:eastAsia="楷体" w:cs="楷体"/>
          <w:sz w:val="32"/>
          <w:szCs w:val="32"/>
          <w:highlight w:val="yellow"/>
        </w:rPr>
        <w:t>年</w:t>
      </w:r>
      <w:r>
        <w:rPr>
          <w:rFonts w:hint="eastAsia" w:ascii="Times New Roman" w:hAnsi="Times New Roman" w:eastAsia="楷体" w:cs="Times New Roman"/>
          <w:sz w:val="32"/>
          <w:szCs w:val="32"/>
          <w:highlight w:val="yellow"/>
          <w:lang w:val="en-US" w:eastAsia="zh-CN"/>
        </w:rPr>
        <w:t>11</w:t>
      </w:r>
      <w:r>
        <w:rPr>
          <w:rFonts w:hint="eastAsia" w:ascii="楷体" w:hAnsi="楷体" w:eastAsia="楷体" w:cs="楷体"/>
          <w:sz w:val="32"/>
          <w:szCs w:val="32"/>
          <w:highlight w:val="yellow"/>
        </w:rPr>
        <w:t>月</w:t>
      </w:r>
      <w:r>
        <w:rPr>
          <w:rFonts w:hint="eastAsia" w:ascii="Times New Roman" w:hAnsi="Times New Roman" w:eastAsia="楷体" w:cs="Times New Roman"/>
          <w:sz w:val="32"/>
          <w:szCs w:val="32"/>
          <w:highlight w:val="yellow"/>
          <w:lang w:val="en-US" w:eastAsia="zh-CN"/>
        </w:rPr>
        <w:t>24</w:t>
      </w:r>
      <w:r>
        <w:rPr>
          <w:rFonts w:hint="eastAsia" w:ascii="楷体" w:hAnsi="楷体" w:eastAsia="楷体" w:cs="楷体"/>
          <w:sz w:val="32"/>
          <w:szCs w:val="32"/>
          <w:highlight w:val="yellow"/>
        </w:rPr>
        <w:t>日</w:t>
      </w:r>
    </w:p>
    <w:p w14:paraId="6FE5B43D">
      <w:pPr>
        <w:rPr>
          <w:sz w:val="32"/>
          <w:szCs w:val="32"/>
        </w:rPr>
      </w:pPr>
    </w:p>
    <w:p w14:paraId="23D884E5">
      <w:pPr>
        <w:rPr>
          <w:sz w:val="32"/>
          <w:szCs w:val="32"/>
        </w:rPr>
      </w:pPr>
    </w:p>
    <w:p w14:paraId="3F27860C">
      <w:pPr>
        <w:rPr>
          <w:rFonts w:hint="eastAsia" w:ascii="仿宋_GB2312" w:eastAsia="仿宋_GB2312"/>
          <w:sz w:val="32"/>
          <w:szCs w:val="32"/>
        </w:rPr>
        <w:sectPr>
          <w:pgSz w:w="11906" w:h="16838"/>
          <w:pgMar w:top="1440" w:right="1800" w:bottom="1440" w:left="1800" w:header="851" w:footer="992" w:gutter="0"/>
          <w:cols w:space="720" w:num="1"/>
          <w:docGrid w:type="lines" w:linePitch="312" w:charSpace="0"/>
        </w:sectPr>
      </w:pPr>
    </w:p>
    <w:p w14:paraId="72A3D24A">
      <w:pPr>
        <w:rPr>
          <w:rFonts w:ascii="仿宋_GB2312" w:eastAsia="仿宋_GB2312"/>
          <w:sz w:val="32"/>
          <w:szCs w:val="32"/>
        </w:rPr>
      </w:pPr>
      <w:r>
        <w:rPr>
          <w:rFonts w:hint="eastAsia" w:ascii="仿宋_GB2312" w:eastAsia="仿宋_GB2312"/>
          <w:sz w:val="32"/>
          <w:szCs w:val="32"/>
        </w:rPr>
        <w:t>表1</w:t>
      </w:r>
    </w:p>
    <w:p w14:paraId="7F41165F">
      <w:pPr>
        <w:jc w:val="center"/>
        <w:rPr>
          <w:rFonts w:ascii="华文中宋" w:hAnsi="华文中宋" w:eastAsia="华文中宋"/>
          <w:sz w:val="44"/>
          <w:szCs w:val="44"/>
        </w:rPr>
      </w:pPr>
      <w:r>
        <w:rPr>
          <w:rFonts w:hint="eastAsia" w:ascii="华文中宋" w:hAnsi="华文中宋" w:eastAsia="华文中宋"/>
          <w:sz w:val="44"/>
          <w:szCs w:val="44"/>
        </w:rPr>
        <w:t>项 目 概 述</w:t>
      </w:r>
    </w:p>
    <w:tbl>
      <w:tblPr>
        <w:tblStyle w:val="6"/>
        <w:tblW w:w="8737"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68"/>
        <w:gridCol w:w="7169"/>
      </w:tblGrid>
      <w:tr w14:paraId="5674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0" w:hRule="atLeast"/>
        </w:trPr>
        <w:tc>
          <w:tcPr>
            <w:tcW w:w="1568" w:type="dxa"/>
            <w:tcBorders>
              <w:bottom w:val="single" w:color="auto" w:sz="4" w:space="0"/>
              <w:right w:val="single" w:color="auto" w:sz="4" w:space="0"/>
            </w:tcBorders>
            <w:noWrap w:val="0"/>
            <w:vAlign w:val="center"/>
          </w:tcPr>
          <w:p w14:paraId="0643E2BD">
            <w:pPr>
              <w:jc w:val="center"/>
              <w:rPr>
                <w:rFonts w:hint="default" w:ascii="华文中宋" w:hAnsi="华文中宋" w:eastAsia="华文中宋"/>
                <w:kern w:val="0"/>
                <w:sz w:val="44"/>
                <w:szCs w:val="44"/>
                <w:lang w:val="en-US" w:eastAsia="zh-CN"/>
              </w:rPr>
            </w:pPr>
            <w:r>
              <w:rPr>
                <w:rFonts w:hint="eastAsia" w:ascii="楷体_GB2312" w:eastAsia="楷体_GB2312"/>
                <w:kern w:val="0"/>
                <w:sz w:val="32"/>
                <w:szCs w:val="32"/>
                <w:lang w:val="en-US" w:eastAsia="zh-CN"/>
              </w:rPr>
              <w:t>项目简介</w:t>
            </w:r>
          </w:p>
        </w:tc>
        <w:tc>
          <w:tcPr>
            <w:tcW w:w="7169" w:type="dxa"/>
            <w:tcBorders>
              <w:left w:val="single" w:color="auto" w:sz="4" w:space="0"/>
              <w:bottom w:val="single" w:color="auto" w:sz="4" w:space="0"/>
            </w:tcBorders>
            <w:noWrap w:val="0"/>
            <w:vAlign w:val="center"/>
          </w:tcPr>
          <w:p w14:paraId="56AECCE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华文中宋" w:hAnsi="华文中宋" w:eastAsia="方正仿宋_GB2312"/>
                <w:kern w:val="0"/>
                <w:sz w:val="24"/>
                <w:szCs w:val="24"/>
                <w:lang w:eastAsia="zh-CN"/>
              </w:rPr>
            </w:pPr>
            <w:r>
              <w:rPr>
                <w:rFonts w:hint="eastAsia" w:ascii="华文中宋" w:hAnsi="华文中宋" w:eastAsia="方正仿宋_GB2312"/>
                <w:kern w:val="0"/>
                <w:sz w:val="24"/>
                <w:szCs w:val="24"/>
                <w:lang w:eastAsia="zh-CN"/>
              </w:rPr>
              <w:t>本项目旨在为常州市新北区魏村街道社区卫生服务中心提供专业的建筑消防设施维护保养服务，确保中心内所有消防设施始终处于良好运行状态，保障医疗工作的正常开展及患者、医护人员的生命财产安全。</w:t>
            </w:r>
          </w:p>
        </w:tc>
      </w:tr>
      <w:tr w14:paraId="29A99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trPr>
        <w:tc>
          <w:tcPr>
            <w:tcW w:w="1568" w:type="dxa"/>
            <w:tcBorders>
              <w:top w:val="single" w:color="auto" w:sz="4" w:space="0"/>
              <w:bottom w:val="single" w:color="auto" w:sz="4" w:space="0"/>
              <w:right w:val="single" w:color="auto" w:sz="4" w:space="0"/>
            </w:tcBorders>
            <w:noWrap w:val="0"/>
            <w:vAlign w:val="center"/>
          </w:tcPr>
          <w:p w14:paraId="12759EFA">
            <w:pPr>
              <w:jc w:val="center"/>
              <w:rPr>
                <w:rFonts w:ascii="华文中宋" w:hAnsi="华文中宋" w:eastAsia="华文中宋"/>
                <w:kern w:val="0"/>
                <w:sz w:val="44"/>
                <w:szCs w:val="44"/>
              </w:rPr>
            </w:pPr>
            <w:r>
              <w:rPr>
                <w:rFonts w:hint="eastAsia" w:ascii="楷体_GB2312" w:eastAsia="楷体_GB2312"/>
                <w:kern w:val="0"/>
                <w:sz w:val="32"/>
                <w:szCs w:val="32"/>
                <w:lang w:val="en-US" w:eastAsia="zh-CN"/>
              </w:rPr>
              <w:t>服务</w:t>
            </w:r>
            <w:r>
              <w:rPr>
                <w:rFonts w:hint="eastAsia" w:ascii="楷体_GB2312" w:eastAsia="楷体_GB2312"/>
                <w:kern w:val="0"/>
                <w:sz w:val="32"/>
                <w:szCs w:val="32"/>
              </w:rPr>
              <w:t>要求</w:t>
            </w:r>
          </w:p>
        </w:tc>
        <w:tc>
          <w:tcPr>
            <w:tcW w:w="7169" w:type="dxa"/>
            <w:tcBorders>
              <w:top w:val="single" w:color="auto" w:sz="4" w:space="0"/>
              <w:left w:val="single" w:color="auto" w:sz="4" w:space="0"/>
              <w:bottom w:val="single" w:color="auto" w:sz="4" w:space="0"/>
            </w:tcBorders>
            <w:noWrap w:val="0"/>
            <w:vAlign w:val="center"/>
          </w:tcPr>
          <w:p w14:paraId="73D11A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1.</w:t>
            </w:r>
            <w:r>
              <w:rPr>
                <w:rFonts w:hint="default" w:ascii="仿宋" w:hAnsi="仿宋" w:eastAsia="仿宋" w:cs="仿宋"/>
                <w:b/>
                <w:bCs/>
                <w:kern w:val="2"/>
                <w:sz w:val="24"/>
                <w:szCs w:val="24"/>
                <w:lang w:val="en-US" w:eastAsia="zh-CN" w:bidi="ar-SA"/>
              </w:rPr>
              <w:t>服务范围：</w:t>
            </w:r>
            <w:r>
              <w:rPr>
                <w:rFonts w:hint="default" w:ascii="仿宋" w:hAnsi="仿宋" w:eastAsia="仿宋" w:cs="仿宋"/>
                <w:kern w:val="2"/>
                <w:sz w:val="24"/>
                <w:szCs w:val="24"/>
                <w:lang w:val="en-US" w:eastAsia="zh-CN" w:bidi="ar-SA"/>
              </w:rPr>
              <w:t>火灾自动报警系统</w:t>
            </w:r>
            <w:r>
              <w:rPr>
                <w:rFonts w:hint="eastAsia" w:ascii="仿宋" w:hAnsi="仿宋" w:eastAsia="仿宋" w:cs="仿宋"/>
                <w:kern w:val="2"/>
                <w:sz w:val="24"/>
                <w:szCs w:val="24"/>
                <w:lang w:val="en-US" w:eastAsia="zh-CN" w:bidi="ar-SA"/>
              </w:rPr>
              <w:t>、消防供水设施、消火栓（消防炮）灭火系统、自动喷水灭火系统、火灾应急照明和疏散指示标志、应急广播系统、消防专用电话、防火分隔设施、灭火器（不含充装）</w:t>
            </w:r>
          </w:p>
          <w:p w14:paraId="34ED2C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2.服务</w:t>
            </w:r>
            <w:r>
              <w:rPr>
                <w:rFonts w:hint="default" w:ascii="仿宋" w:hAnsi="仿宋" w:eastAsia="仿宋" w:cs="仿宋"/>
                <w:b/>
                <w:bCs/>
                <w:kern w:val="2"/>
                <w:sz w:val="24"/>
                <w:szCs w:val="24"/>
                <w:lang w:val="en-US" w:eastAsia="zh-CN" w:bidi="ar-SA"/>
              </w:rPr>
              <w:t>要求</w:t>
            </w:r>
            <w:r>
              <w:rPr>
                <w:rFonts w:hint="eastAsia" w:ascii="仿宋" w:hAnsi="仿宋" w:eastAsia="仿宋" w:cs="仿宋"/>
                <w:b/>
                <w:bCs/>
                <w:kern w:val="2"/>
                <w:sz w:val="24"/>
                <w:szCs w:val="24"/>
                <w:lang w:val="en-US" w:eastAsia="zh-CN" w:bidi="ar-SA"/>
              </w:rPr>
              <w:t>：</w:t>
            </w:r>
          </w:p>
          <w:p w14:paraId="3CC965A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具备消防设施维护保养的相应资质、资格，依照法律法规、技术标准和执业准则，开展建筑消防设施维护保养，对维护保养质量负责（清包工）。</w:t>
            </w:r>
          </w:p>
          <w:p w14:paraId="715AD1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根据维护保养对象的具体情况，拟定具体的维护保养方案，明确项目负责人，至少指定2名</w:t>
            </w:r>
            <w:bookmarkStart w:id="0" w:name="_GoBack"/>
            <w:bookmarkEnd w:id="0"/>
            <w:r>
              <w:rPr>
                <w:rFonts w:hint="eastAsia" w:ascii="仿宋" w:hAnsi="仿宋" w:eastAsia="仿宋" w:cs="仿宋"/>
                <w:kern w:val="2"/>
                <w:sz w:val="24"/>
                <w:szCs w:val="24"/>
                <w:lang w:val="en-US" w:eastAsia="zh-CN" w:bidi="ar-SA"/>
              </w:rPr>
              <w:t>执业人员负责实施。</w:t>
            </w:r>
          </w:p>
          <w:p w14:paraId="072A4BB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执业人员维护保养时应当认真如实填写维护保养记录。</w:t>
            </w:r>
          </w:p>
          <w:p w14:paraId="05B2A2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按照《建筑消防设施的维护管理》（GB25201）等消防技术标准规定的内容、程序、周期等要求，对约定范围内的建筑消防设施开展检查、维护、保养、测试等。</w:t>
            </w:r>
          </w:p>
          <w:p w14:paraId="25DB3EF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每年对承担维护保养的建筑消防设施至少进行1次全面检查测试。年度检查测试报告应当按规定送达甲方。</w:t>
            </w:r>
          </w:p>
          <w:p w14:paraId="7AB87E2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在巡查、巡检中发现建筑消防设施存在问题、故障，或接到甲方通知要求维护的，能够当场修复的应当立即修复解决；没有条件立即修复解决的，应当在24小时内组织维护，尽快排除故障。</w:t>
            </w:r>
          </w:p>
          <w:p w14:paraId="3D1A386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对故障零部件提供临时备件，保障消防设施能够在紧急状态下发挥作用；对故障零部件确需更换的，向甲方提出建议，并出示更换部件报废证明。</w:t>
            </w:r>
          </w:p>
          <w:p w14:paraId="189ADAE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消防设施发生重大故障或遇上级消防部门检查时甲方通知乙方后，乙方人员须在2小时内到达现场。</w:t>
            </w:r>
          </w:p>
          <w:p w14:paraId="3B202DD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对甲方值班或者管理人员进行专业技术指导。</w:t>
            </w:r>
          </w:p>
        </w:tc>
      </w:tr>
      <w:tr w14:paraId="27DD9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1568" w:type="dxa"/>
            <w:tcBorders>
              <w:top w:val="single" w:color="auto" w:sz="4" w:space="0"/>
              <w:bottom w:val="single" w:color="auto" w:sz="4" w:space="0"/>
              <w:right w:val="single" w:color="auto" w:sz="4" w:space="0"/>
            </w:tcBorders>
            <w:noWrap w:val="0"/>
            <w:vAlign w:val="center"/>
          </w:tcPr>
          <w:p w14:paraId="5ED01608">
            <w:pPr>
              <w:jc w:val="center"/>
              <w:rPr>
                <w:rFonts w:ascii="华文中宋" w:hAnsi="华文中宋" w:eastAsia="华文中宋"/>
                <w:kern w:val="0"/>
                <w:sz w:val="44"/>
                <w:szCs w:val="44"/>
              </w:rPr>
            </w:pPr>
            <w:r>
              <w:rPr>
                <w:rFonts w:hint="eastAsia" w:ascii="楷体_GB2312" w:eastAsia="楷体_GB2312"/>
                <w:kern w:val="0"/>
                <w:sz w:val="32"/>
                <w:szCs w:val="32"/>
              </w:rPr>
              <w:t>履行期限</w:t>
            </w:r>
          </w:p>
        </w:tc>
        <w:tc>
          <w:tcPr>
            <w:tcW w:w="7169" w:type="dxa"/>
            <w:tcBorders>
              <w:top w:val="single" w:color="auto" w:sz="4" w:space="0"/>
              <w:left w:val="single" w:color="auto" w:sz="4" w:space="0"/>
              <w:bottom w:val="single" w:color="auto" w:sz="4" w:space="0"/>
            </w:tcBorders>
            <w:noWrap w:val="0"/>
            <w:vAlign w:val="center"/>
          </w:tcPr>
          <w:p w14:paraId="64CAAF08">
            <w:pPr>
              <w:spacing w:line="480" w:lineRule="auto"/>
              <w:jc w:val="both"/>
              <w:rPr>
                <w:rFonts w:ascii="楷体_GB2312" w:eastAsia="楷体_GB2312"/>
                <w:kern w:val="0"/>
                <w:sz w:val="24"/>
                <w:szCs w:val="24"/>
              </w:rPr>
            </w:pPr>
            <w:r>
              <w:rPr>
                <w:rFonts w:hint="eastAsia" w:ascii="仿宋" w:hAnsi="仿宋" w:eastAsia="仿宋" w:cs="仿宋"/>
                <w:sz w:val="24"/>
                <w:szCs w:val="24"/>
                <w:lang w:val="en-US" w:eastAsia="zh-CN"/>
              </w:rPr>
              <w:t>自合同签订之日起一年。</w:t>
            </w:r>
          </w:p>
        </w:tc>
      </w:tr>
      <w:tr w14:paraId="4806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1568" w:type="dxa"/>
            <w:tcBorders>
              <w:top w:val="single" w:color="auto" w:sz="4" w:space="0"/>
              <w:bottom w:val="single" w:color="auto" w:sz="4" w:space="0"/>
              <w:right w:val="single" w:color="auto" w:sz="4" w:space="0"/>
            </w:tcBorders>
            <w:noWrap w:val="0"/>
            <w:vAlign w:val="center"/>
          </w:tcPr>
          <w:p w14:paraId="4ABB1CD0">
            <w:pPr>
              <w:spacing w:line="240" w:lineRule="auto"/>
              <w:jc w:val="center"/>
              <w:rPr>
                <w:rFonts w:hint="default" w:ascii="楷体_GB2312" w:eastAsia="楷体_GB2312"/>
                <w:kern w:val="0"/>
                <w:sz w:val="32"/>
                <w:szCs w:val="32"/>
                <w:highlight w:val="none"/>
                <w:lang w:val="en-US" w:eastAsia="zh-CN"/>
              </w:rPr>
            </w:pPr>
            <w:r>
              <w:rPr>
                <w:rFonts w:hint="eastAsia" w:ascii="楷体_GB2312" w:eastAsia="楷体_GB2312"/>
                <w:kern w:val="0"/>
                <w:sz w:val="32"/>
                <w:szCs w:val="32"/>
                <w:highlight w:val="none"/>
                <w:lang w:val="en-US" w:eastAsia="zh-CN"/>
              </w:rPr>
              <w:t>付款方式</w:t>
            </w:r>
          </w:p>
        </w:tc>
        <w:tc>
          <w:tcPr>
            <w:tcW w:w="7169" w:type="dxa"/>
            <w:tcBorders>
              <w:top w:val="single" w:color="auto" w:sz="4" w:space="0"/>
              <w:left w:val="single" w:color="auto" w:sz="4" w:space="0"/>
              <w:bottom w:val="single" w:color="auto" w:sz="4" w:space="0"/>
            </w:tcBorders>
            <w:noWrap w:val="0"/>
            <w:vAlign w:val="center"/>
          </w:tcPr>
          <w:p w14:paraId="350C3C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楷体_GB2312" w:eastAsia="楷体_GB2312"/>
                <w:kern w:val="0"/>
                <w:sz w:val="24"/>
                <w:szCs w:val="24"/>
                <w:highlight w:val="none"/>
                <w:lang w:val="en-US" w:eastAsia="zh-CN"/>
              </w:rPr>
            </w:pPr>
            <w:r>
              <w:rPr>
                <w:rFonts w:hint="eastAsia" w:ascii="仿宋" w:hAnsi="仿宋" w:eastAsia="仿宋" w:cs="仿宋"/>
                <w:kern w:val="0"/>
                <w:sz w:val="24"/>
                <w:szCs w:val="24"/>
                <w:highlight w:val="none"/>
                <w:lang w:val="en-US" w:eastAsia="zh-CN"/>
              </w:rPr>
              <w:t>协议结束后一周内支付当年的维保费用。</w:t>
            </w:r>
          </w:p>
        </w:tc>
      </w:tr>
      <w:tr w14:paraId="152AF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0" w:hRule="atLeast"/>
        </w:trPr>
        <w:tc>
          <w:tcPr>
            <w:tcW w:w="1568" w:type="dxa"/>
            <w:tcBorders>
              <w:top w:val="single" w:color="auto" w:sz="4" w:space="0"/>
              <w:bottom w:val="single" w:color="auto" w:sz="4" w:space="0"/>
              <w:right w:val="single" w:color="auto" w:sz="4" w:space="0"/>
            </w:tcBorders>
            <w:noWrap w:val="0"/>
            <w:vAlign w:val="center"/>
          </w:tcPr>
          <w:p w14:paraId="645694D1">
            <w:pPr>
              <w:jc w:val="center"/>
              <w:rPr>
                <w:rFonts w:hint="default" w:ascii="楷体_GB2312" w:eastAsia="楷体_GB2312"/>
                <w:kern w:val="0"/>
                <w:sz w:val="32"/>
                <w:szCs w:val="32"/>
                <w:highlight w:val="none"/>
                <w:lang w:val="en-US" w:eastAsia="zh-CN"/>
              </w:rPr>
            </w:pPr>
            <w:r>
              <w:rPr>
                <w:rFonts w:hint="eastAsia" w:ascii="楷体_GB2312" w:eastAsia="楷体_GB2312"/>
                <w:kern w:val="0"/>
                <w:sz w:val="32"/>
                <w:szCs w:val="32"/>
                <w:highlight w:val="none"/>
                <w:lang w:val="en-US" w:eastAsia="zh-CN"/>
              </w:rPr>
              <w:t>询比要求</w:t>
            </w:r>
          </w:p>
        </w:tc>
        <w:tc>
          <w:tcPr>
            <w:tcW w:w="7169" w:type="dxa"/>
            <w:tcBorders>
              <w:top w:val="single" w:color="auto" w:sz="4" w:space="0"/>
              <w:left w:val="single" w:color="auto" w:sz="4" w:space="0"/>
              <w:bottom w:val="single" w:color="auto" w:sz="4" w:space="0"/>
            </w:tcBorders>
            <w:noWrap w:val="0"/>
            <w:vAlign w:val="center"/>
          </w:tcPr>
          <w:p w14:paraId="1AA56972">
            <w:pPr>
              <w:spacing w:line="48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响应要求：请收到询比采购通知的供应商，按照本通知中表2和表3文件制作响应文件，装订成册（1份）并密封，密封口须加盖供应商公章、法定代表人或授权委托人签字或盖章，封皮上写明采购项目名称、供应商名称。于</w:t>
            </w:r>
            <w:r>
              <w:rPr>
                <w:rFonts w:hint="eastAsia" w:ascii="仿宋" w:hAnsi="仿宋" w:eastAsia="仿宋" w:cs="仿宋"/>
                <w:sz w:val="24"/>
                <w:szCs w:val="24"/>
                <w:highlight w:val="yellow"/>
                <w:u w:val="single"/>
                <w:lang w:val="en-US" w:eastAsia="zh-CN"/>
              </w:rPr>
              <w:t>2025</w:t>
            </w:r>
            <w:r>
              <w:rPr>
                <w:rFonts w:hint="eastAsia" w:ascii="仿宋" w:hAnsi="仿宋" w:eastAsia="仿宋" w:cs="仿宋"/>
                <w:sz w:val="24"/>
                <w:szCs w:val="24"/>
                <w:highlight w:val="yellow"/>
                <w:lang w:val="en-US" w:eastAsia="zh-CN"/>
              </w:rPr>
              <w:t>年</w:t>
            </w:r>
            <w:r>
              <w:rPr>
                <w:rFonts w:hint="eastAsia" w:ascii="仿宋" w:hAnsi="仿宋" w:eastAsia="仿宋" w:cs="仿宋"/>
                <w:sz w:val="24"/>
                <w:szCs w:val="24"/>
                <w:highlight w:val="yellow"/>
                <w:u w:val="single"/>
                <w:lang w:val="en-US" w:eastAsia="zh-CN"/>
              </w:rPr>
              <w:t>11</w:t>
            </w:r>
            <w:r>
              <w:rPr>
                <w:rFonts w:hint="eastAsia" w:ascii="仿宋" w:hAnsi="仿宋" w:eastAsia="仿宋" w:cs="仿宋"/>
                <w:sz w:val="24"/>
                <w:szCs w:val="24"/>
                <w:highlight w:val="yellow"/>
                <w:lang w:val="en-US" w:eastAsia="zh-CN"/>
              </w:rPr>
              <w:t>月</w:t>
            </w:r>
            <w:r>
              <w:rPr>
                <w:rFonts w:hint="eastAsia" w:ascii="仿宋" w:hAnsi="仿宋" w:eastAsia="仿宋" w:cs="仿宋"/>
                <w:sz w:val="24"/>
                <w:szCs w:val="24"/>
                <w:highlight w:val="yellow"/>
                <w:u w:val="single"/>
                <w:lang w:val="en-US" w:eastAsia="zh-CN"/>
              </w:rPr>
              <w:t>27</w:t>
            </w:r>
            <w:r>
              <w:rPr>
                <w:rFonts w:hint="eastAsia" w:ascii="仿宋" w:hAnsi="仿宋" w:eastAsia="仿宋" w:cs="仿宋"/>
                <w:sz w:val="24"/>
                <w:szCs w:val="24"/>
                <w:highlight w:val="yellow"/>
                <w:lang w:val="en-US" w:eastAsia="zh-CN"/>
              </w:rPr>
              <w:t>日</w:t>
            </w:r>
            <w:r>
              <w:rPr>
                <w:rFonts w:hint="eastAsia" w:ascii="仿宋" w:hAnsi="仿宋" w:eastAsia="仿宋" w:cs="仿宋"/>
                <w:sz w:val="24"/>
                <w:szCs w:val="24"/>
                <w:highlight w:val="none"/>
                <w:lang w:val="en-US" w:eastAsia="zh-CN"/>
              </w:rPr>
              <w:t>17：00前，送（寄）达</w:t>
            </w:r>
            <w:r>
              <w:rPr>
                <w:rFonts w:hint="eastAsia" w:ascii="仿宋" w:hAnsi="仿宋" w:eastAsia="仿宋" w:cs="仿宋"/>
                <w:sz w:val="24"/>
                <w:szCs w:val="24"/>
                <w:highlight w:val="none"/>
                <w:u w:val="single"/>
                <w:lang w:val="en-US" w:eastAsia="zh-CN"/>
              </w:rPr>
              <w:t>常州市新北区魏村街道社区卫生服务中心</w:t>
            </w:r>
            <w:r>
              <w:rPr>
                <w:rFonts w:hint="eastAsia" w:ascii="仿宋" w:hAnsi="仿宋" w:eastAsia="仿宋" w:cs="仿宋"/>
                <w:sz w:val="24"/>
                <w:szCs w:val="24"/>
                <w:highlight w:val="none"/>
                <w:lang w:val="en-US" w:eastAsia="zh-CN"/>
              </w:rPr>
              <w:t>，联系方式：</w:t>
            </w:r>
            <w:r>
              <w:rPr>
                <w:rFonts w:hint="eastAsia" w:ascii="仿宋" w:hAnsi="仿宋" w:eastAsia="仿宋" w:cs="仿宋"/>
                <w:sz w:val="24"/>
                <w:szCs w:val="24"/>
                <w:highlight w:val="none"/>
                <w:u w:val="single"/>
                <w:lang w:val="en-US" w:eastAsia="zh-CN"/>
              </w:rPr>
              <w:t>樊女士—13961255926；</w:t>
            </w:r>
          </w:p>
          <w:p w14:paraId="2161BD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2.成交方式：根据各供应商提供的报价及证明材料等文件，在质量服务相等的情况下，报价最低的供应商为成交供应商。若报价相同的，提供增值服务多的供应商为成交供应商。</w:t>
            </w:r>
          </w:p>
        </w:tc>
      </w:tr>
    </w:tbl>
    <w:p w14:paraId="4ABD8E76">
      <w:pPr>
        <w:rPr>
          <w:rFonts w:hint="eastAsia" w:ascii="仿宋_GB2312" w:eastAsia="仿宋_GB2312"/>
          <w:sz w:val="32"/>
          <w:szCs w:val="32"/>
        </w:rPr>
      </w:pPr>
      <w:r>
        <w:rPr>
          <w:rFonts w:hint="eastAsia" w:ascii="仿宋_GB2312" w:eastAsia="仿宋_GB2312"/>
          <w:sz w:val="32"/>
          <w:szCs w:val="32"/>
        </w:rPr>
        <w:br w:type="page"/>
      </w:r>
    </w:p>
    <w:p w14:paraId="3812CAD3">
      <w:pPr>
        <w:rPr>
          <w:rFonts w:ascii="仿宋_GB2312" w:eastAsia="仿宋_GB2312"/>
          <w:sz w:val="32"/>
          <w:szCs w:val="32"/>
        </w:rPr>
      </w:pPr>
      <w:r>
        <w:rPr>
          <w:rFonts w:hint="eastAsia" w:ascii="仿宋_GB2312" w:eastAsia="仿宋_GB2312"/>
          <w:sz w:val="32"/>
          <w:szCs w:val="32"/>
        </w:rPr>
        <w:t>表2</w:t>
      </w:r>
    </w:p>
    <w:p w14:paraId="04332637">
      <w:pPr>
        <w:jc w:val="center"/>
        <w:rPr>
          <w:rFonts w:hint="eastAsia" w:ascii="华文中宋" w:hAnsi="华文中宋" w:eastAsia="华文中宋"/>
          <w:b/>
          <w:sz w:val="44"/>
          <w:szCs w:val="44"/>
          <w:u w:val="single"/>
        </w:rPr>
      </w:pPr>
      <w:r>
        <w:rPr>
          <w:rFonts w:hint="eastAsia" w:ascii="华文中宋" w:hAnsi="华文中宋" w:eastAsia="华文中宋"/>
          <w:sz w:val="44"/>
          <w:szCs w:val="44"/>
        </w:rPr>
        <w:t>报价一览表（回执）</w:t>
      </w:r>
    </w:p>
    <w:p w14:paraId="1A8F1E53">
      <w:pPr>
        <w:jc w:val="left"/>
        <w:rPr>
          <w:rFonts w:ascii="仿宋_GB2312" w:eastAsia="仿宋_GB2312"/>
          <w:sz w:val="30"/>
          <w:szCs w:val="30"/>
          <w:u w:val="single"/>
        </w:rPr>
      </w:pPr>
      <w:r>
        <w:rPr>
          <w:rFonts w:hint="eastAsia" w:ascii="仿宋_GB2312" w:eastAsia="仿宋_GB2312"/>
          <w:sz w:val="30"/>
          <w:szCs w:val="30"/>
        </w:rPr>
        <w:t>项目名称：</w:t>
      </w:r>
    </w:p>
    <w:p w14:paraId="7BDC47F5">
      <w:pPr>
        <w:jc w:val="left"/>
        <w:rPr>
          <w:rFonts w:ascii="仿宋_GB2312" w:eastAsia="仿宋_GB2312"/>
          <w:sz w:val="30"/>
          <w:szCs w:val="30"/>
        </w:rPr>
      </w:pPr>
      <w:r>
        <w:rPr>
          <w:rFonts w:hint="eastAsia" w:ascii="仿宋_GB2312" w:eastAsia="仿宋_GB2312"/>
          <w:sz w:val="30"/>
          <w:szCs w:val="30"/>
        </w:rPr>
        <w:t xml:space="preserve">报价单位：            </w:t>
      </w:r>
    </w:p>
    <w:p w14:paraId="39AB6780">
      <w:pPr>
        <w:jc w:val="left"/>
        <w:rPr>
          <w:rFonts w:hint="eastAsia" w:ascii="华文中宋" w:hAnsi="华文中宋" w:eastAsia="华文中宋"/>
          <w:b/>
          <w:sz w:val="30"/>
          <w:szCs w:val="30"/>
          <w:u w:val="single"/>
        </w:rPr>
      </w:pPr>
      <w:r>
        <w:rPr>
          <w:rFonts w:hint="eastAsia" w:ascii="仿宋_GB2312" w:eastAsia="仿宋_GB2312"/>
          <w:sz w:val="30"/>
          <w:szCs w:val="30"/>
        </w:rPr>
        <w:t>报价单位联系方式：</w:t>
      </w:r>
    </w:p>
    <w:tbl>
      <w:tblPr>
        <w:tblStyle w:val="5"/>
        <w:tblpPr w:leftFromText="180" w:rightFromText="180" w:vertAnchor="text" w:horzAnchor="margin" w:tblpXSpec="center" w:tblpY="3"/>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6"/>
        <w:gridCol w:w="3446"/>
        <w:gridCol w:w="2922"/>
      </w:tblGrid>
      <w:tr w14:paraId="168A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006" w:type="dxa"/>
            <w:noWrap w:val="0"/>
            <w:vAlign w:val="center"/>
          </w:tcPr>
          <w:p w14:paraId="2A3EF0BD">
            <w:pPr>
              <w:jc w:val="center"/>
              <w:rPr>
                <w:rFonts w:hint="eastAsia" w:ascii="楷体" w:hAnsi="楷体" w:eastAsia="楷体" w:cs="楷体"/>
                <w:sz w:val="32"/>
                <w:szCs w:val="32"/>
              </w:rPr>
            </w:pPr>
            <w:r>
              <w:rPr>
                <w:rFonts w:hint="eastAsia" w:ascii="楷体" w:hAnsi="楷体" w:eastAsia="楷体" w:cs="楷体"/>
                <w:sz w:val="32"/>
                <w:szCs w:val="32"/>
              </w:rPr>
              <w:t>分项名称</w:t>
            </w:r>
          </w:p>
        </w:tc>
        <w:tc>
          <w:tcPr>
            <w:tcW w:w="3446" w:type="dxa"/>
            <w:noWrap w:val="0"/>
            <w:vAlign w:val="center"/>
          </w:tcPr>
          <w:p w14:paraId="3E87E2A3">
            <w:pPr>
              <w:jc w:val="center"/>
              <w:rPr>
                <w:rFonts w:hint="eastAsia" w:ascii="楷体" w:hAnsi="楷体" w:eastAsia="楷体" w:cs="楷体"/>
                <w:sz w:val="32"/>
                <w:szCs w:val="32"/>
              </w:rPr>
            </w:pPr>
            <w:r>
              <w:rPr>
                <w:rFonts w:hint="eastAsia" w:ascii="楷体" w:hAnsi="楷体" w:eastAsia="楷体" w:cs="楷体"/>
                <w:sz w:val="32"/>
                <w:szCs w:val="32"/>
              </w:rPr>
              <w:t>分项服务内容</w:t>
            </w:r>
          </w:p>
        </w:tc>
        <w:tc>
          <w:tcPr>
            <w:tcW w:w="2922" w:type="dxa"/>
            <w:noWrap w:val="0"/>
            <w:vAlign w:val="center"/>
          </w:tcPr>
          <w:p w14:paraId="553AA65E">
            <w:pPr>
              <w:jc w:val="center"/>
              <w:rPr>
                <w:rFonts w:hint="eastAsia" w:ascii="楷体" w:hAnsi="楷体" w:eastAsia="楷体" w:cs="楷体"/>
                <w:sz w:val="32"/>
                <w:szCs w:val="32"/>
              </w:rPr>
            </w:pPr>
            <w:r>
              <w:rPr>
                <w:rFonts w:hint="eastAsia" w:ascii="楷体" w:hAnsi="楷体" w:eastAsia="楷体" w:cs="楷体"/>
                <w:sz w:val="32"/>
                <w:szCs w:val="32"/>
              </w:rPr>
              <w:t>含税单价（万元）</w:t>
            </w:r>
          </w:p>
        </w:tc>
      </w:tr>
      <w:tr w14:paraId="2C89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006" w:type="dxa"/>
            <w:noWrap w:val="0"/>
            <w:vAlign w:val="center"/>
          </w:tcPr>
          <w:p w14:paraId="282583D4">
            <w:pPr>
              <w:jc w:val="center"/>
              <w:rPr>
                <w:sz w:val="24"/>
                <w:szCs w:val="24"/>
              </w:rPr>
            </w:pPr>
            <w:r>
              <w:rPr>
                <w:sz w:val="24"/>
                <w:szCs w:val="24"/>
              </w:rPr>
              <w:t>1. XXXXX</w:t>
            </w:r>
          </w:p>
        </w:tc>
        <w:tc>
          <w:tcPr>
            <w:tcW w:w="3446" w:type="dxa"/>
            <w:noWrap w:val="0"/>
            <w:vAlign w:val="center"/>
          </w:tcPr>
          <w:p w14:paraId="1C30AFBA">
            <w:pPr>
              <w:jc w:val="center"/>
              <w:rPr>
                <w:sz w:val="24"/>
                <w:szCs w:val="24"/>
              </w:rPr>
            </w:pPr>
          </w:p>
        </w:tc>
        <w:tc>
          <w:tcPr>
            <w:tcW w:w="2922" w:type="dxa"/>
            <w:noWrap w:val="0"/>
            <w:vAlign w:val="center"/>
          </w:tcPr>
          <w:p w14:paraId="68CA6DC9">
            <w:pPr>
              <w:jc w:val="center"/>
              <w:rPr>
                <w:sz w:val="24"/>
                <w:szCs w:val="24"/>
              </w:rPr>
            </w:pPr>
          </w:p>
        </w:tc>
      </w:tr>
      <w:tr w14:paraId="6BFB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006" w:type="dxa"/>
            <w:noWrap w:val="0"/>
            <w:vAlign w:val="center"/>
          </w:tcPr>
          <w:p w14:paraId="45C394F1">
            <w:pPr>
              <w:jc w:val="center"/>
              <w:rPr>
                <w:sz w:val="24"/>
                <w:szCs w:val="24"/>
              </w:rPr>
            </w:pPr>
            <w:r>
              <w:rPr>
                <w:sz w:val="24"/>
                <w:szCs w:val="24"/>
              </w:rPr>
              <w:t>2.</w:t>
            </w:r>
          </w:p>
        </w:tc>
        <w:tc>
          <w:tcPr>
            <w:tcW w:w="3446" w:type="dxa"/>
            <w:noWrap w:val="0"/>
            <w:vAlign w:val="center"/>
          </w:tcPr>
          <w:p w14:paraId="6817E356">
            <w:pPr>
              <w:jc w:val="center"/>
              <w:rPr>
                <w:sz w:val="24"/>
                <w:szCs w:val="24"/>
              </w:rPr>
            </w:pPr>
          </w:p>
        </w:tc>
        <w:tc>
          <w:tcPr>
            <w:tcW w:w="2922" w:type="dxa"/>
            <w:noWrap w:val="0"/>
            <w:vAlign w:val="center"/>
          </w:tcPr>
          <w:p w14:paraId="221CDF21">
            <w:pPr>
              <w:jc w:val="center"/>
              <w:rPr>
                <w:sz w:val="24"/>
                <w:szCs w:val="24"/>
              </w:rPr>
            </w:pPr>
          </w:p>
        </w:tc>
      </w:tr>
      <w:tr w14:paraId="4B88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006" w:type="dxa"/>
            <w:noWrap w:val="0"/>
            <w:vAlign w:val="center"/>
          </w:tcPr>
          <w:p w14:paraId="61FC148F">
            <w:pPr>
              <w:jc w:val="center"/>
              <w:rPr>
                <w:sz w:val="24"/>
                <w:szCs w:val="24"/>
              </w:rPr>
            </w:pPr>
            <w:r>
              <w:rPr>
                <w:sz w:val="24"/>
                <w:szCs w:val="24"/>
              </w:rPr>
              <w:t>3.</w:t>
            </w:r>
          </w:p>
        </w:tc>
        <w:tc>
          <w:tcPr>
            <w:tcW w:w="3446" w:type="dxa"/>
            <w:noWrap w:val="0"/>
            <w:vAlign w:val="center"/>
          </w:tcPr>
          <w:p w14:paraId="00A7A62F">
            <w:pPr>
              <w:jc w:val="center"/>
              <w:rPr>
                <w:sz w:val="24"/>
                <w:szCs w:val="24"/>
              </w:rPr>
            </w:pPr>
          </w:p>
        </w:tc>
        <w:tc>
          <w:tcPr>
            <w:tcW w:w="2922" w:type="dxa"/>
            <w:noWrap w:val="0"/>
            <w:vAlign w:val="center"/>
          </w:tcPr>
          <w:p w14:paraId="1E4D587E">
            <w:pPr>
              <w:jc w:val="center"/>
              <w:rPr>
                <w:sz w:val="24"/>
                <w:szCs w:val="24"/>
              </w:rPr>
            </w:pPr>
          </w:p>
        </w:tc>
      </w:tr>
      <w:tr w14:paraId="3C30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006" w:type="dxa"/>
            <w:noWrap w:val="0"/>
            <w:vAlign w:val="center"/>
          </w:tcPr>
          <w:p w14:paraId="1CC44C0F">
            <w:pPr>
              <w:jc w:val="center"/>
              <w:rPr>
                <w:sz w:val="24"/>
                <w:szCs w:val="24"/>
              </w:rPr>
            </w:pPr>
            <w:r>
              <w:rPr>
                <w:rFonts w:hint="eastAsia"/>
                <w:sz w:val="24"/>
                <w:szCs w:val="24"/>
              </w:rPr>
              <w:t>……</w:t>
            </w:r>
          </w:p>
        </w:tc>
        <w:tc>
          <w:tcPr>
            <w:tcW w:w="3446" w:type="dxa"/>
            <w:noWrap w:val="0"/>
            <w:vAlign w:val="center"/>
          </w:tcPr>
          <w:p w14:paraId="5CE5661A">
            <w:pPr>
              <w:jc w:val="center"/>
              <w:rPr>
                <w:sz w:val="24"/>
                <w:szCs w:val="24"/>
              </w:rPr>
            </w:pPr>
          </w:p>
        </w:tc>
        <w:tc>
          <w:tcPr>
            <w:tcW w:w="2922" w:type="dxa"/>
            <w:noWrap w:val="0"/>
            <w:vAlign w:val="center"/>
          </w:tcPr>
          <w:p w14:paraId="53C00468">
            <w:pPr>
              <w:jc w:val="center"/>
              <w:rPr>
                <w:sz w:val="24"/>
                <w:szCs w:val="24"/>
              </w:rPr>
            </w:pPr>
          </w:p>
        </w:tc>
      </w:tr>
      <w:tr w14:paraId="18F7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452" w:type="dxa"/>
            <w:gridSpan w:val="2"/>
            <w:noWrap w:val="0"/>
            <w:vAlign w:val="center"/>
          </w:tcPr>
          <w:p w14:paraId="6970B673">
            <w:pPr>
              <w:jc w:val="center"/>
            </w:pPr>
            <w:r>
              <w:rPr>
                <w:rFonts w:hint="eastAsia" w:ascii="楷体" w:hAnsi="楷体" w:eastAsia="楷体" w:cs="楷体"/>
                <w:sz w:val="32"/>
                <w:szCs w:val="32"/>
              </w:rPr>
              <w:t>合计</w:t>
            </w:r>
          </w:p>
        </w:tc>
        <w:tc>
          <w:tcPr>
            <w:tcW w:w="2922" w:type="dxa"/>
            <w:noWrap w:val="0"/>
            <w:vAlign w:val="center"/>
          </w:tcPr>
          <w:p w14:paraId="0EAE836A">
            <w:pPr>
              <w:jc w:val="center"/>
            </w:pPr>
          </w:p>
        </w:tc>
      </w:tr>
    </w:tbl>
    <w:p w14:paraId="6D25CC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28"/>
          <w:szCs w:val="28"/>
        </w:rPr>
      </w:pPr>
      <w:r>
        <w:rPr>
          <w:rFonts w:hint="eastAsia" w:ascii="楷体" w:hAnsi="楷体" w:eastAsia="楷体" w:cs="楷体"/>
          <w:sz w:val="28"/>
          <w:szCs w:val="28"/>
        </w:rPr>
        <w:t>其他说明：本项目报价为固定总价报价，包括相应服务的提供、人员（包括工资和补贴）、办公场所及设施、保险、劳保、管理、各种税费、利润、税金、政策性文件规定及合同包含的所有风险、责任等各项应有费用，以及为完成该项目所涉及到的一切相关费用。一旦成交，采购人不再支付其他任何费用。</w:t>
      </w:r>
    </w:p>
    <w:p w14:paraId="1CAC9861">
      <w:pPr>
        <w:rPr>
          <w:rFonts w:hint="eastAsia" w:ascii="仿宋_GB2312" w:eastAsia="仿宋_GB2312"/>
          <w:sz w:val="32"/>
          <w:szCs w:val="32"/>
        </w:rPr>
      </w:pPr>
    </w:p>
    <w:p w14:paraId="112FF3F8">
      <w:pPr>
        <w:rPr>
          <w:rFonts w:hint="eastAsia" w:ascii="黑体" w:hAnsi="黑体" w:eastAsia="黑体" w:cs="黑体"/>
          <w:sz w:val="32"/>
          <w:szCs w:val="32"/>
        </w:rPr>
      </w:pPr>
      <w:r>
        <w:rPr>
          <w:rFonts w:hint="eastAsia" w:ascii="黑体" w:hAnsi="黑体" w:eastAsia="黑体" w:cs="黑体"/>
          <w:sz w:val="30"/>
          <w:szCs w:val="30"/>
        </w:rPr>
        <w:t>法定代表人（或授权委托人）</w:t>
      </w:r>
      <w:r>
        <w:rPr>
          <w:rFonts w:hint="eastAsia" w:ascii="黑体" w:hAnsi="黑体" w:eastAsia="黑体" w:cs="黑体"/>
          <w:sz w:val="30"/>
          <w:szCs w:val="30"/>
          <w:lang w:val="en-US" w:eastAsia="zh-CN"/>
        </w:rPr>
        <w:t>签字：</w:t>
      </w:r>
    </w:p>
    <w:p w14:paraId="0EEEA450">
      <w:pPr>
        <w:rPr>
          <w:rFonts w:hint="eastAsia" w:ascii="仿宋_GB2312" w:eastAsia="仿宋_GB2312"/>
          <w:sz w:val="32"/>
          <w:szCs w:val="32"/>
        </w:rPr>
      </w:pPr>
    </w:p>
    <w:p w14:paraId="51B38915">
      <w:pPr>
        <w:rPr>
          <w:rFonts w:hint="eastAsia" w:ascii="仿宋_GB2312" w:eastAsia="仿宋_GB2312"/>
          <w:sz w:val="32"/>
          <w:szCs w:val="32"/>
        </w:rPr>
      </w:pPr>
    </w:p>
    <w:p w14:paraId="0D51A102">
      <w:pPr>
        <w:rPr>
          <w:rFonts w:hint="eastAsia" w:ascii="仿宋_GB2312" w:eastAsia="仿宋_GB2312"/>
          <w:sz w:val="32"/>
          <w:szCs w:val="32"/>
        </w:rPr>
      </w:pPr>
    </w:p>
    <w:p w14:paraId="2B9AE89A">
      <w:pPr>
        <w:rPr>
          <w:rFonts w:hint="eastAsia" w:ascii="仿宋_GB2312" w:eastAsia="仿宋_GB2312"/>
          <w:sz w:val="32"/>
          <w:szCs w:val="32"/>
        </w:rPr>
      </w:pPr>
    </w:p>
    <w:p w14:paraId="455128CD">
      <w:pPr>
        <w:rPr>
          <w:rFonts w:ascii="仿宋_GB2312" w:eastAsia="仿宋_GB2312"/>
          <w:sz w:val="32"/>
          <w:szCs w:val="32"/>
        </w:rPr>
      </w:pPr>
      <w:r>
        <w:rPr>
          <w:rFonts w:hint="eastAsia" w:ascii="仿宋_GB2312" w:eastAsia="仿宋_GB2312"/>
          <w:sz w:val="32"/>
          <w:szCs w:val="32"/>
        </w:rPr>
        <w:t>表3</w:t>
      </w:r>
    </w:p>
    <w:p w14:paraId="688E92CA">
      <w:pPr>
        <w:jc w:val="center"/>
        <w:rPr>
          <w:rFonts w:ascii="华文中宋" w:hAnsi="华文中宋" w:eastAsia="华文中宋"/>
          <w:sz w:val="44"/>
          <w:szCs w:val="44"/>
        </w:rPr>
      </w:pPr>
      <w:r>
        <w:rPr>
          <w:rFonts w:hint="eastAsia" w:ascii="华文中宋" w:hAnsi="华文中宋" w:eastAsia="华文中宋"/>
          <w:sz w:val="44"/>
          <w:szCs w:val="44"/>
        </w:rPr>
        <w:t>报价单位资质</w:t>
      </w:r>
      <w:r>
        <w:rPr>
          <w:rFonts w:hint="eastAsia" w:ascii="华文中宋" w:hAnsi="华文中宋" w:eastAsia="华文中宋"/>
          <w:sz w:val="44"/>
          <w:szCs w:val="44"/>
          <w:lang w:val="en-US" w:eastAsia="zh-CN"/>
        </w:rPr>
        <w:t>及</w:t>
      </w:r>
      <w:r>
        <w:rPr>
          <w:rFonts w:hint="eastAsia" w:ascii="华文中宋" w:hAnsi="华文中宋" w:eastAsia="华文中宋"/>
          <w:sz w:val="44"/>
          <w:szCs w:val="44"/>
        </w:rPr>
        <w:t>证明材料（回执）</w:t>
      </w:r>
    </w:p>
    <w:p w14:paraId="31FA17D2">
      <w:pPr>
        <w:numPr>
          <w:ilvl w:val="0"/>
          <w:numId w:val="0"/>
        </w:numPr>
        <w:jc w:val="left"/>
        <w:rPr>
          <w:rFonts w:hint="eastAsia" w:ascii="仿宋_GB2312" w:eastAsia="仿宋_GB2312"/>
          <w:sz w:val="32"/>
          <w:szCs w:val="32"/>
          <w:lang w:val="en-US" w:eastAsia="zh-CN"/>
        </w:rPr>
      </w:pPr>
    </w:p>
    <w:p w14:paraId="73F5E7DC">
      <w:pPr>
        <w:numPr>
          <w:ilvl w:val="0"/>
          <w:numId w:val="2"/>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营业执照</w:t>
      </w:r>
      <w:r>
        <w:rPr>
          <w:rFonts w:hint="eastAsia" w:ascii="方正仿宋_GB2312" w:hAnsi="方正仿宋_GB2312" w:eastAsia="方正仿宋_GB2312" w:cs="Times New Roman"/>
          <w:sz w:val="32"/>
          <w:szCs w:val="32"/>
          <w:lang w:val="en-US" w:eastAsia="zh-CN"/>
        </w:rPr>
        <w:t>及相应资质证明材料；</w:t>
      </w:r>
    </w:p>
    <w:p w14:paraId="72A3344E">
      <w:pPr>
        <w:numPr>
          <w:ilvl w:val="0"/>
          <w:numId w:val="2"/>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法定代表人（或授权委托人）身份证正反面复印件；</w:t>
      </w:r>
    </w:p>
    <w:p w14:paraId="3F33A337">
      <w:pPr>
        <w:numPr>
          <w:ilvl w:val="0"/>
          <w:numId w:val="2"/>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rPr>
        <w:t>提供同类</w:t>
      </w:r>
      <w:r>
        <w:rPr>
          <w:rFonts w:hint="eastAsia" w:ascii="方正仿宋_GB2312" w:hAnsi="方正仿宋_GB2312" w:eastAsia="方正仿宋_GB2312" w:cs="Times New Roman"/>
          <w:sz w:val="32"/>
          <w:szCs w:val="32"/>
          <w:lang w:val="en-US" w:eastAsia="zh-CN"/>
        </w:rPr>
        <w:t>合同</w:t>
      </w:r>
      <w:r>
        <w:rPr>
          <w:rFonts w:hint="eastAsia" w:ascii="方正仿宋_GB2312" w:hAnsi="方正仿宋_GB2312" w:eastAsia="方正仿宋_GB2312" w:cs="Times New Roman"/>
          <w:sz w:val="32"/>
          <w:szCs w:val="32"/>
        </w:rPr>
        <w:t>业绩的证明材料</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如有</w:t>
      </w:r>
      <w:r>
        <w:rPr>
          <w:rFonts w:hint="eastAsia" w:ascii="方正仿宋_GB2312" w:hAnsi="方正仿宋_GB2312" w:eastAsia="方正仿宋_GB2312" w:cs="Times New Roman"/>
          <w:sz w:val="32"/>
          <w:szCs w:val="32"/>
          <w:lang w:eastAsia="zh-CN"/>
        </w:rPr>
        <w:t>）</w:t>
      </w:r>
      <w:r>
        <w:rPr>
          <w:rFonts w:hint="eastAsia" w:ascii="方正仿宋_GB2312" w:hAnsi="方正仿宋_GB2312" w:eastAsia="方正仿宋_GB2312" w:cs="Times New Roman"/>
          <w:sz w:val="32"/>
          <w:szCs w:val="32"/>
          <w:lang w:val="en-US" w:eastAsia="zh-CN"/>
        </w:rPr>
        <w:t>；</w:t>
      </w:r>
    </w:p>
    <w:p w14:paraId="4F193AFE">
      <w:pPr>
        <w:numPr>
          <w:ilvl w:val="0"/>
          <w:numId w:val="2"/>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服务团队和人员工作能力和经验的相关材料；</w:t>
      </w:r>
    </w:p>
    <w:p w14:paraId="028FE965">
      <w:pPr>
        <w:numPr>
          <w:ilvl w:val="0"/>
          <w:numId w:val="2"/>
        </w:numPr>
        <w:spacing w:line="720" w:lineRule="auto"/>
        <w:jc w:val="left"/>
        <w:rPr>
          <w:rFonts w:hint="eastAsia" w:ascii="方正仿宋_GB2312" w:hAnsi="方正仿宋_GB2312" w:eastAsia="方正仿宋_GB2312" w:cs="Times New Roman"/>
          <w:sz w:val="32"/>
          <w:szCs w:val="32"/>
          <w:lang w:val="en-US" w:eastAsia="zh-CN"/>
        </w:rPr>
      </w:pPr>
      <w:r>
        <w:rPr>
          <w:rFonts w:hint="eastAsia" w:ascii="方正仿宋_GB2312" w:hAnsi="方正仿宋_GB2312" w:eastAsia="方正仿宋_GB2312" w:cs="Times New Roman"/>
          <w:sz w:val="32"/>
          <w:szCs w:val="32"/>
          <w:lang w:val="en-US" w:eastAsia="zh-CN"/>
        </w:rPr>
        <w:t>履约能力和综合实力的其他证明材料。</w:t>
      </w:r>
    </w:p>
    <w:p w14:paraId="781CA364">
      <w:pPr>
        <w:jc w:val="left"/>
        <w:rPr>
          <w:rFonts w:ascii="仿宋_GB2312" w:eastAsia="仿宋_GB2312"/>
          <w:sz w:val="32"/>
          <w:szCs w:val="32"/>
        </w:rPr>
      </w:pPr>
    </w:p>
    <w:p w14:paraId="11369D7B">
      <w:pPr>
        <w:jc w:val="left"/>
        <w:rPr>
          <w:rFonts w:ascii="仿宋_GB2312" w:eastAsia="仿宋_GB2312"/>
          <w:sz w:val="32"/>
          <w:szCs w:val="32"/>
        </w:rPr>
      </w:pPr>
    </w:p>
    <w:p w14:paraId="7437CCED">
      <w:pPr>
        <w:jc w:val="left"/>
        <w:rPr>
          <w:rFonts w:ascii="仿宋" w:hAnsi="仿宋" w:eastAsia="仿宋"/>
          <w:b/>
          <w:bCs/>
          <w:i/>
          <w:iCs/>
          <w:sz w:val="32"/>
          <w:szCs w:val="32"/>
        </w:rPr>
      </w:pPr>
      <w:r>
        <w:rPr>
          <w:rFonts w:hint="eastAsia" w:ascii="仿宋_GB2312" w:eastAsia="仿宋_GB2312"/>
          <w:b/>
          <w:bCs/>
          <w:i/>
          <w:iCs/>
          <w:sz w:val="32"/>
          <w:szCs w:val="32"/>
        </w:rPr>
        <w:t>注：</w:t>
      </w:r>
      <w:r>
        <w:rPr>
          <w:rFonts w:hint="eastAsia" w:ascii="仿宋" w:hAnsi="仿宋" w:eastAsia="仿宋" w:cs="微软雅黑"/>
          <w:b/>
          <w:bCs/>
          <w:i/>
          <w:iCs/>
          <w:sz w:val="32"/>
          <w:szCs w:val="32"/>
        </w:rPr>
        <w:t>所提供的</w:t>
      </w:r>
      <w:r>
        <w:rPr>
          <w:rFonts w:hint="eastAsia" w:ascii="仿宋" w:hAnsi="仿宋" w:eastAsia="仿宋" w:cs="微软雅黑"/>
          <w:b/>
          <w:bCs/>
          <w:i/>
          <w:iCs/>
          <w:sz w:val="32"/>
          <w:szCs w:val="32"/>
          <w:lang w:val="en-US" w:eastAsia="zh-CN"/>
        </w:rPr>
        <w:t>资质文件和</w:t>
      </w:r>
      <w:r>
        <w:rPr>
          <w:rFonts w:hint="eastAsia" w:ascii="仿宋" w:hAnsi="仿宋" w:eastAsia="仿宋" w:cs="微软雅黑"/>
          <w:b/>
          <w:bCs/>
          <w:i/>
          <w:iCs/>
          <w:sz w:val="32"/>
          <w:szCs w:val="32"/>
        </w:rPr>
        <w:t>证明材料须</w:t>
      </w:r>
      <w:r>
        <w:rPr>
          <w:rFonts w:hint="eastAsia" w:ascii="仿宋_GB2312" w:eastAsia="仿宋_GB2312"/>
          <w:b/>
          <w:bCs/>
          <w:i/>
          <w:iCs/>
          <w:sz w:val="32"/>
          <w:szCs w:val="32"/>
        </w:rPr>
        <w:t>加盖报价单位公章，</w:t>
      </w:r>
      <w:r>
        <w:rPr>
          <w:rFonts w:hint="eastAsia" w:ascii="仿宋" w:hAnsi="仿宋" w:eastAsia="仿宋" w:cs="微软雅黑"/>
          <w:b/>
          <w:bCs/>
          <w:i/>
          <w:iCs/>
          <w:sz w:val="32"/>
          <w:szCs w:val="32"/>
        </w:rPr>
        <w:t>未加盖公章的为无效报价</w:t>
      </w:r>
      <w:r>
        <w:rPr>
          <w:rFonts w:hint="eastAsia" w:ascii="仿宋" w:hAnsi="仿宋" w:eastAsia="仿宋" w:cs="微软雅黑"/>
          <w:b/>
          <w:bCs/>
          <w:i/>
          <w:iCs/>
          <w:sz w:val="32"/>
          <w:szCs w:val="32"/>
          <w:lang w:val="en-US" w:eastAsia="zh-CN"/>
        </w:rPr>
        <w:t>材料</w:t>
      </w:r>
      <w:r>
        <w:rPr>
          <w:rFonts w:hint="eastAsia" w:ascii="仿宋" w:hAnsi="仿宋" w:eastAsia="仿宋" w:cs="微软雅黑"/>
          <w:b/>
          <w:bCs/>
          <w:i/>
          <w:iCs/>
          <w:sz w:val="32"/>
          <w:szCs w:val="32"/>
        </w:rPr>
        <w:t>。</w:t>
      </w:r>
    </w:p>
    <w:p w14:paraId="69122113">
      <w:pPr>
        <w:jc w:val="left"/>
        <w:rPr>
          <w:rFonts w:ascii="仿宋_GB2312" w:eastAsia="仿宋_GB2312"/>
          <w:sz w:val="32"/>
          <w:szCs w:val="32"/>
        </w:rPr>
      </w:pPr>
    </w:p>
    <w:p w14:paraId="2C3183B0">
      <w:pPr>
        <w:jc w:val="left"/>
        <w:rPr>
          <w:rFonts w:hint="eastAsia" w:ascii="仿宋_GB2312" w:eastAsia="仿宋_GB2312"/>
          <w:sz w:val="32"/>
          <w:szCs w:val="32"/>
        </w:rPr>
      </w:pPr>
    </w:p>
    <w:p w14:paraId="596673C5">
      <w:pPr>
        <w:jc w:val="left"/>
        <w:rPr>
          <w:rFonts w:hint="eastAsia" w:ascii="仿宋_GB2312" w:eastAsia="仿宋_GB2312"/>
          <w:sz w:val="32"/>
          <w:szCs w:val="32"/>
        </w:rPr>
      </w:pPr>
    </w:p>
    <w:p w14:paraId="36760AA9">
      <w:pPr>
        <w:jc w:val="left"/>
        <w:rPr>
          <w:rFonts w:hint="eastAsia" w:ascii="仿宋_GB2312" w:eastAsia="仿宋_GB2312"/>
          <w:sz w:val="32"/>
          <w:szCs w:val="32"/>
        </w:rPr>
      </w:pPr>
    </w:p>
    <w:p w14:paraId="14720F81">
      <w:pPr>
        <w:jc w:val="left"/>
        <w:rPr>
          <w:rFonts w:hint="eastAsia" w:ascii="仿宋_GB2312" w:eastAsia="仿宋_GB2312"/>
          <w:sz w:val="32"/>
          <w:szCs w:val="32"/>
        </w:rPr>
      </w:pPr>
    </w:p>
    <w:p w14:paraId="14D3D0D6">
      <w:pPr>
        <w:jc w:val="left"/>
        <w:rPr>
          <w:rFonts w:hint="eastAsia" w:ascii="仿宋_GB2312" w:eastAsia="仿宋_GB2312"/>
          <w:sz w:val="32"/>
          <w:szCs w:val="32"/>
        </w:rPr>
      </w:pPr>
    </w:p>
    <w:p w14:paraId="40403BED"/>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8F8E2B-4642-4C46-B841-40B219FAF7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667C3E9-90C1-43F6-8A77-B442BF5EE763}"/>
  </w:font>
  <w:font w:name="GWZT-E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3" w:fontKey="{3A0B216C-982C-4116-A530-3993B6FB1961}"/>
  </w:font>
  <w:font w:name="华文中宋">
    <w:panose1 w:val="02010600040101010101"/>
    <w:charset w:val="86"/>
    <w:family w:val="auto"/>
    <w:pitch w:val="default"/>
    <w:sig w:usb0="00000287" w:usb1="080F0000" w:usb2="00000000" w:usb3="00000000" w:csb0="0004009F" w:csb1="DFD70000"/>
    <w:embedRegular r:id="rId4" w:fontKey="{3EBF3199-4970-4243-99C9-267304BE31AB}"/>
  </w:font>
  <w:font w:name="方正公文小标宋">
    <w:panose1 w:val="02000500000000000000"/>
    <w:charset w:val="86"/>
    <w:family w:val="auto"/>
    <w:pitch w:val="default"/>
    <w:sig w:usb0="A00002BF" w:usb1="38CF7CFA" w:usb2="00000016" w:usb3="00000000" w:csb0="00040001" w:csb1="00000000"/>
    <w:embedRegular r:id="rId5" w:fontKey="{12C59A88-86BB-434F-A7AC-615C919F85C9}"/>
  </w:font>
  <w:font w:name="仿宋_GB2312">
    <w:altName w:val="仿宋"/>
    <w:panose1 w:val="02010609030101010101"/>
    <w:charset w:val="86"/>
    <w:family w:val="modern"/>
    <w:pitch w:val="default"/>
    <w:sig w:usb0="00000000" w:usb1="00000000" w:usb2="00000000" w:usb3="00000000" w:csb0="00040000" w:csb1="00000000"/>
    <w:embedRegular r:id="rId6" w:fontKey="{9DC47C57-94EB-4F5B-A7EA-85E01EAED65B}"/>
  </w:font>
  <w:font w:name="楷体">
    <w:panose1 w:val="02010609060101010101"/>
    <w:charset w:val="86"/>
    <w:family w:val="auto"/>
    <w:pitch w:val="default"/>
    <w:sig w:usb0="800002BF" w:usb1="38CF7CFA" w:usb2="00000016" w:usb3="00000000" w:csb0="00040001" w:csb1="00000000"/>
    <w:embedRegular r:id="rId7" w:fontKey="{1BE40ECF-33C9-4E69-AF21-3EFDDC2E69D9}"/>
  </w:font>
  <w:font w:name="Wingdings 2">
    <w:panose1 w:val="05020102010507070707"/>
    <w:charset w:val="02"/>
    <w:family w:val="auto"/>
    <w:pitch w:val="default"/>
    <w:sig w:usb0="00000000" w:usb1="00000000" w:usb2="00000000" w:usb3="00000000" w:csb0="80000000" w:csb1="00000000"/>
    <w:embedRegular r:id="rId8" w:fontKey="{2F17CF37-25EB-4B42-98EE-B88C91F496CE}"/>
  </w:font>
  <w:font w:name="楷体_GB2312">
    <w:altName w:val="楷体"/>
    <w:panose1 w:val="02010609030101010101"/>
    <w:charset w:val="86"/>
    <w:family w:val="modern"/>
    <w:pitch w:val="default"/>
    <w:sig w:usb0="00000000" w:usb1="00000000" w:usb2="00000010" w:usb3="00000000" w:csb0="00040000" w:csb1="00000000"/>
    <w:embedRegular r:id="rId9" w:fontKey="{8CA25CAD-1868-43D1-B45E-D6D5A3BB0782}"/>
  </w:font>
  <w:font w:name="方正仿宋_GB2312">
    <w:panose1 w:val="02000000000000000000"/>
    <w:charset w:val="86"/>
    <w:family w:val="auto"/>
    <w:pitch w:val="default"/>
    <w:sig w:usb0="A00002BF" w:usb1="184F6CFA" w:usb2="00000012" w:usb3="00000000" w:csb0="00040001" w:csb1="00000000"/>
    <w:embedRegular r:id="rId10" w:fontKey="{3D21D844-C5DE-47FF-A489-F2ECB6CD5ED6}"/>
  </w:font>
  <w:font w:name="微软雅黑">
    <w:panose1 w:val="020B0503020204020204"/>
    <w:charset w:val="86"/>
    <w:family w:val="swiss"/>
    <w:pitch w:val="default"/>
    <w:sig w:usb0="80000287" w:usb1="2ACF3C50" w:usb2="00000016" w:usb3="00000000" w:csb0="0004001F" w:csb1="00000000"/>
    <w:embedRegular r:id="rId11" w:fontKey="{775DA8A1-7CA4-46C9-AFCE-B39A461608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875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BE31C">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9BE31C">
                    <w:pPr>
                      <w:pStyle w:val="3"/>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4</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60896"/>
    <w:multiLevelType w:val="singleLevel"/>
    <w:tmpl w:val="AEF60896"/>
    <w:lvl w:ilvl="0" w:tentative="0">
      <w:start w:val="1"/>
      <w:numFmt w:val="decimal"/>
      <w:lvlText w:val="%1."/>
      <w:lvlJc w:val="left"/>
      <w:pPr>
        <w:tabs>
          <w:tab w:val="left" w:pos="312"/>
        </w:tabs>
      </w:pPr>
      <w:rPr>
        <w:rFonts w:hint="default" w:ascii="Times New Roman" w:hAnsi="Times New Roman" w:cs="Times New Roman"/>
      </w:rPr>
    </w:lvl>
  </w:abstractNum>
  <w:abstractNum w:abstractNumId="1">
    <w:nsid w:val="1D9C8C13"/>
    <w:multiLevelType w:val="singleLevel"/>
    <w:tmpl w:val="1D9C8C13"/>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212AB5"/>
    <w:rsid w:val="03C87256"/>
    <w:rsid w:val="0A073F5D"/>
    <w:rsid w:val="0A40746F"/>
    <w:rsid w:val="0C741210"/>
    <w:rsid w:val="10DA05E5"/>
    <w:rsid w:val="112A7C66"/>
    <w:rsid w:val="12E86732"/>
    <w:rsid w:val="14D161FB"/>
    <w:rsid w:val="15DD5B72"/>
    <w:rsid w:val="16AE3B69"/>
    <w:rsid w:val="1B0E568F"/>
    <w:rsid w:val="1BDA2BEC"/>
    <w:rsid w:val="22A6067D"/>
    <w:rsid w:val="25A20B86"/>
    <w:rsid w:val="2AA5284E"/>
    <w:rsid w:val="2F103B63"/>
    <w:rsid w:val="33397F17"/>
    <w:rsid w:val="340547BA"/>
    <w:rsid w:val="355B6BB8"/>
    <w:rsid w:val="37AE6F16"/>
    <w:rsid w:val="37E61094"/>
    <w:rsid w:val="395064D7"/>
    <w:rsid w:val="3C212AB5"/>
    <w:rsid w:val="3E046E8D"/>
    <w:rsid w:val="3EF1250A"/>
    <w:rsid w:val="40AA6120"/>
    <w:rsid w:val="419158DF"/>
    <w:rsid w:val="53165C44"/>
    <w:rsid w:val="55173EF5"/>
    <w:rsid w:val="5D5E4DB7"/>
    <w:rsid w:val="5E2733FB"/>
    <w:rsid w:val="5F7F1015"/>
    <w:rsid w:val="63471E49"/>
    <w:rsid w:val="65206DF6"/>
    <w:rsid w:val="66100C18"/>
    <w:rsid w:val="6DF00391"/>
    <w:rsid w:val="738A4D84"/>
    <w:rsid w:val="766E5C13"/>
    <w:rsid w:val="7AB001D5"/>
    <w:rsid w:val="7F292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pPr>
      <w:widowControl w:val="0"/>
      <w:overflowPunct w:val="0"/>
      <w:topLinePunct/>
      <w:autoSpaceDN/>
      <w:spacing w:afterLines="0" w:afterAutospacing="0"/>
      <w:ind w:firstLine="632" w:firstLineChars="200"/>
      <w:jc w:val="both"/>
    </w:pPr>
    <w:rPr>
      <w:rFonts w:ascii="GWZT-EN" w:hAnsi="Times New Roman" w:eastAsia="仿宋" w:cs="Times New Roman"/>
      <w:spacing w:val="-6"/>
      <w:kern w:val="2"/>
      <w:sz w:val="32"/>
      <w:szCs w:val="32"/>
      <w:lang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段"/>
    <w:next w:val="1"/>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761</Words>
  <Characters>775</Characters>
  <Lines>0</Lines>
  <Paragraphs>0</Paragraphs>
  <TotalTime>115</TotalTime>
  <ScaleCrop>false</ScaleCrop>
  <LinksUpToDate>false</LinksUpToDate>
  <CharactersWithSpaces>782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2025-03-27T01:57:00Z</dcterms:created>
  <dc:creator>HeyTp</dc:creator>
  <cp:lastModifiedBy>HeyTp</cp:lastModifiedBy>
  <dcterms:modified xsi:type="dcterms:W3CDTF">2025-12-18T00:47:47Z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1069F1BC89364AE2B8CBD32AA030609B_13</vt:lpwstr>
  </property>
  <property fmtid="{D5CDD505-2E9C-101B-9397-08002B2CF9AE}" pid="4" name="KSOTemplateDocerSaveRecord">
    <vt:lpwstr>eyJoZGlkIjoiNDMwMWEyZDM0NTYzODdiYTEwNzU3YTRhMzRiMGQ1MmYiLCJ1c2VySWQiOiIzNzQzNTE3MTYifQ==</vt:lpwstr>
  </property>
</Properties>
</file>