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bookmarkEnd w:id="0"/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28CCAA81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</w:rPr>
        <w:t>奔牛人民医院可视喉镜采购项目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default" w:ascii="Times New Roman" w:hAnsi="Times New Roman" w:eastAsia="楷体" w:cs="Times New Roman"/>
          <w:sz w:val="32"/>
          <w:szCs w:val="32"/>
          <w:u w:val="single"/>
          <w:lang w:val="en-US" w:eastAsia="zh-CN"/>
        </w:rPr>
        <w:t>2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常州市新北区奔牛人民医院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11046689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22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3B45BB">
            <w:pPr>
              <w:pStyle w:val="2"/>
              <w:widowControl w:val="0"/>
              <w:ind w:left="0" w:leftChars="0"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本项目旨在采购一套高质量的可视喉镜，以满足医院临床诊疗工作的需求，进一步保障医疗安全和患者生命健康。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FB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1.整机由喉镜支架和显示器组成，体积小，重量轻；</w:t>
            </w:r>
          </w:p>
          <w:p w14:paraId="31AFC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2.配有和喉镜片弧度一致的可消毒使用专用导丝；</w:t>
            </w:r>
          </w:p>
          <w:p w14:paraId="34C32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3.喉镜片采用特种医用材质，表面光滑，无反光；</w:t>
            </w:r>
          </w:p>
          <w:p w14:paraId="6202E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4.显示器能上下0º～130º转动，左右0º～270º转动；</w:t>
            </w:r>
          </w:p>
          <w:p w14:paraId="6EB1B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5.喉镜片可插入镜片长度：成人型号≤115mm；</w:t>
            </w:r>
          </w:p>
          <w:p w14:paraId="04657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6.镜片角度：成人型号42度；</w:t>
            </w:r>
          </w:p>
          <w:p w14:paraId="0ACF1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7.视场角60º±15%；</w:t>
            </w:r>
          </w:p>
          <w:p w14:paraId="1A401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8.摄像头内置的全密封防水设计高功率LED光源，光照度≥150Lux；</w:t>
            </w:r>
          </w:p>
          <w:p w14:paraId="3E2CB6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9.液晶屏像素不低于720*480；</w:t>
            </w:r>
          </w:p>
          <w:p w14:paraId="09A28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10.显示器≤3英寸非触摸屏、分辨率≥7.8LP/mm；</w:t>
            </w:r>
          </w:p>
          <w:p w14:paraId="34532A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11.镜片手柄与显示组件采用一体式设计连接；</w:t>
            </w:r>
          </w:p>
          <w:p w14:paraId="079DA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12.具有特殊防雾功能；</w:t>
            </w:r>
          </w:p>
          <w:p w14:paraId="34A99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13.电压范围：100-240VAC,50-60HZ；</w:t>
            </w:r>
          </w:p>
          <w:p w14:paraId="0AD60E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14.充电器输入：220V，50Hz；</w:t>
            </w:r>
          </w:p>
          <w:p w14:paraId="20257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15.充电器输出：5V，1000mA；</w:t>
            </w:r>
          </w:p>
          <w:p w14:paraId="719549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16、充电时间：＜3小时、待机时间：＞2小时、充电次数：＞300次；</w:t>
            </w:r>
          </w:p>
          <w:p w14:paraId="0F56EA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17.内置可充电式锂电子聚合物电池；</w:t>
            </w:r>
          </w:p>
          <w:p w14:paraId="21274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.包装和运输：供应商须保证所提供产品包括厂家原装正品，符合国家有关规定。到货后，采购人与供应商共同配合有关部门对所有产品进行开箱检查，出现损坏、数量不全或产品不对等问题时，由供应商负责解决；</w:t>
            </w:r>
          </w:p>
          <w:p w14:paraId="61B57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.验收要求：提供设备应为全新、未使用过的原装合格正品,并且符合国家有关质量技术标准及相关法律、法规规定的要求；按采购文件配置要求对全部设备的型号、规格、数量等，以及文件（如装箱清单、质量检验证明书、使用说明书、软件介质等）进行验收；</w:t>
            </w:r>
          </w:p>
          <w:p w14:paraId="3DC5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20.售后服务：提供一年免费质保服务。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在合同签订后15个工作日内完成供货、安装和调试并交付使用。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区镇两级补助款项到账后，即2026上半年前付至合同价款70%，剩余30%在2026年底前结清。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6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日9：00前，送（寄）达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4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4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10DA05E5"/>
    <w:rsid w:val="19C74E8C"/>
    <w:rsid w:val="1E536607"/>
    <w:rsid w:val="21C6306A"/>
    <w:rsid w:val="3C212AB5"/>
    <w:rsid w:val="3D6C19FF"/>
    <w:rsid w:val="53263021"/>
    <w:rsid w:val="55004201"/>
    <w:rsid w:val="5A743876"/>
    <w:rsid w:val="6F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663</Words>
  <Characters>765</Characters>
  <Lines>0</Lines>
  <Paragraphs>0</Paragraphs>
  <TotalTime>47</TotalTime>
  <ScaleCrop>false</ScaleCrop>
  <LinksUpToDate>false</LinksUpToDate>
  <CharactersWithSpaces>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巧儿</cp:lastModifiedBy>
  <dcterms:modified xsi:type="dcterms:W3CDTF">2025-09-28T06:28:07Z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7B751A86EB13499D8C357F7C77F1D876_13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