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tabs>
          <w:tab w:val="left" w:pos="4830"/>
        </w:tabs>
        <w:ind w:left="660"/>
        <w:rPr>
          <w:rFonts w:ascii="楷体_GB2312" w:eastAsia="楷体_GB2312"/>
          <w:bCs/>
          <w:color w:val="000000" w:themeColor="text1"/>
          <w:sz w:val="30"/>
          <w14:textFill>
            <w14:solidFill>
              <w14:schemeClr w14:val="tx1"/>
            </w14:solidFill>
          </w14:textFill>
        </w:rPr>
      </w:pPr>
      <w:r>
        <w:rPr>
          <w:rFonts w:ascii="楷体_GB2312" w:eastAsia="楷体_GB2312"/>
          <w:bCs/>
          <w:color w:val="000000" w:themeColor="text1"/>
          <w:sz w:val="30"/>
          <w14:textFill>
            <w14:solidFill>
              <w14:schemeClr w14:val="tx1"/>
            </w14:solidFill>
          </w14:textFill>
        </w:rPr>
        <w:tab/>
      </w:r>
    </w:p>
    <w:p>
      <w:pPr>
        <w:tabs>
          <w:tab w:val="left" w:pos="4830"/>
        </w:tabs>
        <w:ind w:left="660"/>
        <w:rPr>
          <w:rFonts w:ascii="楷体_GB2312" w:eastAsia="楷体_GB2312"/>
          <w:bCs/>
          <w:color w:val="000000" w:themeColor="text1"/>
          <w:sz w:val="30"/>
          <w14:textFill>
            <w14:solidFill>
              <w14:schemeClr w14:val="tx1"/>
            </w14:solidFill>
          </w14:textFill>
        </w:rPr>
      </w:pPr>
    </w:p>
    <w:p>
      <w:pPr>
        <w:tabs>
          <w:tab w:val="left" w:pos="4830"/>
        </w:tabs>
        <w:ind w:left="660"/>
        <w:rPr>
          <w:rFonts w:ascii="楷体_GB2312" w:eastAsia="楷体_GB2312"/>
          <w:bCs/>
          <w:color w:val="000000" w:themeColor="text1"/>
          <w:sz w:val="30"/>
          <w14:textFill>
            <w14:solidFill>
              <w14:schemeClr w14:val="tx1"/>
            </w14:solidFill>
          </w14:textFill>
        </w:rPr>
      </w:pPr>
    </w:p>
    <w:p>
      <w:pPr>
        <w:tabs>
          <w:tab w:val="left" w:pos="4830"/>
        </w:tabs>
        <w:ind w:left="660"/>
        <w:rPr>
          <w:rFonts w:ascii="楷体_GB2312" w:eastAsia="楷体_GB2312"/>
          <w:bCs/>
          <w:color w:val="000000" w:themeColor="text1"/>
          <w:sz w:val="30"/>
          <w14:textFill>
            <w14:solidFill>
              <w14:schemeClr w14:val="tx1"/>
            </w14:solidFill>
          </w14:textFill>
        </w:rPr>
      </w:pPr>
    </w:p>
    <w:p>
      <w:pPr>
        <w:snapToGrid w:val="0"/>
        <w:spacing w:line="360" w:lineRule="auto"/>
        <w:jc w:val="center"/>
        <w:rPr>
          <w:rFonts w:ascii="黑体" w:hAnsi="黑体" w:eastAsia="黑体" w:cs="黑体"/>
          <w:b/>
          <w:spacing w:val="170"/>
          <w:kern w:val="0"/>
          <w:sz w:val="84"/>
          <w:szCs w:val="84"/>
        </w:rPr>
      </w:pPr>
      <w:r>
        <w:rPr>
          <w:rFonts w:hint="eastAsia" w:ascii="黑体" w:hAnsi="黑体" w:eastAsia="黑体" w:cs="黑体"/>
          <w:b/>
          <w:spacing w:val="170"/>
          <w:kern w:val="0"/>
          <w:sz w:val="84"/>
          <w:szCs w:val="84"/>
        </w:rPr>
        <w:t>比选</w:t>
      </w:r>
      <w:r>
        <w:rPr>
          <w:rFonts w:hint="eastAsia" w:ascii="黑体" w:hAnsi="黑体" w:eastAsia="黑体"/>
          <w:b/>
          <w:spacing w:val="170"/>
          <w:sz w:val="84"/>
          <w:szCs w:val="84"/>
        </w:rPr>
        <w:t>文件</w:t>
      </w:r>
    </w:p>
    <w:p>
      <w:pPr>
        <w:rPr>
          <w:rFonts w:ascii="华文中宋" w:hAnsi="华文中宋" w:eastAsia="华文中宋"/>
          <w:bCs/>
          <w:color w:val="000000" w:themeColor="text1"/>
          <w:sz w:val="30"/>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华文中宋" w:hAnsi="华文中宋" w:eastAsia="华文中宋"/>
          <w:bCs/>
          <w:color w:val="000000" w:themeColor="text1"/>
          <w:sz w:val="30"/>
          <w14:textFill>
            <w14:solidFill>
              <w14:schemeClr w14:val="tx1"/>
            </w14:solidFill>
          </w14:textFill>
        </w:rPr>
      </w:pPr>
    </w:p>
    <w:p>
      <w:pPr>
        <w:jc w:val="left"/>
        <w:rPr>
          <w:rFonts w:ascii="华文中宋" w:hAnsi="华文中宋" w:eastAsia="华文中宋"/>
          <w:bCs/>
          <w:color w:val="000000" w:themeColor="text1"/>
          <w:sz w:val="30"/>
          <w:szCs w:val="30"/>
          <w14:textFill>
            <w14:solidFill>
              <w14:schemeClr w14:val="tx1"/>
            </w14:solidFill>
          </w14:textFill>
        </w:rPr>
      </w:pPr>
    </w:p>
    <w:p>
      <w:pPr>
        <w:spacing w:line="360" w:lineRule="auto"/>
        <w:ind w:left="0" w:leftChars="0" w:firstLine="1677" w:firstLineChars="559"/>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采购项目编号：CZZCBX2022013</w:t>
      </w:r>
    </w:p>
    <w:p>
      <w:pPr>
        <w:spacing w:line="360" w:lineRule="auto"/>
        <w:ind w:left="0" w:leftChars="0" w:firstLine="1677" w:firstLineChars="559"/>
        <w:rPr>
          <w:rFonts w:hint="eastAsia" w:ascii="黑体" w:hAnsi="华文中宋" w:eastAsia="黑体"/>
          <w:bCs/>
          <w:color w:val="000000" w:themeColor="text1"/>
          <w:sz w:val="30"/>
          <w:szCs w:val="30"/>
          <w:lang w:val="en-US" w:eastAsia="zh-CN"/>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采购项目名称：常州市新北区春江街道</w:t>
      </w:r>
      <w:r>
        <w:rPr>
          <w:rFonts w:hint="eastAsia" w:ascii="黑体" w:hAnsi="华文中宋" w:eastAsia="黑体"/>
          <w:bCs/>
          <w:color w:val="000000" w:themeColor="text1"/>
          <w:sz w:val="30"/>
          <w:szCs w:val="30"/>
          <w:lang w:eastAsia="zh-CN"/>
          <w14:textFill>
            <w14:solidFill>
              <w14:schemeClr w14:val="tx1"/>
            </w14:solidFill>
          </w14:textFill>
        </w:rPr>
        <w:t>百馨苑（南区）</w:t>
      </w:r>
    </w:p>
    <w:p>
      <w:pPr>
        <w:spacing w:line="360" w:lineRule="auto"/>
        <w:ind w:left="0" w:leftChars="0" w:firstLine="3780" w:firstLineChars="1260"/>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物业服务项目</w:t>
      </w:r>
    </w:p>
    <w:p>
      <w:pPr>
        <w:spacing w:line="360" w:lineRule="auto"/>
        <w:ind w:left="0" w:leftChars="0" w:firstLine="1677" w:firstLineChars="559"/>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   购   人：常州市新北区春江街道办事处</w:t>
      </w:r>
    </w:p>
    <w:p>
      <w:pPr>
        <w:spacing w:line="360" w:lineRule="auto"/>
        <w:ind w:left="0" w:leftChars="0" w:firstLine="1677" w:firstLineChars="559"/>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二○二二年十一月</w:t>
      </w:r>
      <w:bookmarkStart w:id="0" w:name="报价方须知前附表"/>
      <w:bookmarkEnd w:id="0"/>
      <w:bookmarkStart w:id="1" w:name="_Toc55147045"/>
    </w:p>
    <w:sdt>
      <w:sdtPr>
        <w:rPr>
          <w:rFonts w:ascii="黑体" w:hAnsi="黑体" w:eastAsia="黑体"/>
          <w:b/>
          <w:bCs/>
          <w:sz w:val="44"/>
          <w:szCs w:val="44"/>
        </w:rPr>
        <w:id w:val="-1880626030"/>
        <w:docPartObj>
          <w:docPartGallery w:val="Table of Contents"/>
          <w:docPartUnique/>
        </w:docPartObj>
      </w:sdtPr>
      <w:sdtEndPr>
        <w:rPr>
          <w:rFonts w:eastAsia="黑体" w:asciiTheme="minorHAnsi" w:hAnsiTheme="minorHAnsi"/>
          <w:b w:val="0"/>
          <w:bCs w:val="0"/>
          <w:sz w:val="30"/>
          <w:szCs w:val="30"/>
        </w:rPr>
      </w:sdtEndPr>
      <w:sdtContent>
        <w:p>
          <w:pPr>
            <w:spacing w:line="360" w:lineRule="auto"/>
            <w:jc w:val="center"/>
            <w:rPr>
              <w:rFonts w:ascii="黑体" w:hAnsi="黑体" w:eastAsia="黑体"/>
              <w:bCs/>
              <w:sz w:val="48"/>
              <w:szCs w:val="48"/>
            </w:rPr>
          </w:pPr>
          <w:r>
            <w:rPr>
              <w:rFonts w:ascii="黑体" w:hAnsi="黑体" w:eastAsia="黑体"/>
              <w:bCs/>
              <w:sz w:val="48"/>
              <w:szCs w:val="48"/>
            </w:rPr>
            <w:t>目</w:t>
          </w:r>
          <w:r>
            <w:rPr>
              <w:rFonts w:hint="eastAsia" w:ascii="黑体" w:hAnsi="黑体" w:eastAsia="黑体"/>
              <w:bCs/>
              <w:sz w:val="48"/>
              <w:szCs w:val="48"/>
            </w:rPr>
            <w:t xml:space="preserve"> </w:t>
          </w:r>
          <w:r>
            <w:rPr>
              <w:rFonts w:ascii="黑体" w:hAnsi="黑体" w:eastAsia="黑体"/>
              <w:bCs/>
              <w:sz w:val="48"/>
              <w:szCs w:val="48"/>
            </w:rPr>
            <w:t>录</w:t>
          </w:r>
        </w:p>
        <w:p>
          <w:pPr>
            <w:rPr>
              <w:lang w:val="zh-CN"/>
            </w:rPr>
          </w:pPr>
        </w:p>
        <w:p>
          <w:pPr>
            <w:pStyle w:val="22"/>
            <w:rPr>
              <w:rFonts w:eastAsiaTheme="minorEastAsia"/>
              <w:sz w:val="21"/>
              <w:szCs w:val="22"/>
            </w:rPr>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"_Toc70403685" </w:instrText>
          </w:r>
          <w:r>
            <w:fldChar w:fldCharType="separate"/>
          </w:r>
          <w:r>
            <w:rPr>
              <w:rStyle w:val="39"/>
              <w:rFonts w:hint="eastAsia"/>
            </w:rPr>
            <w:t>一．比选邀请函</w:t>
          </w:r>
          <w:r>
            <w:tab/>
          </w:r>
          <w:r>
            <w:fldChar w:fldCharType="begin"/>
          </w:r>
          <w:r>
            <w:instrText xml:space="preserve"> PAGEREF _Toc70403685 \h </w:instrText>
          </w:r>
          <w:r>
            <w:fldChar w:fldCharType="separate"/>
          </w:r>
          <w:r>
            <w:t>2</w:t>
          </w:r>
          <w:r>
            <w:fldChar w:fldCharType="end"/>
          </w:r>
          <w:r>
            <w:fldChar w:fldCharType="end"/>
          </w:r>
        </w:p>
        <w:p>
          <w:pPr>
            <w:pStyle w:val="22"/>
            <w:rPr>
              <w:rFonts w:eastAsiaTheme="minorEastAsia"/>
              <w:sz w:val="21"/>
              <w:szCs w:val="22"/>
            </w:rPr>
          </w:pPr>
          <w:r>
            <w:fldChar w:fldCharType="begin"/>
          </w:r>
          <w:r>
            <w:instrText xml:space="preserve"> HYPERLINK \l "_Toc70403686" </w:instrText>
          </w:r>
          <w:r>
            <w:fldChar w:fldCharType="separate"/>
          </w:r>
          <w:r>
            <w:rPr>
              <w:rStyle w:val="39"/>
              <w:rFonts w:hint="eastAsia"/>
            </w:rPr>
            <w:t>二．比选须知</w:t>
          </w:r>
          <w:r>
            <w:tab/>
          </w:r>
          <w:r>
            <w:fldChar w:fldCharType="begin"/>
          </w:r>
          <w:r>
            <w:instrText xml:space="preserve"> PAGEREF _Toc70403686 \h </w:instrText>
          </w:r>
          <w:r>
            <w:fldChar w:fldCharType="separate"/>
          </w:r>
          <w:r>
            <w:t>5</w:t>
          </w:r>
          <w:r>
            <w:fldChar w:fldCharType="end"/>
          </w:r>
          <w:r>
            <w:fldChar w:fldCharType="end"/>
          </w:r>
        </w:p>
        <w:p>
          <w:pPr>
            <w:pStyle w:val="22"/>
            <w:rPr>
              <w:rFonts w:eastAsiaTheme="minorEastAsia"/>
              <w:sz w:val="21"/>
              <w:szCs w:val="22"/>
            </w:rPr>
          </w:pPr>
          <w:r>
            <w:fldChar w:fldCharType="begin"/>
          </w:r>
          <w:r>
            <w:instrText xml:space="preserve"> HYPERLINK \l "_Toc70403687" </w:instrText>
          </w:r>
          <w:r>
            <w:fldChar w:fldCharType="separate"/>
          </w:r>
          <w:r>
            <w:rPr>
              <w:rStyle w:val="39"/>
              <w:rFonts w:hint="eastAsia"/>
            </w:rPr>
            <w:t>三．项目技术要求和有关说明</w:t>
          </w:r>
          <w:r>
            <w:tab/>
          </w:r>
          <w:r>
            <w:fldChar w:fldCharType="begin"/>
          </w:r>
          <w:r>
            <w:instrText xml:space="preserve"> PAGEREF _Toc70403687 \h </w:instrText>
          </w:r>
          <w:r>
            <w:fldChar w:fldCharType="separate"/>
          </w:r>
          <w:r>
            <w:t>13</w:t>
          </w:r>
          <w:r>
            <w:fldChar w:fldCharType="end"/>
          </w:r>
          <w:r>
            <w:fldChar w:fldCharType="end"/>
          </w:r>
        </w:p>
        <w:p>
          <w:pPr>
            <w:pStyle w:val="22"/>
            <w:rPr>
              <w:sz w:val="21"/>
              <w:szCs w:val="22"/>
            </w:rPr>
          </w:pPr>
          <w:r>
            <w:fldChar w:fldCharType="begin"/>
          </w:r>
          <w:r>
            <w:instrText xml:space="preserve"> HYPERLINK \l "_Toc70403688" </w:instrText>
          </w:r>
          <w:r>
            <w:fldChar w:fldCharType="separate"/>
          </w:r>
          <w:r>
            <w:rPr>
              <w:rStyle w:val="39"/>
              <w:rFonts w:hint="eastAsia"/>
            </w:rPr>
            <w:t>四．合同条款及格式</w:t>
          </w:r>
          <w:r>
            <w:tab/>
          </w:r>
          <w:r>
            <w:rPr>
              <w:rFonts w:hint="eastAsia"/>
            </w:rPr>
            <w:t>3</w:t>
          </w:r>
          <w:r>
            <w:rPr>
              <w:rFonts w:hint="eastAsia"/>
            </w:rPr>
            <w:fldChar w:fldCharType="end"/>
          </w:r>
          <w:r>
            <w:rPr>
              <w:rFonts w:hint="eastAsia"/>
            </w:rPr>
            <w:t>5</w:t>
          </w:r>
        </w:p>
        <w:p>
          <w:pPr>
            <w:pStyle w:val="22"/>
            <w:rPr>
              <w:rFonts w:eastAsiaTheme="minorEastAsia"/>
              <w:sz w:val="21"/>
              <w:szCs w:val="22"/>
            </w:rPr>
          </w:pPr>
          <w:r>
            <w:fldChar w:fldCharType="begin"/>
          </w:r>
          <w:r>
            <w:instrText xml:space="preserve"> HYPERLINK \l "_Toc70403689" </w:instrText>
          </w:r>
          <w:r>
            <w:fldChar w:fldCharType="separate"/>
          </w:r>
          <w:r>
            <w:rPr>
              <w:rStyle w:val="39"/>
              <w:rFonts w:hint="eastAsia"/>
            </w:rPr>
            <w:t>五</w:t>
          </w:r>
          <w:r>
            <w:rPr>
              <w:rStyle w:val="39"/>
            </w:rPr>
            <w:t>.</w:t>
          </w:r>
          <w:r>
            <w:rPr>
              <w:rStyle w:val="39"/>
              <w:rFonts w:hint="eastAsia"/>
              <w:lang w:val="en-US" w:eastAsia="zh-CN"/>
            </w:rPr>
            <w:t xml:space="preserve"> </w:t>
          </w:r>
          <w:r>
            <w:rPr>
              <w:rStyle w:val="39"/>
              <w:rFonts w:hint="eastAsia"/>
            </w:rPr>
            <w:t>评分标准</w:t>
          </w:r>
          <w:r>
            <w:tab/>
          </w:r>
          <w:r>
            <w:fldChar w:fldCharType="begin"/>
          </w:r>
          <w:r>
            <w:instrText xml:space="preserve"> PAGEREF _Toc70403689 \h </w:instrText>
          </w:r>
          <w:r>
            <w:fldChar w:fldCharType="separate"/>
          </w:r>
          <w:r>
            <w:t>47</w:t>
          </w:r>
          <w:r>
            <w:fldChar w:fldCharType="end"/>
          </w:r>
          <w:r>
            <w:fldChar w:fldCharType="end"/>
          </w:r>
        </w:p>
        <w:p>
          <w:pPr>
            <w:pStyle w:val="22"/>
            <w:rPr>
              <w:rFonts w:eastAsiaTheme="minorEastAsia"/>
              <w:sz w:val="21"/>
              <w:szCs w:val="22"/>
            </w:rPr>
          </w:pPr>
          <w:r>
            <w:fldChar w:fldCharType="begin"/>
          </w:r>
          <w:r>
            <w:instrText xml:space="preserve"> HYPERLINK \l "_Toc70403690" </w:instrText>
          </w:r>
          <w:r>
            <w:fldChar w:fldCharType="separate"/>
          </w:r>
          <w:r>
            <w:rPr>
              <w:rStyle w:val="39"/>
              <w:rFonts w:hint="eastAsia"/>
            </w:rPr>
            <w:t>六．响应文件格式</w:t>
          </w:r>
          <w:r>
            <w:tab/>
          </w:r>
          <w:r>
            <w:fldChar w:fldCharType="begin"/>
          </w:r>
          <w:r>
            <w:instrText xml:space="preserve"> PAGEREF _Toc70403690 \h </w:instrText>
          </w:r>
          <w:r>
            <w:fldChar w:fldCharType="separate"/>
          </w:r>
          <w:r>
            <w:t>50</w:t>
          </w:r>
          <w:r>
            <w:fldChar w:fldCharType="end"/>
          </w:r>
          <w:r>
            <w:fldChar w:fldCharType="end"/>
          </w:r>
        </w:p>
        <w:p>
          <w:pPr>
            <w:pStyle w:val="22"/>
            <w:rPr>
              <w:rFonts w:eastAsiaTheme="minorEastAsia"/>
              <w:sz w:val="21"/>
              <w:szCs w:val="22"/>
            </w:rPr>
          </w:pPr>
          <w:r>
            <w:fldChar w:fldCharType="begin"/>
          </w:r>
          <w:r>
            <w:instrText xml:space="preserve"> HYPERLINK \l "_Toc70403691" </w:instrText>
          </w:r>
          <w:r>
            <w:fldChar w:fldCharType="separate"/>
          </w:r>
          <w:r>
            <w:rPr>
              <w:rStyle w:val="39"/>
              <w:rFonts w:hint="eastAsia"/>
            </w:rPr>
            <w:t>友</w:t>
          </w:r>
          <w:r>
            <w:rPr>
              <w:rStyle w:val="39"/>
            </w:rPr>
            <w:t xml:space="preserve"> </w:t>
          </w:r>
          <w:r>
            <w:rPr>
              <w:rStyle w:val="39"/>
              <w:rFonts w:hint="eastAsia"/>
            </w:rPr>
            <w:t>情</w:t>
          </w:r>
          <w:r>
            <w:rPr>
              <w:rStyle w:val="39"/>
            </w:rPr>
            <w:t xml:space="preserve"> </w:t>
          </w:r>
          <w:r>
            <w:rPr>
              <w:rStyle w:val="39"/>
              <w:rFonts w:hint="eastAsia"/>
            </w:rPr>
            <w:t>提</w:t>
          </w:r>
          <w:r>
            <w:rPr>
              <w:rStyle w:val="39"/>
            </w:rPr>
            <w:t xml:space="preserve"> </w:t>
          </w:r>
          <w:r>
            <w:rPr>
              <w:rStyle w:val="39"/>
              <w:rFonts w:hint="eastAsia"/>
            </w:rPr>
            <w:t>醒</w:t>
          </w:r>
          <w:r>
            <w:tab/>
          </w:r>
          <w:r>
            <w:fldChar w:fldCharType="begin"/>
          </w:r>
          <w:r>
            <w:instrText xml:space="preserve"> PAGEREF _Toc70403691 \h </w:instrText>
          </w:r>
          <w:r>
            <w:fldChar w:fldCharType="separate"/>
          </w:r>
          <w:r>
            <w:t>72</w:t>
          </w:r>
          <w:r>
            <w:fldChar w:fldCharType="end"/>
          </w:r>
          <w:r>
            <w:fldChar w:fldCharType="end"/>
          </w:r>
        </w:p>
        <w:p>
          <w:pPr>
            <w:spacing w:before="120" w:after="120" w:line="360" w:lineRule="auto"/>
            <w:rPr>
              <w:rFonts w:eastAsia="黑体"/>
              <w:sz w:val="30"/>
              <w:szCs w:val="30"/>
            </w:rPr>
          </w:pPr>
          <w:r>
            <w:rPr>
              <w:rFonts w:eastAsia="黑体" w:cstheme="minorHAnsi"/>
              <w:sz w:val="32"/>
              <w:szCs w:val="32"/>
            </w:rPr>
            <w:fldChar w:fldCharType="end"/>
          </w:r>
        </w:p>
      </w:sdtContent>
    </w:sdt>
    <w:p/>
    <w:p/>
    <w:p/>
    <w:p/>
    <w:p/>
    <w:p/>
    <w:p/>
    <w:p/>
    <w:p/>
    <w:p/>
    <w:p/>
    <w:p>
      <w:pPr>
        <w:tabs>
          <w:tab w:val="left" w:pos="2792"/>
        </w:tabs>
        <w:jc w:val="left"/>
        <w:sectPr>
          <w:headerReference r:id="rId5" w:type="first"/>
          <w:headerReference r:id="rId3" w:type="default"/>
          <w:footerReference r:id="rId6" w:type="default"/>
          <w:headerReference r:id="rId4" w:type="even"/>
          <w:footerReference r:id="rId7" w:type="even"/>
          <w:pgSz w:w="11906" w:h="16838"/>
          <w:pgMar w:top="1107" w:right="1133" w:bottom="1276" w:left="1134" w:header="426" w:footer="340" w:gutter="0"/>
          <w:pgNumType w:start="0"/>
          <w:cols w:space="425" w:num="1"/>
          <w:titlePg/>
          <w:docGrid w:type="linesAndChars" w:linePitch="312" w:charSpace="0"/>
        </w:sectPr>
      </w:pPr>
    </w:p>
    <w:p>
      <w:pPr>
        <w:pStyle w:val="122"/>
      </w:pPr>
      <w:bookmarkStart w:id="2" w:name="_Toc70403685"/>
      <w:r>
        <w:rPr>
          <w:rFonts w:hint="eastAsia"/>
        </w:rPr>
        <w:t>一．比选邀请函</w:t>
      </w:r>
      <w:bookmarkEnd w:id="1"/>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rPr>
        <w:t>常州市新北区春江街道</w:t>
      </w:r>
      <w:r>
        <w:rPr>
          <w:rFonts w:hint="eastAsia" w:ascii="宋体" w:hAnsi="宋体" w:eastAsia="宋体"/>
          <w:sz w:val="24"/>
          <w:szCs w:val="24"/>
          <w:u w:val="single"/>
          <w:lang w:eastAsia="zh-CN"/>
        </w:rPr>
        <w:t>百馨苑（南区）</w:t>
      </w:r>
      <w:r>
        <w:rPr>
          <w:rFonts w:hint="eastAsia" w:ascii="宋体" w:hAnsi="宋体" w:eastAsia="宋体"/>
          <w:sz w:val="24"/>
          <w:szCs w:val="24"/>
          <w:u w:val="single"/>
        </w:rPr>
        <w:t>物业服务</w:t>
      </w:r>
      <w:r>
        <w:rPr>
          <w:rFonts w:hint="eastAsia" w:ascii="宋体" w:hAnsi="宋体" w:eastAsia="宋体"/>
          <w:sz w:val="24"/>
          <w:szCs w:val="24"/>
        </w:rPr>
        <w:t>采购项目的潜在供应商应在</w:t>
      </w:r>
      <w:r>
        <w:rPr>
          <w:rFonts w:hint="eastAsia" w:ascii="宋体" w:hAnsi="宋体" w:eastAsia="宋体"/>
          <w:sz w:val="24"/>
          <w:szCs w:val="24"/>
          <w:u w:val="single"/>
        </w:rPr>
        <w:t>“政采云”市场资源交易服务中心（平台）（http://www.czzczb.com/）</w:t>
      </w:r>
      <w:r>
        <w:rPr>
          <w:rFonts w:hint="eastAsia" w:ascii="宋体" w:hAnsi="宋体" w:eastAsia="宋体"/>
          <w:sz w:val="24"/>
          <w:szCs w:val="24"/>
        </w:rPr>
        <w:t>获取比选文件，并于</w:t>
      </w:r>
      <w:r>
        <w:rPr>
          <w:rFonts w:hint="eastAsia" w:ascii="宋体" w:hAnsi="宋体" w:eastAsia="宋体"/>
          <w:bCs/>
          <w:sz w:val="24"/>
          <w:szCs w:val="24"/>
          <w:u w:val="single"/>
        </w:rPr>
        <w:t>2022年</w:t>
      </w:r>
      <w:r>
        <w:rPr>
          <w:rFonts w:hint="eastAsia" w:ascii="宋体" w:hAnsi="宋体" w:eastAsia="宋体"/>
          <w:bCs/>
          <w:sz w:val="24"/>
          <w:szCs w:val="24"/>
          <w:u w:val="single"/>
          <w:lang w:eastAsia="zh-CN"/>
        </w:rPr>
        <w:t>11月25日</w:t>
      </w:r>
      <w:bookmarkStart w:id="89" w:name="_GoBack"/>
      <w:bookmarkEnd w:id="89"/>
      <w:r>
        <w:rPr>
          <w:rFonts w:hint="eastAsia" w:ascii="宋体" w:hAnsi="宋体" w:eastAsia="宋体"/>
          <w:bCs/>
          <w:sz w:val="24"/>
          <w:szCs w:val="24"/>
          <w:u w:val="single"/>
        </w:rPr>
        <w:t>14点30分</w:t>
      </w:r>
      <w:r>
        <w:rPr>
          <w:rFonts w:hint="eastAsia" w:ascii="宋体" w:hAnsi="宋体" w:eastAsia="宋体"/>
          <w:bCs/>
          <w:sz w:val="24"/>
          <w:szCs w:val="24"/>
        </w:rPr>
        <w:t>（北京时间）前递交响应文件</w:t>
      </w:r>
      <w:r>
        <w:rPr>
          <w:rFonts w:hint="eastAsia" w:ascii="宋体" w:hAnsi="宋体" w:eastAsia="宋体"/>
          <w:sz w:val="24"/>
          <w:szCs w:val="24"/>
        </w:rPr>
        <w:t>。</w:t>
      </w:r>
    </w:p>
    <w:p>
      <w:pPr>
        <w:spacing w:line="360" w:lineRule="auto"/>
        <w:ind w:firstLine="482" w:firstLineChars="200"/>
        <w:rPr>
          <w:b/>
          <w:bCs/>
          <w:sz w:val="24"/>
          <w:szCs w:val="24"/>
        </w:rPr>
      </w:pPr>
      <w:bookmarkStart w:id="3" w:name="_Toc35393790"/>
      <w:bookmarkStart w:id="4" w:name="_Toc35393621"/>
      <w:bookmarkStart w:id="5" w:name="_Toc28359002"/>
      <w:bookmarkStart w:id="6" w:name="_Toc28359079"/>
      <w:bookmarkStart w:id="7" w:name="_Hlk24379207"/>
      <w:r>
        <w:rPr>
          <w:rFonts w:hint="eastAsia"/>
          <w:b/>
          <w:bCs/>
          <w:sz w:val="24"/>
          <w:szCs w:val="24"/>
        </w:rPr>
        <w:t>一、项目基本情况</w:t>
      </w:r>
      <w:bookmarkEnd w:id="3"/>
      <w:bookmarkEnd w:id="4"/>
      <w:bookmarkEnd w:id="5"/>
      <w:bookmarkEnd w:id="6"/>
    </w:p>
    <w:p>
      <w:pPr>
        <w:snapToGrid w:val="0"/>
        <w:spacing w:line="360" w:lineRule="auto"/>
        <w:ind w:firstLine="480" w:firstLineChars="200"/>
        <w:rPr>
          <w:rFonts w:asciiTheme="minorEastAsia" w:hAnsiTheme="minorEastAsia"/>
          <w:color w:val="FF0000"/>
          <w:sz w:val="24"/>
          <w:szCs w:val="24"/>
        </w:rPr>
      </w:pPr>
      <w:r>
        <w:rPr>
          <w:rFonts w:hint="eastAsia" w:asciiTheme="minorEastAsia" w:hAnsiTheme="minorEastAsia"/>
          <w:sz w:val="24"/>
          <w:szCs w:val="24"/>
        </w:rPr>
        <w:t>项目编号：CZZCBX2022013</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项目名称：常州市新北区春江街道</w:t>
      </w:r>
      <w:r>
        <w:rPr>
          <w:rFonts w:hint="eastAsia" w:asciiTheme="minorEastAsia" w:hAnsiTheme="minorEastAsia"/>
          <w:sz w:val="24"/>
          <w:szCs w:val="24"/>
          <w:lang w:eastAsia="zh-CN"/>
        </w:rPr>
        <w:t>百馨苑（南区）</w:t>
      </w:r>
      <w:r>
        <w:rPr>
          <w:rFonts w:hint="eastAsia" w:asciiTheme="minorEastAsia" w:hAnsiTheme="minorEastAsia"/>
          <w:sz w:val="24"/>
          <w:szCs w:val="24"/>
        </w:rPr>
        <w:t>物业服务项目</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采购方式：比选</w:t>
      </w:r>
    </w:p>
    <w:bookmarkEnd w:id="7"/>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预算金额：142万/年</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最高限价：142万/年</w:t>
      </w:r>
    </w:p>
    <w:p>
      <w:pPr>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采购需求：</w:t>
      </w:r>
      <w:r>
        <w:rPr>
          <w:rFonts w:hint="eastAsia" w:asciiTheme="minorEastAsia" w:hAnsiTheme="minorEastAsia"/>
          <w:sz w:val="24"/>
          <w:szCs w:val="24"/>
          <w:highlight w:val="yellow"/>
          <w:lang w:eastAsia="zh-CN"/>
        </w:rPr>
        <w:t>百馨苑（南区）</w:t>
      </w:r>
      <w:r>
        <w:rPr>
          <w:rFonts w:hint="eastAsia" w:asciiTheme="minorEastAsia" w:hAnsiTheme="minorEastAsia"/>
          <w:sz w:val="24"/>
          <w:szCs w:val="24"/>
          <w:highlight w:val="yellow"/>
        </w:rPr>
        <w:t>54幢住宅，总建筑面积为242000㎡，2个出入口。本项目物业管理服务内容包括但不限于基础管理服务、公共秩序维护服务、清洁卫生服务等比选文件所要求全部内容，详见项目技术要求和有关说明。</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合同履行期限：</w:t>
      </w:r>
      <w:r>
        <w:rPr>
          <w:rFonts w:hint="eastAsia" w:asciiTheme="minorEastAsia" w:hAnsiTheme="minorEastAsia"/>
          <w:color w:val="FF0000"/>
          <w:sz w:val="24"/>
          <w:szCs w:val="24"/>
        </w:rPr>
        <w:t>叁年，合同一年一签。合同签订后的前三个月为试用期，试用期期间经采购人考核合格的，合同继续履行。上年度考核合格的，续签下一年合同。</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不接受</w:t>
      </w:r>
      <w:r>
        <w:rPr>
          <w:rFonts w:asciiTheme="minorEastAsia" w:hAnsiTheme="minorEastAsia"/>
          <w:sz w:val="24"/>
          <w:szCs w:val="24"/>
          <w:u w:val="single"/>
        </w:rPr>
        <w:t xml:space="preserve">   </w:t>
      </w:r>
      <w:r>
        <w:rPr>
          <w:rFonts w:hint="eastAsia" w:asciiTheme="minorEastAsia" w:hAnsiTheme="minorEastAsia"/>
          <w:sz w:val="24"/>
          <w:szCs w:val="24"/>
        </w:rPr>
        <w:t>联合体报价。</w:t>
      </w:r>
    </w:p>
    <w:p>
      <w:pPr>
        <w:spacing w:line="360" w:lineRule="auto"/>
        <w:ind w:firstLine="482" w:firstLineChars="200"/>
        <w:rPr>
          <w:b/>
          <w:bCs/>
          <w:sz w:val="24"/>
          <w:szCs w:val="24"/>
        </w:rPr>
      </w:pPr>
      <w:bookmarkStart w:id="8" w:name="_Toc35393622"/>
      <w:bookmarkStart w:id="9" w:name="_Toc28359080"/>
      <w:bookmarkStart w:id="10" w:name="_Toc35393791"/>
      <w:bookmarkStart w:id="11" w:name="_Toc28359003"/>
      <w:r>
        <w:rPr>
          <w:rFonts w:hint="eastAsia"/>
          <w:b/>
          <w:bCs/>
          <w:sz w:val="24"/>
          <w:szCs w:val="24"/>
        </w:rPr>
        <w:t>二、申请人的资格要求</w:t>
      </w:r>
      <w:bookmarkEnd w:id="8"/>
      <w:bookmarkEnd w:id="9"/>
      <w:bookmarkEnd w:id="10"/>
      <w:bookmarkEnd w:id="11"/>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1.满足《中华人民共和国政府采购法》第二十二条规定；</w:t>
      </w:r>
    </w:p>
    <w:p>
      <w:pPr>
        <w:snapToGrid w:val="0"/>
        <w:spacing w:line="360" w:lineRule="auto"/>
        <w:ind w:firstLine="480" w:firstLineChars="200"/>
        <w:rPr>
          <w:rFonts w:asciiTheme="minorEastAsia" w:hAnsiTheme="minorEastAsia"/>
          <w:sz w:val="24"/>
          <w:szCs w:val="24"/>
        </w:rPr>
      </w:pPr>
      <w:bookmarkStart w:id="12" w:name="_Toc28359081"/>
      <w:bookmarkStart w:id="13" w:name="_Toc28359004"/>
      <w:r>
        <w:rPr>
          <w:rFonts w:hint="eastAsia" w:asciiTheme="minorEastAsia" w:hAnsiTheme="minorEastAsia"/>
          <w:sz w:val="24"/>
          <w:szCs w:val="24"/>
        </w:rPr>
        <w:t>2.落实政府采购政策需满足的资格要求：无；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3.本项目的特定资格要求：</w:t>
      </w:r>
      <w:bookmarkStart w:id="14" w:name="_Toc35393623"/>
      <w:bookmarkStart w:id="15" w:name="_Toc35393792"/>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（1）未被“信用中国”网站（www.creditchina.gov.cn）或“中国政府采购网”网站（www.ccgp.gov.cn）列入失信被执行人、重大税收违法案件当事人名单、政府采购严重失信行为记录名单；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（3）采购人的其他特定资格要求：供应商须为2021-2022年度常州市行政事业单位物业及相关服务定点采购项目（综合物业服务）入围供应商。</w:t>
      </w:r>
    </w:p>
    <w:p>
      <w:pPr>
        <w:spacing w:line="360" w:lineRule="auto"/>
        <w:ind w:firstLine="482" w:firstLineChars="200"/>
        <w:rPr>
          <w:b/>
          <w:bCs/>
          <w:sz w:val="24"/>
          <w:szCs w:val="24"/>
        </w:rPr>
      </w:pPr>
      <w:r>
        <w:rPr>
          <w:rFonts w:hint="eastAsia"/>
          <w:b/>
          <w:bCs/>
          <w:sz w:val="24"/>
          <w:szCs w:val="24"/>
        </w:rPr>
        <w:t>三、获取比选文件</w:t>
      </w:r>
      <w:bookmarkEnd w:id="12"/>
      <w:bookmarkEnd w:id="13"/>
      <w:bookmarkEnd w:id="14"/>
      <w:bookmarkEnd w:id="15"/>
    </w:p>
    <w:p>
      <w:pPr>
        <w:spacing w:line="360" w:lineRule="auto"/>
        <w:ind w:firstLine="480" w:firstLineChars="200"/>
        <w:rPr>
          <w:rFonts w:ascii="宋体" w:hAnsi="宋体" w:eastAsia="宋体"/>
          <w:bCs/>
          <w:sz w:val="24"/>
          <w:szCs w:val="24"/>
        </w:rPr>
      </w:pPr>
      <w:bookmarkStart w:id="16" w:name="_Toc28359005"/>
      <w:bookmarkStart w:id="17" w:name="_Toc28359082"/>
      <w:bookmarkStart w:id="18" w:name="_Toc35393793"/>
      <w:bookmarkStart w:id="19" w:name="_Toc35393624"/>
      <w:r>
        <w:rPr>
          <w:rFonts w:hint="eastAsia" w:ascii="宋体" w:hAnsi="宋体" w:eastAsia="宋体"/>
          <w:bCs/>
          <w:sz w:val="24"/>
          <w:szCs w:val="24"/>
        </w:rPr>
        <w:t>1．时间：2022年</w:t>
      </w:r>
      <w:r>
        <w:rPr>
          <w:rFonts w:hint="eastAsia" w:ascii="宋体" w:hAnsi="宋体" w:eastAsia="宋体"/>
          <w:bCs/>
          <w:sz w:val="24"/>
          <w:szCs w:val="24"/>
          <w:lang w:val="en-US" w:eastAsia="zh-CN"/>
        </w:rPr>
        <w:t>11</w:t>
      </w:r>
      <w:r>
        <w:rPr>
          <w:rFonts w:hint="eastAsia" w:ascii="宋体" w:hAnsi="宋体" w:eastAsia="宋体"/>
          <w:bCs/>
          <w:sz w:val="24"/>
          <w:szCs w:val="24"/>
        </w:rPr>
        <w:t>月</w:t>
      </w:r>
      <w:r>
        <w:rPr>
          <w:rFonts w:hint="eastAsia" w:ascii="宋体" w:hAnsi="宋体" w:eastAsia="宋体"/>
          <w:bCs/>
          <w:sz w:val="24"/>
          <w:szCs w:val="24"/>
          <w:lang w:val="en-US" w:eastAsia="zh-CN"/>
        </w:rPr>
        <w:t>14</w:t>
      </w:r>
      <w:r>
        <w:rPr>
          <w:rFonts w:hint="eastAsia" w:ascii="宋体" w:hAnsi="宋体" w:eastAsia="宋体"/>
          <w:bCs/>
          <w:sz w:val="24"/>
          <w:szCs w:val="24"/>
        </w:rPr>
        <w:t>日至2022年</w:t>
      </w:r>
      <w:r>
        <w:rPr>
          <w:rFonts w:hint="eastAsia" w:ascii="宋体" w:hAnsi="宋体" w:eastAsia="宋体"/>
          <w:bCs/>
          <w:sz w:val="24"/>
          <w:szCs w:val="24"/>
          <w:lang w:val="en-US" w:eastAsia="zh-CN"/>
        </w:rPr>
        <w:t>11</w:t>
      </w:r>
      <w:r>
        <w:rPr>
          <w:rFonts w:hint="eastAsia" w:ascii="宋体" w:hAnsi="宋体" w:eastAsia="宋体"/>
          <w:bCs/>
          <w:sz w:val="24"/>
          <w:szCs w:val="24"/>
        </w:rPr>
        <w:t>月</w:t>
      </w:r>
      <w:r>
        <w:rPr>
          <w:rFonts w:hint="eastAsia" w:ascii="宋体" w:hAnsi="宋体" w:eastAsia="宋体"/>
          <w:bCs/>
          <w:sz w:val="24"/>
          <w:szCs w:val="24"/>
          <w:lang w:val="en-US" w:eastAsia="zh-CN"/>
        </w:rPr>
        <w:t>21</w:t>
      </w:r>
      <w:r>
        <w:rPr>
          <w:rFonts w:hint="eastAsia" w:ascii="宋体" w:hAnsi="宋体" w:eastAsia="宋体"/>
          <w:bCs/>
          <w:sz w:val="24"/>
          <w:szCs w:val="24"/>
        </w:rPr>
        <w:t>日，正常工作日上午8:30至11:30，下午13:30至17:00（北京时间，周末、法定节假日除外）。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2．地点：</w:t>
      </w:r>
      <w:r>
        <w:rPr>
          <w:rFonts w:hint="eastAsia"/>
          <w:sz w:val="24"/>
          <w:lang w:bidi="ar"/>
        </w:rPr>
        <w:t>钟楼区玉龙南路280号常州大数据产业园2号楼19楼</w:t>
      </w:r>
      <w:r>
        <w:rPr>
          <w:rFonts w:hint="eastAsia" w:ascii="宋体" w:hAnsi="宋体" w:eastAsia="宋体"/>
          <w:bCs/>
          <w:sz w:val="24"/>
          <w:szCs w:val="24"/>
        </w:rPr>
        <w:t xml:space="preserve"> 常州中采招投标有限公司。</w:t>
      </w:r>
    </w:p>
    <w:p>
      <w:pPr>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．方式：（供应商可采取以下任一种方式获取比选文件）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w:t>
      </w:r>
      <w:r>
        <w:rPr>
          <w:rFonts w:hint="eastAsia"/>
          <w:sz w:val="24"/>
          <w:lang w:bidi="ar"/>
        </w:rPr>
        <w:t>钟楼区玉龙南路280号常州大数据产业园2号楼19楼</w:t>
      </w:r>
      <w:r>
        <w:rPr>
          <w:rFonts w:hint="eastAsia" w:ascii="宋体" w:hAnsi="宋体" w:eastAsia="宋体"/>
          <w:bCs/>
          <w:sz w:val="24"/>
          <w:szCs w:val="24"/>
        </w:rPr>
        <w:t>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（2）网络领购：若无法现金交纳，请联系姚女士，电 话：0519-86661066。交纳成功后，将符合要求的领购资料扫描件和报名费交纳凭证一并发送至邮箱：</w:t>
      </w:r>
      <w:r>
        <w:rPr>
          <w:rFonts w:ascii="宋体" w:hAnsi="宋体" w:eastAsia="宋体"/>
          <w:bCs/>
          <w:sz w:val="24"/>
          <w:szCs w:val="24"/>
        </w:rPr>
        <w:t>czzczb@126.com</w:t>
      </w:r>
      <w:r>
        <w:rPr>
          <w:rFonts w:hint="eastAsia" w:ascii="宋体" w:hAnsi="宋体" w:eastAsia="宋体"/>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 xml:space="preserve"> 售价：人民币伍佰元整(现金交纳或以公司指定方式支付)，比选文件售后一概不退。</w:t>
      </w:r>
    </w:p>
    <w:p>
      <w:pPr>
        <w:spacing w:line="360" w:lineRule="auto"/>
        <w:ind w:firstLine="482" w:firstLineChars="200"/>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pPr>
        <w:snapToGrid w:val="0"/>
        <w:spacing w:line="360" w:lineRule="auto"/>
        <w:ind w:firstLine="480" w:firstLineChars="200"/>
        <w:rPr>
          <w:rFonts w:ascii="黑体" w:hAnsi="黑体" w:eastAsia="黑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截止时间：</w:t>
      </w:r>
      <w:r>
        <w:rPr>
          <w:rFonts w:ascii="宋体" w:hAnsi="宋体" w:eastAsia="宋体"/>
          <w:bCs/>
          <w:color w:val="000000" w:themeColor="text1"/>
          <w:sz w:val="24"/>
          <w:szCs w:val="24"/>
          <w:u w:val="single"/>
          <w14:textFill>
            <w14:solidFill>
              <w14:schemeClr w14:val="tx1"/>
            </w14:solidFill>
          </w14:textFill>
        </w:rPr>
        <w:t>20</w:t>
      </w:r>
      <w:r>
        <w:rPr>
          <w:rFonts w:hint="eastAsia" w:ascii="宋体" w:hAnsi="宋体" w:eastAsia="宋体"/>
          <w:bCs/>
          <w:color w:val="000000" w:themeColor="text1"/>
          <w:sz w:val="24"/>
          <w:szCs w:val="24"/>
          <w:u w:val="single"/>
          <w14:textFill>
            <w14:solidFill>
              <w14:schemeClr w14:val="tx1"/>
            </w14:solidFill>
          </w14:textFill>
        </w:rPr>
        <w:t>22</w:t>
      </w:r>
      <w:r>
        <w:rPr>
          <w:rFonts w:ascii="宋体" w:hAnsi="宋体" w:eastAsia="宋体"/>
          <w:bCs/>
          <w:color w:val="000000" w:themeColor="text1"/>
          <w:sz w:val="24"/>
          <w:szCs w:val="24"/>
          <w:u w:val="single"/>
          <w14:textFill>
            <w14:solidFill>
              <w14:schemeClr w14:val="tx1"/>
            </w14:solidFill>
          </w14:textFill>
        </w:rPr>
        <w:t>年</w:t>
      </w:r>
      <w:r>
        <w:rPr>
          <w:rFonts w:hint="eastAsia" w:ascii="宋体" w:hAnsi="宋体" w:eastAsia="宋体"/>
          <w:bCs/>
          <w:color w:val="000000" w:themeColor="text1"/>
          <w:sz w:val="24"/>
          <w:szCs w:val="24"/>
          <w:u w:val="single"/>
          <w:lang w:val="en-US" w:eastAsia="zh-CN"/>
          <w14:textFill>
            <w14:solidFill>
              <w14:schemeClr w14:val="tx1"/>
            </w14:solidFill>
          </w14:textFill>
        </w:rPr>
        <w:t>11月25日14</w:t>
      </w:r>
      <w:r>
        <w:rPr>
          <w:rFonts w:ascii="宋体" w:hAnsi="宋体" w:eastAsia="宋体"/>
          <w:bCs/>
          <w:color w:val="000000" w:themeColor="text1"/>
          <w:sz w:val="24"/>
          <w:szCs w:val="24"/>
          <w:u w:val="single"/>
          <w14:textFill>
            <w14:solidFill>
              <w14:schemeClr w14:val="tx1"/>
            </w14:solidFill>
          </w14:textFill>
        </w:rPr>
        <w:t>点</w:t>
      </w:r>
      <w:r>
        <w:rPr>
          <w:rFonts w:hint="eastAsia" w:ascii="宋体" w:hAnsi="宋体" w:eastAsia="宋体"/>
          <w:bCs/>
          <w:color w:val="000000" w:themeColor="text1"/>
          <w:sz w:val="24"/>
          <w:szCs w:val="24"/>
          <w:u w:val="single"/>
          <w:lang w:val="en-US" w:eastAsia="zh-CN"/>
          <w14:textFill>
            <w14:solidFill>
              <w14:schemeClr w14:val="tx1"/>
            </w14:solidFill>
          </w14:textFill>
        </w:rPr>
        <w:t>30</w:t>
      </w:r>
      <w:r>
        <w:rPr>
          <w:rFonts w:ascii="宋体" w:hAnsi="宋体" w:eastAsia="宋体"/>
          <w:bCs/>
          <w:color w:val="000000" w:themeColor="text1"/>
          <w:sz w:val="24"/>
          <w:szCs w:val="24"/>
          <w:u w:val="single"/>
          <w14:textFill>
            <w14:solidFill>
              <w14:schemeClr w14:val="tx1"/>
            </w14:solidFill>
          </w14:textFill>
        </w:rPr>
        <w:t>分</w:t>
      </w:r>
      <w:r>
        <w:rPr>
          <w:rFonts w:hint="eastAsia" w:ascii="宋体" w:hAnsi="宋体" w:eastAsia="宋体"/>
          <w:bCs/>
          <w:color w:val="000000" w:themeColor="text1"/>
          <w:sz w:val="24"/>
          <w:szCs w:val="24"/>
          <w14:textFill>
            <w14:solidFill>
              <w14:schemeClr w14:val="tx1"/>
            </w14:solidFill>
          </w14:textFill>
        </w:rPr>
        <w:t>（北京时间）</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地点：</w:t>
      </w:r>
      <w:r>
        <w:rPr>
          <w:rFonts w:hint="eastAsia"/>
          <w:sz w:val="24"/>
          <w:lang w:bidi="ar"/>
        </w:rPr>
        <w:t>钟楼区玉龙南路280号常州大数据产业园2号楼19楼常州市市场资源交易服务中心（平台）1905 开标室2 </w:t>
      </w:r>
    </w:p>
    <w:p>
      <w:pPr>
        <w:spacing w:line="360" w:lineRule="auto"/>
        <w:ind w:firstLine="482" w:firstLineChars="200"/>
        <w:rPr>
          <w:b/>
          <w:bCs/>
          <w:sz w:val="24"/>
          <w:szCs w:val="24"/>
        </w:rPr>
      </w:pPr>
      <w:bookmarkStart w:id="20" w:name="_Toc28359084"/>
      <w:bookmarkStart w:id="21" w:name="_Toc35393625"/>
      <w:bookmarkStart w:id="22" w:name="_Toc28359007"/>
      <w:bookmarkStart w:id="23" w:name="_Toc35393794"/>
      <w:r>
        <w:rPr>
          <w:rFonts w:hint="eastAsia"/>
          <w:b/>
          <w:bCs/>
          <w:sz w:val="24"/>
          <w:szCs w:val="24"/>
        </w:rPr>
        <w:t>五、开启</w:t>
      </w:r>
    </w:p>
    <w:p>
      <w:pPr>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截止时间</w:t>
      </w: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u w:val="single"/>
          <w14:textFill>
            <w14:solidFill>
              <w14:schemeClr w14:val="tx1"/>
            </w14:solidFill>
          </w14:textFill>
        </w:rPr>
        <w:t>2022年</w:t>
      </w:r>
      <w:r>
        <w:rPr>
          <w:rFonts w:hint="eastAsia" w:ascii="宋体" w:hAnsi="宋体" w:eastAsia="宋体"/>
          <w:bCs/>
          <w:color w:val="000000" w:themeColor="text1"/>
          <w:sz w:val="24"/>
          <w:szCs w:val="24"/>
          <w:u w:val="single"/>
          <w:lang w:eastAsia="zh-CN"/>
          <w14:textFill>
            <w14:solidFill>
              <w14:schemeClr w14:val="tx1"/>
            </w14:solidFill>
          </w14:textFill>
        </w:rPr>
        <w:t>11月25日</w:t>
      </w:r>
      <w:r>
        <w:rPr>
          <w:rFonts w:hint="eastAsia" w:ascii="宋体" w:hAnsi="宋体" w:eastAsia="宋体"/>
          <w:bCs/>
          <w:color w:val="000000" w:themeColor="text1"/>
          <w:sz w:val="24"/>
          <w:szCs w:val="24"/>
          <w:u w:val="single"/>
          <w14:textFill>
            <w14:solidFill>
              <w14:schemeClr w14:val="tx1"/>
            </w14:solidFill>
          </w14:textFill>
        </w:rPr>
        <w:t>14点30分</w:t>
      </w:r>
      <w:r>
        <w:rPr>
          <w:rFonts w:hint="eastAsia"/>
          <w:bCs/>
          <w:color w:val="000000" w:themeColor="text1"/>
          <w:sz w:val="24"/>
          <w:szCs w:val="24"/>
          <w14:textFill>
            <w14:solidFill>
              <w14:schemeClr w14:val="tx1"/>
            </w14:solidFill>
          </w14:textFill>
        </w:rPr>
        <w:t>（北京时间）</w:t>
      </w:r>
    </w:p>
    <w:p>
      <w:pPr>
        <w:spacing w:line="360" w:lineRule="auto"/>
        <w:ind w:firstLine="480" w:firstLineChars="200"/>
        <w:rPr>
          <w:bCs/>
          <w:sz w:val="24"/>
          <w:szCs w:val="24"/>
        </w:rPr>
      </w:pPr>
      <w:r>
        <w:rPr>
          <w:rFonts w:hint="eastAsia"/>
          <w:bCs/>
          <w:sz w:val="24"/>
          <w:szCs w:val="24"/>
        </w:rPr>
        <w:t>地点：</w:t>
      </w:r>
      <w:r>
        <w:rPr>
          <w:rFonts w:hint="eastAsia"/>
          <w:sz w:val="24"/>
          <w:lang w:bidi="ar"/>
        </w:rPr>
        <w:t>钟楼区玉龙南路280号常州大数据产业园2号楼19楼常州市市场资源交易服务中心（平台）1905 开标室2 </w:t>
      </w:r>
    </w:p>
    <w:p>
      <w:pPr>
        <w:spacing w:line="360" w:lineRule="auto"/>
        <w:ind w:firstLine="482" w:firstLineChars="200"/>
        <w:rPr>
          <w:b/>
          <w:bCs/>
          <w:sz w:val="24"/>
          <w:szCs w:val="24"/>
        </w:rPr>
      </w:pPr>
      <w:r>
        <w:rPr>
          <w:rFonts w:hint="eastAsia"/>
          <w:b/>
          <w:bCs/>
          <w:sz w:val="24"/>
          <w:szCs w:val="24"/>
        </w:rPr>
        <w:t>六、公告期限</w:t>
      </w:r>
      <w:bookmarkEnd w:id="20"/>
      <w:bookmarkEnd w:id="21"/>
      <w:bookmarkEnd w:id="22"/>
      <w:bookmarkEnd w:id="23"/>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自本公告发布之日起3个工作日。</w:t>
      </w:r>
    </w:p>
    <w:p>
      <w:pPr>
        <w:spacing w:line="360" w:lineRule="auto"/>
        <w:ind w:firstLine="482" w:firstLineChars="200"/>
        <w:rPr>
          <w:b/>
          <w:bCs/>
          <w:sz w:val="24"/>
          <w:szCs w:val="24"/>
        </w:rPr>
      </w:pPr>
      <w:bookmarkStart w:id="24" w:name="_Toc35393626"/>
      <w:bookmarkStart w:id="25" w:name="_Toc35393795"/>
      <w:r>
        <w:rPr>
          <w:rFonts w:hint="eastAsia"/>
          <w:b/>
          <w:bCs/>
          <w:sz w:val="24"/>
          <w:szCs w:val="24"/>
        </w:rPr>
        <w:t>七、其他补充事宜</w:t>
      </w:r>
      <w:bookmarkEnd w:id="24"/>
      <w:bookmarkEnd w:id="25"/>
    </w:p>
    <w:p>
      <w:pPr>
        <w:pStyle w:val="29"/>
        <w:shd w:val="clear" w:color="auto" w:fill="FFFFFF"/>
        <w:spacing w:before="0" w:beforeAutospacing="0" w:after="0" w:afterAutospacing="0" w:line="360" w:lineRule="auto"/>
        <w:ind w:firstLine="480" w:firstLineChars="200"/>
      </w:pPr>
      <w:r>
        <w:rPr>
          <w:rFonts w:hint="eastAsia"/>
        </w:rPr>
        <w:t>1.现场踏勘：供应商自行踏勘现场。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3.疫情防控措施</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对于参与开评标活动的投标人、采购人授权代表，应如实填报《疫情期间参与政府采购活动开评标人员健康信息登记表》（格式见附件）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（4）因防控工作需要，给采购当事人带来诸多不便，还望多多理解和予以配合。</w:t>
      </w:r>
    </w:p>
    <w:p>
      <w:pPr>
        <w:spacing w:line="360" w:lineRule="auto"/>
        <w:ind w:firstLine="482" w:firstLineChars="200"/>
        <w:rPr>
          <w:b/>
          <w:bCs/>
          <w:sz w:val="24"/>
          <w:szCs w:val="24"/>
        </w:rPr>
      </w:pPr>
      <w:bookmarkStart w:id="26" w:name="_Toc35393796"/>
      <w:bookmarkStart w:id="27" w:name="_Toc35393627"/>
      <w:bookmarkStart w:id="28" w:name="_Toc28359008"/>
      <w:bookmarkStart w:id="29" w:name="_Toc28359085"/>
      <w:r>
        <w:rPr>
          <w:rFonts w:hint="eastAsia"/>
          <w:b/>
          <w:bCs/>
          <w:sz w:val="24"/>
          <w:szCs w:val="24"/>
        </w:rPr>
        <w:t>八、对本次采购提出询问，请按以下方式联系。</w:t>
      </w:r>
      <w:bookmarkEnd w:id="26"/>
      <w:bookmarkEnd w:id="27"/>
      <w:bookmarkEnd w:id="28"/>
      <w:bookmarkEnd w:id="29"/>
      <w:bookmarkStart w:id="30" w:name="_Toc28358998"/>
      <w:bookmarkStart w:id="31" w:name="_Toc35393617"/>
      <w:bookmarkStart w:id="32" w:name="_Toc28359075"/>
      <w:bookmarkStart w:id="33" w:name="_Toc35393786"/>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1.采购人信息</w:t>
      </w:r>
      <w:bookmarkEnd w:id="30"/>
      <w:bookmarkEnd w:id="31"/>
      <w:bookmarkEnd w:id="32"/>
      <w:bookmarkEnd w:id="33"/>
    </w:p>
    <w:p>
      <w:pPr>
        <w:snapToGrid w:val="0"/>
        <w:spacing w:line="360" w:lineRule="auto"/>
        <w:ind w:firstLine="480" w:firstLineChars="200"/>
        <w:rPr>
          <w:rFonts w:cs="宋体" w:asciiTheme="minorEastAsia" w:hAnsiTheme="minorEastAsia"/>
          <w:sz w:val="24"/>
          <w:szCs w:val="24"/>
          <w:highlight w:val="yellow"/>
        </w:rPr>
      </w:pPr>
      <w:r>
        <w:rPr>
          <w:rFonts w:hint="eastAsia" w:cs="宋体" w:asciiTheme="minorEastAsia" w:hAnsiTheme="minorEastAsia"/>
          <w:sz w:val="24"/>
          <w:szCs w:val="24"/>
          <w:highlight w:val="yellow"/>
        </w:rPr>
        <w:t>名    称：常州市新北区春江街道办事处</w:t>
      </w:r>
    </w:p>
    <w:p>
      <w:pPr>
        <w:snapToGrid w:val="0"/>
        <w:spacing w:line="360" w:lineRule="auto"/>
        <w:ind w:firstLine="480" w:firstLineChars="200"/>
        <w:rPr>
          <w:rFonts w:cs="宋体" w:asciiTheme="minorEastAsia" w:hAnsiTheme="minorEastAsia"/>
          <w:sz w:val="24"/>
          <w:szCs w:val="24"/>
          <w:highlight w:val="yellow"/>
        </w:rPr>
      </w:pPr>
      <w:r>
        <w:rPr>
          <w:rFonts w:hint="eastAsia" w:cs="宋体" w:asciiTheme="minorEastAsia" w:hAnsiTheme="minorEastAsia"/>
          <w:sz w:val="24"/>
          <w:szCs w:val="24"/>
          <w:highlight w:val="yellow"/>
        </w:rPr>
        <w:t>地    址：常州市新北区长江北路1188号</w:t>
      </w:r>
    </w:p>
    <w:p>
      <w:pPr>
        <w:snapToGrid w:val="0"/>
        <w:spacing w:line="360" w:lineRule="auto"/>
        <w:ind w:firstLine="480" w:firstLineChars="200"/>
        <w:rPr>
          <w:rFonts w:cs="宋体" w:asciiTheme="minorEastAsia" w:hAnsiTheme="minorEastAsia"/>
          <w:sz w:val="24"/>
          <w:szCs w:val="24"/>
          <w:highlight w:val="yellow"/>
        </w:rPr>
      </w:pPr>
      <w:r>
        <w:rPr>
          <w:rFonts w:hint="eastAsia" w:cs="宋体" w:asciiTheme="minorEastAsia" w:hAnsiTheme="minorEastAsia"/>
          <w:sz w:val="24"/>
          <w:szCs w:val="24"/>
          <w:highlight w:val="yellow"/>
        </w:rPr>
        <w:t>联系方式：</w:t>
      </w:r>
      <w:bookmarkStart w:id="34" w:name="_Toc35393618"/>
      <w:bookmarkStart w:id="35" w:name="_Toc28358999"/>
      <w:bookmarkStart w:id="36" w:name="_Toc35393787"/>
      <w:bookmarkStart w:id="37" w:name="_Toc28359076"/>
      <w:r>
        <w:rPr>
          <w:rFonts w:hint="eastAsia" w:cs="宋体" w:asciiTheme="minorEastAsia" w:hAnsiTheme="minorEastAsia"/>
          <w:sz w:val="24"/>
          <w:szCs w:val="24"/>
          <w:highlight w:val="yellow"/>
        </w:rPr>
        <w:t>邵宇恒0519-81591829</w:t>
      </w:r>
    </w:p>
    <w:p>
      <w:pPr>
        <w:snapToGrid w:val="0"/>
        <w:spacing w:line="360" w:lineRule="auto"/>
        <w:ind w:firstLine="480" w:firstLineChars="200"/>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4"/>
      <w:bookmarkEnd w:id="35"/>
      <w:bookmarkEnd w:id="36"/>
      <w:bookmarkEnd w:id="37"/>
      <w:bookmarkStart w:id="38" w:name="_Toc28359077"/>
      <w:bookmarkStart w:id="39" w:name="_Toc28359000"/>
      <w:bookmarkStart w:id="40" w:name="_Toc35393619"/>
      <w:bookmarkStart w:id="41" w:name="_Toc35393788"/>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w:t>
      </w:r>
      <w:r>
        <w:rPr>
          <w:rFonts w:hint="eastAsia"/>
          <w:sz w:val="24"/>
          <w:lang w:bidi="ar"/>
        </w:rPr>
        <w:t>钟楼区玉龙南路280号常州大数据产业园2号楼19楼</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8"/>
      <w:bookmarkEnd w:id="39"/>
      <w:bookmarkEnd w:id="40"/>
      <w:bookmarkEnd w:id="41"/>
      <w:bookmarkStart w:id="42" w:name="_Toc55147046"/>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电     话：</w:t>
      </w:r>
      <w:r>
        <w:rPr>
          <w:rFonts w:cs="宋体" w:asciiTheme="minorEastAsia" w:hAnsiTheme="minorEastAsia"/>
          <w:sz w:val="24"/>
          <w:szCs w:val="24"/>
        </w:rPr>
        <w:t>0519-8666106</w:t>
      </w:r>
      <w:bookmarkStart w:id="43" w:name="_Toc70403686"/>
      <w:r>
        <w:rPr>
          <w:rFonts w:hint="eastAsia" w:cs="宋体" w:asciiTheme="minorEastAsia" w:hAnsiTheme="minorEastAsia"/>
          <w:sz w:val="24"/>
          <w:szCs w:val="24"/>
        </w:rPr>
        <w:t>7</w:t>
      </w:r>
    </w:p>
    <w:p>
      <w:pPr>
        <w:widowControl/>
        <w:snapToGrid w:val="0"/>
        <w:spacing w:line="360" w:lineRule="auto"/>
        <w:ind w:firstLine="480" w:firstLineChars="200"/>
        <w:rPr>
          <w:rFonts w:cs="宋体" w:asciiTheme="minorEastAsia" w:hAnsiTheme="minorEastAsia"/>
          <w:sz w:val="24"/>
          <w:szCs w:val="24"/>
        </w:rPr>
      </w:pPr>
    </w:p>
    <w:p>
      <w:pPr>
        <w:widowControl/>
        <w:jc w:val="left"/>
        <w:rPr>
          <w:rFonts w:ascii="黑体" w:hAnsi="黑体" w:eastAsia="黑体" w:cs="Times New Roman"/>
          <w:bCs/>
          <w:kern w:val="0"/>
          <w:sz w:val="28"/>
          <w:szCs w:val="28"/>
        </w:rPr>
      </w:pPr>
      <w:r>
        <w:br w:type="page"/>
      </w:r>
    </w:p>
    <w:p>
      <w:pPr>
        <w:pStyle w:val="122"/>
        <w:rPr>
          <w:rFonts w:cs="宋体" w:asciiTheme="minorEastAsia" w:hAnsiTheme="minorEastAsia"/>
          <w:sz w:val="24"/>
          <w:szCs w:val="24"/>
        </w:rPr>
      </w:pPr>
      <w:r>
        <w:rPr>
          <w:rFonts w:hint="eastAsia"/>
        </w:rPr>
        <w:t>二．比选须知</w:t>
      </w:r>
      <w:bookmarkEnd w:id="42"/>
      <w:bookmarkEnd w:id="43"/>
    </w:p>
    <w:p>
      <w:pPr>
        <w:spacing w:line="360" w:lineRule="auto"/>
        <w:ind w:firstLine="482"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2" w:firstLineChars="200"/>
        <w:rPr>
          <w:b/>
          <w:bCs/>
          <w:sz w:val="24"/>
          <w:szCs w:val="24"/>
        </w:rPr>
      </w:pPr>
      <w:r>
        <w:rPr>
          <w:rFonts w:hint="eastAsia"/>
          <w:b/>
          <w:bCs/>
          <w:sz w:val="24"/>
          <w:szCs w:val="24"/>
        </w:rPr>
        <w:t>二、比选文件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比选文件包括本文件目录所列全部内容，供应商应仔细阅读，并在响应文件中充分响应比选文件的所有要求。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比选文件中的“法定代表人”是指供应商的营业执照或相关部门的登记证明文件中的“法定代表人”或“负责人”。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供应商应在获取比选文件及有关资料后，按要求制作</w:t>
      </w:r>
      <w:r>
        <w:rPr>
          <w:rFonts w:hint="eastAsia" w:ascii="宋体" w:hAnsi="宋体"/>
          <w:sz w:val="24"/>
        </w:rPr>
        <w:t>响应文件</w:t>
      </w:r>
      <w:r>
        <w:rPr>
          <w:rFonts w:hint="eastAsia" w:ascii="宋体" w:hAnsi="宋体"/>
          <w:bCs/>
          <w:color w:val="000000"/>
          <w:sz w:val="24"/>
          <w:szCs w:val="24"/>
        </w:rPr>
        <w:t>，对比选文件各项内容做出实质性响应，否则报价无效。</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比选文件仅作为本次采购报价使用。</w:t>
      </w:r>
    </w:p>
    <w:p>
      <w:pPr>
        <w:spacing w:line="360" w:lineRule="auto"/>
        <w:ind w:firstLine="482" w:firstLineChars="200"/>
        <w:rPr>
          <w:b/>
          <w:bCs/>
          <w:sz w:val="24"/>
          <w:szCs w:val="24"/>
        </w:rPr>
      </w:pPr>
      <w:r>
        <w:rPr>
          <w:rFonts w:hint="eastAsia"/>
          <w:b/>
          <w:bCs/>
          <w:sz w:val="24"/>
          <w:szCs w:val="24"/>
        </w:rPr>
        <w:t>三、比选文件的解释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2" w:firstLineChars="200"/>
        <w:rPr>
          <w:b/>
          <w:bCs/>
          <w:sz w:val="24"/>
          <w:szCs w:val="24"/>
        </w:rPr>
      </w:pPr>
      <w:r>
        <w:rPr>
          <w:rFonts w:hint="eastAsia"/>
          <w:b/>
          <w:bCs/>
          <w:sz w:val="24"/>
          <w:szCs w:val="24"/>
        </w:rPr>
        <w:t>四、比选文件的补充或修正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供应商在收到比选文件后，如有疑问需要询问和澄清，应在响应文件提交截止时间的5日前以书面形式向采购人提出，如无疑问，视作供应商完全响应比选文件的条款和要求。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采购人有权对已发出的比选文件进行必要的澄清或修改，可视具体情况延长响应文件提交截止时间，并以书面形式通知所有供应商。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比选文件的修改和补充文件将作为比选文件的组成部分，并对供应商具有约束力。</w:t>
      </w:r>
    </w:p>
    <w:p>
      <w:pPr>
        <w:spacing w:line="360" w:lineRule="auto"/>
        <w:ind w:firstLine="482" w:firstLineChars="200"/>
        <w:rPr>
          <w:b/>
          <w:bCs/>
          <w:sz w:val="24"/>
          <w:szCs w:val="24"/>
        </w:rPr>
      </w:pPr>
      <w:r>
        <w:rPr>
          <w:rFonts w:hint="eastAsia"/>
          <w:b/>
          <w:bCs/>
          <w:sz w:val="24"/>
          <w:szCs w:val="24"/>
        </w:rPr>
        <w:t>五、响应文件的组成</w:t>
      </w:r>
    </w:p>
    <w:p>
      <w:pPr>
        <w:numPr>
          <w:ilvl w:val="0"/>
          <w:numId w:val="2"/>
        </w:numPr>
        <w:tabs>
          <w:tab w:val="left" w:pos="525"/>
          <w:tab w:val="left" w:pos="945"/>
        </w:tabs>
        <w:spacing w:line="360" w:lineRule="auto"/>
        <w:ind w:left="0"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供应商简介（含供应商规模、银行资信、技术能力及装备水平等）、人员情况、典型项目介绍。</w:t>
      </w:r>
    </w:p>
    <w:p>
      <w:pPr>
        <w:numPr>
          <w:ilvl w:val="0"/>
          <w:numId w:val="2"/>
        </w:numPr>
        <w:tabs>
          <w:tab w:val="left" w:pos="525"/>
          <w:tab w:val="left" w:pos="945"/>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响应函（格式见附件）；</w:t>
      </w:r>
    </w:p>
    <w:p>
      <w:pPr>
        <w:numPr>
          <w:ilvl w:val="0"/>
          <w:numId w:val="2"/>
        </w:numPr>
        <w:tabs>
          <w:tab w:val="left" w:pos="525"/>
          <w:tab w:val="left" w:pos="945"/>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资格证明文件：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（4）</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（5）参加投标活动前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（6）采购人要求的特定资质证明：供应商须为2021-2022年度常州市行政事业单位物业及相关服务定点采购项目（综合物业服务）入围供应商。</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技术参数偏离表（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numPr>
          <w:ilvl w:val="0"/>
          <w:numId w:val="2"/>
        </w:numPr>
        <w:tabs>
          <w:tab w:val="left" w:pos="525"/>
          <w:tab w:val="left" w:pos="945"/>
        </w:tabs>
        <w:spacing w:line="360" w:lineRule="auto"/>
        <w:ind w:left="1" w:firstLine="523" w:firstLineChars="218"/>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比选文件要求供应商提供的和供应商认为与本项目有关的并可以提供的其它相关的证明材料（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U盘”壹份（电子文件中含全套正本响应文件，未提供视为无效投标，U盘应单独密封，未提供视为无效投标）。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2"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不具备比选文件中规定的资格要求或未按比选文件规定的要求提供资格、资信证明文件的；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hint="eastAsia"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）、中国政府采购网(www.ccgp.gov.cn)列入失信被执行人、重大税收违法案件当事人名单、</w:t>
      </w:r>
      <w:r>
        <w:rPr>
          <w:rFonts w:hint="eastAsia" w:ascii="宋体" w:hAnsi="宋体"/>
          <w:color w:val="000000" w:themeColor="text1"/>
          <w:sz w:val="24"/>
          <w:szCs w:val="24"/>
          <w14:textFill>
            <w14:solidFill>
              <w14:schemeClr w14:val="tx1"/>
            </w14:solidFill>
          </w14:textFill>
        </w:rPr>
        <w:t>政府采购严重违法失信行为记录名单的；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文件未按比选文件规定的内容和要求填写的；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文件中有比选文件未允许提供的选择性内容；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18.响应文件内容不全或不符合比选文件中规定的其它实质性要求的；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19.法律法规和比选文件规定的其它无效情形。</w:t>
      </w:r>
    </w:p>
    <w:p>
      <w:pPr>
        <w:spacing w:line="360" w:lineRule="auto"/>
        <w:ind w:firstLine="482" w:firstLineChars="200"/>
        <w:rPr>
          <w:b/>
          <w:bCs/>
          <w:sz w:val="24"/>
          <w:szCs w:val="24"/>
        </w:rPr>
      </w:pPr>
      <w:r>
        <w:rPr>
          <w:rFonts w:hint="eastAsia"/>
          <w:b/>
          <w:bCs/>
          <w:sz w:val="24"/>
          <w:szCs w:val="24"/>
        </w:rPr>
        <w:t>八、比选、评审</w:t>
      </w:r>
    </w:p>
    <w:p>
      <w:pPr>
        <w:tabs>
          <w:tab w:val="left" w:pos="630"/>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比选、评审工作由</w:t>
      </w:r>
      <w:r>
        <w:rPr>
          <w:rFonts w:hint="eastAsia" w:ascii="宋体" w:hAnsi="宋体"/>
          <w:sz w:val="24"/>
        </w:rPr>
        <w:t>采购代理机构</w:t>
      </w:r>
      <w:r>
        <w:rPr>
          <w:rFonts w:hint="eastAsia" w:ascii="宋体" w:hAnsi="宋体"/>
          <w:bCs/>
          <w:color w:val="000000"/>
          <w:sz w:val="24"/>
          <w:szCs w:val="24"/>
        </w:rPr>
        <w:t>负责组织。</w:t>
      </w:r>
    </w:p>
    <w:p>
      <w:pPr>
        <w:tabs>
          <w:tab w:val="left" w:pos="1050"/>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具体比选、评审事务由依法组建的评审小组负责。如有争议最终由评审小组认定。</w:t>
      </w:r>
    </w:p>
    <w:p>
      <w:pPr>
        <w:numPr>
          <w:ilvl w:val="1"/>
          <w:numId w:val="3"/>
        </w:numPr>
        <w:tabs>
          <w:tab w:val="left" w:pos="525"/>
          <w:tab w:val="left" w:pos="630"/>
          <w:tab w:val="left" w:pos="945"/>
          <w:tab w:val="clear" w:pos="1290"/>
        </w:tabs>
        <w:spacing w:line="360" w:lineRule="auto"/>
        <w:ind w:left="0" w:firstLine="480" w:firstLineChars="200"/>
        <w:rPr>
          <w:rFonts w:ascii="宋体" w:hAnsi="宋体"/>
          <w:bCs/>
          <w:color w:val="000000"/>
          <w:sz w:val="24"/>
          <w:szCs w:val="24"/>
        </w:rPr>
      </w:pPr>
      <w:r>
        <w:rPr>
          <w:rFonts w:hint="eastAsia" w:ascii="宋体" w:hAnsi="宋体"/>
          <w:bCs/>
          <w:color w:val="000000"/>
          <w:sz w:val="24"/>
          <w:szCs w:val="24"/>
        </w:rPr>
        <w:t>响应文件的审查</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报价</w:t>
      </w:r>
      <w:r>
        <w:rPr>
          <w:rFonts w:hint="eastAsia" w:ascii="宋体" w:hAnsi="宋体"/>
          <w:bCs/>
          <w:color w:val="000000"/>
          <w:sz w:val="24"/>
          <w:szCs w:val="24"/>
        </w:rPr>
        <w:t>一览表</w:t>
      </w:r>
      <w:r>
        <w:rPr>
          <w:rFonts w:ascii="宋体" w:hAnsi="宋体"/>
          <w:bCs/>
          <w:color w:val="000000"/>
          <w:sz w:val="24"/>
          <w:szCs w:val="24"/>
        </w:rPr>
        <w:t>内容与明细表内容不一致的，以报价</w:t>
      </w:r>
      <w:r>
        <w:rPr>
          <w:rFonts w:hint="eastAsia" w:ascii="宋体" w:hAnsi="宋体"/>
          <w:bCs/>
          <w:color w:val="000000"/>
          <w:sz w:val="24"/>
          <w:szCs w:val="24"/>
        </w:rPr>
        <w:t>一览表</w:t>
      </w:r>
      <w:r>
        <w:rPr>
          <w:rFonts w:ascii="宋体" w:hAnsi="宋体"/>
          <w:bCs/>
          <w:color w:val="000000"/>
          <w:sz w:val="24"/>
          <w:szCs w:val="24"/>
        </w:rPr>
        <w:t>为准</w:t>
      </w:r>
      <w:r>
        <w:rPr>
          <w:rFonts w:hint="eastAsia" w:ascii="宋体" w:hAnsi="宋体"/>
          <w:bCs/>
          <w:color w:val="000000"/>
          <w:sz w:val="24"/>
          <w:szCs w:val="24"/>
        </w:rPr>
        <w:t>；</w:t>
      </w:r>
    </w:p>
    <w:p>
      <w:pPr>
        <w:tabs>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510"/>
          <w:tab w:val="left" w:pos="630"/>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（2）正本与副本不符，以正本为准。</w:t>
      </w:r>
    </w:p>
    <w:p>
      <w:pPr>
        <w:numPr>
          <w:ilvl w:val="1"/>
          <w:numId w:val="3"/>
        </w:numPr>
        <w:tabs>
          <w:tab w:val="left" w:pos="525"/>
          <w:tab w:val="left" w:pos="840"/>
          <w:tab w:val="left" w:pos="945"/>
          <w:tab w:val="clear" w:pos="1290"/>
        </w:tabs>
        <w:spacing w:line="360" w:lineRule="auto"/>
        <w:ind w:left="0" w:firstLine="480" w:firstLineChars="200"/>
        <w:rPr>
          <w:rFonts w:ascii="宋体" w:hAnsi="宋体"/>
          <w:bCs/>
          <w:color w:val="000000"/>
          <w:sz w:val="24"/>
          <w:szCs w:val="24"/>
        </w:rPr>
      </w:pPr>
      <w:r>
        <w:rPr>
          <w:rFonts w:ascii="宋体" w:hAnsi="宋体"/>
          <w:bCs/>
          <w:color w:val="000000"/>
          <w:sz w:val="24"/>
        </w:rPr>
        <w:t>评</w:t>
      </w:r>
      <w:r>
        <w:rPr>
          <w:rFonts w:hint="eastAsia" w:ascii="宋体" w:hAnsi="宋体"/>
          <w:bCs/>
          <w:color w:val="000000"/>
          <w:sz w:val="24"/>
        </w:rPr>
        <w:t>审</w:t>
      </w:r>
      <w:r>
        <w:rPr>
          <w:rFonts w:ascii="宋体" w:hAnsi="宋体"/>
          <w:bCs/>
          <w:color w:val="000000"/>
          <w:sz w:val="24"/>
        </w:rPr>
        <w:t>程序</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（1）</w:t>
      </w:r>
      <w:r>
        <w:rPr>
          <w:rFonts w:ascii="宋体" w:hAnsi="宋体"/>
          <w:bCs/>
          <w:color w:val="000000"/>
          <w:sz w:val="24"/>
        </w:rPr>
        <w:t>响应文件初审。初审分为资格性审查和符合性审查</w:t>
      </w:r>
      <w:r>
        <w:rPr>
          <w:rFonts w:hint="eastAsia" w:ascii="宋体" w:hAnsi="宋体"/>
          <w:bCs/>
          <w:color w:val="000000"/>
          <w:sz w:val="24"/>
          <w:szCs w:val="24"/>
        </w:rPr>
        <w:t>；</w:t>
      </w:r>
    </w:p>
    <w:p>
      <w:pPr>
        <w:numPr>
          <w:ilvl w:val="0"/>
          <w:numId w:val="4"/>
        </w:numPr>
        <w:tabs>
          <w:tab w:val="left" w:pos="210"/>
          <w:tab w:val="left" w:pos="945"/>
          <w:tab w:val="left" w:pos="1365"/>
          <w:tab w:val="clear" w:pos="570"/>
        </w:tabs>
        <w:spacing w:line="360" w:lineRule="auto"/>
        <w:ind w:left="0" w:firstLine="480" w:firstLineChars="200"/>
        <w:rPr>
          <w:rFonts w:ascii="宋体" w:hAnsi="宋体"/>
          <w:bCs/>
          <w:color w:val="000000"/>
          <w:sz w:val="24"/>
        </w:rPr>
      </w:pPr>
      <w:r>
        <w:rPr>
          <w:rFonts w:ascii="宋体" w:hAnsi="宋体"/>
          <w:bCs/>
          <w:color w:val="000000"/>
          <w:sz w:val="24"/>
        </w:rPr>
        <w:t>资格性审查。依据法律法规和比选文件的规定，对响应文件中的资格证明、</w:t>
      </w:r>
      <w:r>
        <w:rPr>
          <w:rFonts w:hint="eastAsia" w:ascii="宋体" w:hAnsi="宋体"/>
          <w:bCs/>
          <w:color w:val="000000"/>
          <w:sz w:val="24"/>
        </w:rPr>
        <w:t>投标</w:t>
      </w:r>
      <w:r>
        <w:rPr>
          <w:rFonts w:ascii="宋体" w:hAnsi="宋体"/>
          <w:bCs/>
          <w:color w:val="000000"/>
          <w:sz w:val="24"/>
        </w:rPr>
        <w:t>保证金等进行审查</w:t>
      </w:r>
      <w:r>
        <w:rPr>
          <w:rFonts w:hint="eastAsia" w:ascii="宋体" w:hAnsi="宋体"/>
          <w:bCs/>
          <w:color w:val="000000"/>
          <w:sz w:val="24"/>
        </w:rPr>
        <w:t>；</w:t>
      </w:r>
      <w:r>
        <w:rPr>
          <w:rFonts w:hint="eastAsia" w:ascii="宋体" w:hAnsi="宋体"/>
          <w:bCs/>
          <w:color w:val="000000"/>
          <w:sz w:val="24"/>
          <w:szCs w:val="24"/>
        </w:rPr>
        <w:t>通过“信用中国”网站（</w:t>
      </w:r>
      <w:r>
        <w:fldChar w:fldCharType="begin"/>
      </w:r>
      <w:r>
        <w:instrText xml:space="preserve"> HYPERLINK "http://www.creditchina.gov.cn" </w:instrText>
      </w:r>
      <w:r>
        <w:fldChar w:fldCharType="separate"/>
      </w:r>
      <w:r>
        <w:rPr>
          <w:rFonts w:hint="eastAsia" w:ascii="宋体" w:hAnsi="宋体"/>
          <w:bCs/>
          <w:color w:val="000000"/>
          <w:sz w:val="24"/>
          <w:szCs w:val="24"/>
        </w:rPr>
        <w:t>www.creditchina.gov.cn</w:t>
      </w:r>
      <w:r>
        <w:rPr>
          <w:rFonts w:hint="eastAsia" w:ascii="宋体" w:hAnsi="宋体"/>
          <w:bCs/>
          <w:color w:val="000000"/>
          <w:sz w:val="24"/>
          <w:szCs w:val="24"/>
        </w:rPr>
        <w:fldChar w:fldCharType="end"/>
      </w:r>
      <w:r>
        <w:rPr>
          <w:rFonts w:hint="eastAsia" w:ascii="宋体" w:hAnsi="宋体"/>
          <w:bCs/>
          <w:color w:val="000000"/>
          <w:sz w:val="24"/>
          <w:szCs w:val="24"/>
        </w:rPr>
        <w:t>）查询比选供应商在响应文件提交截止时间之前，是否被列入</w:t>
      </w:r>
      <w:r>
        <w:rPr>
          <w:rFonts w:hint="eastAsia" w:ascii="宋体" w:hAnsi="宋体"/>
          <w:color w:val="000000"/>
          <w:sz w:val="24"/>
          <w:szCs w:val="24"/>
        </w:rPr>
        <w:t>失信被执行人、重大税收违法案件当事人名单、政府采购严重违法失信行为记录名单，</w:t>
      </w:r>
      <w:r>
        <w:rPr>
          <w:rFonts w:hint="eastAsia" w:ascii="宋体" w:hAnsi="宋体"/>
          <w:bCs/>
          <w:color w:val="000000"/>
          <w:sz w:val="24"/>
        </w:rPr>
        <w:t>以确定报价供应商是否具备比选资格。</w:t>
      </w:r>
    </w:p>
    <w:p>
      <w:pPr>
        <w:numPr>
          <w:ilvl w:val="0"/>
          <w:numId w:val="4"/>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符合性审查。依据比选文件的规定，从响应文件的有效性、完整性和对比选文件的响应程度进行审查，以确定是否对比选文件的实质性要求作出响应</w:t>
      </w:r>
      <w:r>
        <w:rPr>
          <w:rFonts w:hint="eastAsia" w:ascii="宋体" w:hAnsi="宋体"/>
          <w:bCs/>
          <w:color w:val="000000"/>
          <w:sz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rPr>
        <w:t>（2）</w:t>
      </w:r>
      <w:r>
        <w:rPr>
          <w:rFonts w:ascii="宋体" w:hAnsi="宋体"/>
          <w:bCs/>
          <w:color w:val="000000"/>
          <w:sz w:val="24"/>
        </w:rPr>
        <w:t>澄清有关问题。对响应文件中含义不明确、同类问题表述不一致或者有明显文字和计算错误的内容，</w:t>
      </w:r>
      <w:r>
        <w:rPr>
          <w:rFonts w:hint="eastAsia" w:ascii="宋体" w:hAnsi="宋体"/>
          <w:bCs/>
          <w:color w:val="000000"/>
          <w:sz w:val="24"/>
        </w:rPr>
        <w:t>评审</w:t>
      </w:r>
      <w:r>
        <w:rPr>
          <w:rFonts w:ascii="宋体" w:hAnsi="宋体"/>
          <w:bCs/>
          <w:color w:val="000000"/>
          <w:sz w:val="24"/>
        </w:rPr>
        <w:t>小组可以书面形式（应当由</w:t>
      </w:r>
      <w:r>
        <w:rPr>
          <w:rFonts w:hint="eastAsia" w:ascii="宋体" w:hAnsi="宋体"/>
          <w:bCs/>
          <w:color w:val="000000"/>
          <w:sz w:val="24"/>
        </w:rPr>
        <w:t>评审</w:t>
      </w:r>
      <w:r>
        <w:rPr>
          <w:rFonts w:ascii="宋体" w:hAnsi="宋体"/>
          <w:bCs/>
          <w:color w:val="000000"/>
          <w:sz w:val="24"/>
        </w:rPr>
        <w:t>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tabs>
          <w:tab w:val="left" w:pos="945"/>
          <w:tab w:val="left" w:pos="1104"/>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（3）评审小组讨论、确定比选程序和比选内容；</w:t>
      </w:r>
    </w:p>
    <w:p>
      <w:pPr>
        <w:tabs>
          <w:tab w:val="left" w:pos="945"/>
          <w:tab w:val="left" w:pos="1104"/>
        </w:tabs>
        <w:spacing w:line="360" w:lineRule="auto"/>
        <w:ind w:firstLine="482" w:firstLineChars="200"/>
        <w:rPr>
          <w:rFonts w:ascii="宋体" w:hAnsi="宋体"/>
          <w:b/>
          <w:color w:val="000000"/>
          <w:sz w:val="24"/>
          <w:szCs w:val="24"/>
        </w:rPr>
      </w:pPr>
      <w:r>
        <w:rPr>
          <w:rFonts w:hint="eastAsia" w:ascii="宋体" w:hAnsi="宋体"/>
          <w:b/>
          <w:color w:val="000000"/>
          <w:sz w:val="24"/>
          <w:szCs w:val="24"/>
        </w:rPr>
        <w:t>（4）比选报价轮次由评审小组视情况决定；</w:t>
      </w:r>
    </w:p>
    <w:p>
      <w:pPr>
        <w:tabs>
          <w:tab w:val="left" w:pos="945"/>
          <w:tab w:val="left" w:pos="1104"/>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（5）</w:t>
      </w:r>
      <w:r>
        <w:rPr>
          <w:rFonts w:ascii="宋体" w:hAnsi="宋体"/>
          <w:bCs/>
          <w:color w:val="000000"/>
          <w:sz w:val="24"/>
          <w:szCs w:val="24"/>
        </w:rPr>
        <w:t>在</w:t>
      </w:r>
      <w:r>
        <w:rPr>
          <w:rFonts w:hint="eastAsia" w:ascii="宋体" w:hAnsi="宋体"/>
          <w:bCs/>
          <w:color w:val="000000"/>
          <w:sz w:val="24"/>
          <w:szCs w:val="24"/>
        </w:rPr>
        <w:t>比选</w:t>
      </w:r>
      <w:r>
        <w:rPr>
          <w:rFonts w:ascii="宋体" w:hAnsi="宋体"/>
          <w:bCs/>
          <w:color w:val="000000"/>
          <w:sz w:val="24"/>
          <w:szCs w:val="24"/>
        </w:rPr>
        <w:t>过程中，</w:t>
      </w:r>
      <w:r>
        <w:rPr>
          <w:rFonts w:hint="eastAsia" w:ascii="宋体" w:hAnsi="宋体"/>
          <w:bCs/>
          <w:color w:val="000000"/>
          <w:sz w:val="24"/>
          <w:szCs w:val="24"/>
        </w:rPr>
        <w:t>评审</w:t>
      </w:r>
      <w:r>
        <w:rPr>
          <w:rFonts w:ascii="宋体" w:hAnsi="宋体"/>
          <w:bCs/>
          <w:color w:val="000000"/>
          <w:sz w:val="24"/>
          <w:szCs w:val="24"/>
        </w:rPr>
        <w:t>小组可以根据比选文件和</w:t>
      </w:r>
      <w:r>
        <w:rPr>
          <w:rFonts w:hint="eastAsia" w:ascii="宋体" w:hAnsi="宋体"/>
          <w:bCs/>
          <w:color w:val="000000"/>
          <w:sz w:val="24"/>
          <w:szCs w:val="24"/>
        </w:rPr>
        <w:t>比选</w:t>
      </w:r>
      <w:r>
        <w:rPr>
          <w:rFonts w:ascii="宋体" w:hAnsi="宋体"/>
          <w:bCs/>
          <w:color w:val="000000"/>
          <w:sz w:val="24"/>
          <w:szCs w:val="24"/>
        </w:rPr>
        <w:t>情况实质性变动采购需求中的技术、服务要求以及合同草案条款，但不得变动比选文件中的其他内容。对比选文件作出的实质性变动是比选文件的有效组成部分</w:t>
      </w:r>
      <w:r>
        <w:rPr>
          <w:rFonts w:hint="eastAsia" w:ascii="宋体" w:hAnsi="宋体"/>
          <w:bCs/>
          <w:color w:val="000000"/>
          <w:sz w:val="24"/>
          <w:szCs w:val="24"/>
        </w:rPr>
        <w:t>。如有实质性变动，评审小组将以书面形式通知所有参加比选的供应商。</w:t>
      </w:r>
      <w:r>
        <w:rPr>
          <w:rFonts w:ascii="宋体" w:hAnsi="宋体"/>
          <w:bCs/>
          <w:color w:val="000000"/>
          <w:sz w:val="24"/>
          <w:szCs w:val="24"/>
        </w:rPr>
        <w:t>供应商应当按照比选文件的变动情况和评审小组的要求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如有负偏离，将作为无效响应。</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3. 评审方法</w:t>
      </w:r>
    </w:p>
    <w:p>
      <w:pPr>
        <w:tabs>
          <w:tab w:val="left" w:pos="900"/>
        </w:tabs>
        <w:spacing w:line="360" w:lineRule="auto"/>
        <w:ind w:firstLine="477" w:firstLineChars="199"/>
        <w:rPr>
          <w:rFonts w:ascii="宋体" w:hAnsi="宋体"/>
          <w:sz w:val="24"/>
          <w:szCs w:val="24"/>
        </w:rPr>
      </w:pPr>
      <w:r>
        <w:rPr>
          <w:rFonts w:hint="eastAsia" w:ascii="宋体" w:hAnsi="宋体"/>
          <w:sz w:val="24"/>
          <w:szCs w:val="24"/>
        </w:rPr>
        <w:t>经评审小组确定最终采购需求和提交最后报价的供应商后，由评审小组采用综合评分法对提交最后报价的供应商的响应文件和最后报价进行综合评分。</w:t>
      </w:r>
    </w:p>
    <w:p>
      <w:pPr>
        <w:tabs>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评审小组遵循公平、公正、择优原则，独立按照评分标准分别评定供应商的分值；各供应商的评审得分为各评委所评定分值的平均值，并按高低顺序排列，响应文件满足比选文件全部实质性要求且按评审因素的量化指标评审得分最高的供应商排名第一，为中标单位。若评审</w:t>
      </w:r>
      <w:r>
        <w:rPr>
          <w:rFonts w:ascii="宋体" w:hAnsi="宋体"/>
          <w:bCs/>
          <w:color w:val="000000"/>
          <w:sz w:val="24"/>
          <w:szCs w:val="24"/>
        </w:rPr>
        <w:t>得分相同</w:t>
      </w:r>
      <w:r>
        <w:rPr>
          <w:rFonts w:hint="eastAsia" w:ascii="宋体" w:hAnsi="宋体"/>
          <w:bCs/>
          <w:color w:val="000000"/>
          <w:sz w:val="24"/>
          <w:szCs w:val="24"/>
        </w:rPr>
        <w:t>的</w:t>
      </w:r>
      <w:r>
        <w:rPr>
          <w:rFonts w:ascii="宋体" w:hAnsi="宋体"/>
          <w:bCs/>
          <w:color w:val="000000"/>
          <w:sz w:val="24"/>
          <w:szCs w:val="24"/>
        </w:rPr>
        <w:t>，按</w:t>
      </w:r>
      <w:r>
        <w:rPr>
          <w:rFonts w:hint="eastAsia" w:ascii="宋体" w:hAnsi="宋体"/>
          <w:bCs/>
          <w:color w:val="000000"/>
          <w:sz w:val="24"/>
          <w:szCs w:val="24"/>
        </w:rPr>
        <w:t>最后</w:t>
      </w:r>
      <w:r>
        <w:rPr>
          <w:rFonts w:ascii="宋体" w:hAnsi="宋体"/>
          <w:bCs/>
          <w:color w:val="000000"/>
          <w:sz w:val="24"/>
          <w:szCs w:val="24"/>
        </w:rPr>
        <w:t>报价由低到高顺序排列</w:t>
      </w:r>
      <w:r>
        <w:rPr>
          <w:rFonts w:hint="eastAsia" w:ascii="宋体" w:hAnsi="宋体"/>
          <w:bCs/>
          <w:color w:val="000000"/>
          <w:sz w:val="24"/>
          <w:szCs w:val="24"/>
        </w:rPr>
        <w:t>；评审</w:t>
      </w:r>
      <w:r>
        <w:rPr>
          <w:rFonts w:ascii="宋体" w:hAnsi="宋体"/>
          <w:bCs/>
          <w:color w:val="000000"/>
          <w:sz w:val="24"/>
          <w:szCs w:val="24"/>
        </w:rPr>
        <w:t>得分且</w:t>
      </w:r>
      <w:r>
        <w:rPr>
          <w:rFonts w:hint="eastAsia" w:ascii="宋体" w:hAnsi="宋体"/>
          <w:bCs/>
          <w:color w:val="000000"/>
          <w:sz w:val="24"/>
          <w:szCs w:val="24"/>
        </w:rPr>
        <w:t>最后</w:t>
      </w:r>
      <w:r>
        <w:rPr>
          <w:rFonts w:ascii="宋体" w:hAnsi="宋体"/>
          <w:bCs/>
          <w:color w:val="000000"/>
          <w:sz w:val="24"/>
          <w:szCs w:val="24"/>
        </w:rPr>
        <w:t>报价相同</w:t>
      </w:r>
      <w:r>
        <w:rPr>
          <w:rFonts w:hint="eastAsia" w:ascii="宋体" w:hAnsi="宋体"/>
          <w:bCs/>
          <w:color w:val="000000"/>
          <w:sz w:val="24"/>
          <w:szCs w:val="24"/>
        </w:rPr>
        <w:t>的</w:t>
      </w:r>
      <w:r>
        <w:rPr>
          <w:rFonts w:ascii="宋体" w:hAnsi="宋体"/>
          <w:bCs/>
          <w:color w:val="000000"/>
          <w:sz w:val="24"/>
          <w:szCs w:val="24"/>
        </w:rPr>
        <w:t>，</w:t>
      </w:r>
      <w:r>
        <w:rPr>
          <w:rFonts w:hint="eastAsia" w:ascii="宋体" w:hAnsi="宋体"/>
          <w:bCs/>
          <w:color w:val="000000"/>
          <w:sz w:val="24"/>
          <w:szCs w:val="24"/>
        </w:rPr>
        <w:t>按</w:t>
      </w:r>
      <w:r>
        <w:rPr>
          <w:rFonts w:ascii="宋体" w:hAnsi="宋体"/>
          <w:bCs/>
          <w:color w:val="000000"/>
          <w:sz w:val="24"/>
          <w:szCs w:val="24"/>
        </w:rPr>
        <w:t>技术指标优劣顺序排列</w:t>
      </w:r>
      <w:r>
        <w:rPr>
          <w:rFonts w:hint="eastAsia" w:ascii="宋体" w:hAnsi="宋体"/>
          <w:bCs/>
          <w:color w:val="000000"/>
          <w:sz w:val="24"/>
          <w:szCs w:val="24"/>
        </w:rPr>
        <w:t>。</w:t>
      </w:r>
    </w:p>
    <w:p>
      <w:pPr>
        <w:tabs>
          <w:tab w:val="left" w:pos="945"/>
        </w:tabs>
        <w:spacing w:line="360" w:lineRule="auto"/>
        <w:ind w:firstLine="480" w:firstLineChars="200"/>
        <w:rPr>
          <w:rFonts w:ascii="宋体" w:hAnsi="宋体"/>
          <w:bCs/>
          <w:color w:val="000000"/>
          <w:sz w:val="24"/>
        </w:rPr>
      </w:pPr>
      <w:r>
        <w:rPr>
          <w:rFonts w:hint="eastAsia" w:ascii="宋体" w:hAnsi="宋体"/>
          <w:bCs/>
          <w:color w:val="000000"/>
          <w:sz w:val="24"/>
        </w:rPr>
        <w:t>4. 评分标准</w:t>
      </w:r>
    </w:p>
    <w:p>
      <w:pPr>
        <w:tabs>
          <w:tab w:val="left" w:pos="945"/>
        </w:tabs>
        <w:spacing w:line="360" w:lineRule="auto"/>
        <w:ind w:firstLine="480" w:firstLineChars="200"/>
        <w:rPr>
          <w:rFonts w:ascii="宋体" w:hAnsi="宋体"/>
          <w:bCs/>
          <w:sz w:val="24"/>
        </w:rPr>
      </w:pPr>
      <w:r>
        <w:rPr>
          <w:rFonts w:hint="eastAsia" w:ascii="宋体" w:hAnsi="宋体"/>
          <w:bCs/>
          <w:sz w:val="24"/>
        </w:rPr>
        <w:t>详见第五章 评分标准。</w:t>
      </w:r>
    </w:p>
    <w:p>
      <w:pPr>
        <w:spacing w:line="360" w:lineRule="auto"/>
        <w:ind w:firstLine="482" w:firstLineChars="200"/>
        <w:rPr>
          <w:b/>
          <w:bCs/>
          <w:sz w:val="24"/>
          <w:szCs w:val="24"/>
        </w:rPr>
      </w:pPr>
      <w:r>
        <w:rPr>
          <w:rFonts w:hint="eastAsia"/>
          <w:b/>
          <w:bCs/>
          <w:sz w:val="24"/>
          <w:szCs w:val="24"/>
        </w:rPr>
        <w:t>九、确定中标供应商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评审小组根据比选文件规定的评审方法和评分标准进行评审，按比选文件的要求依法确定中标供应商。</w:t>
      </w:r>
    </w:p>
    <w:p>
      <w:pPr>
        <w:tabs>
          <w:tab w:val="left" w:pos="525"/>
          <w:tab w:val="left" w:pos="552"/>
          <w:tab w:val="left" w:pos="945"/>
        </w:tabs>
        <w:spacing w:line="360" w:lineRule="auto"/>
        <w:ind w:firstLine="480" w:firstLineChars="200"/>
        <w:rPr>
          <w:rFonts w:hint="eastAsia" w:ascii="宋体" w:hAnsi="宋体"/>
          <w:bCs/>
          <w:color w:val="000000"/>
          <w:sz w:val="24"/>
          <w:szCs w:val="24"/>
        </w:rPr>
      </w:pPr>
      <w:r>
        <w:rPr>
          <w:rFonts w:hint="eastAsia" w:ascii="宋体" w:hAnsi="宋体"/>
          <w:sz w:val="24"/>
        </w:rPr>
        <w:t>2. 采购代理机构</w:t>
      </w:r>
      <w:r>
        <w:rPr>
          <w:rFonts w:hint="eastAsia" w:ascii="宋体" w:hAnsi="宋体"/>
          <w:bCs/>
          <w:color w:val="000000"/>
          <w:sz w:val="24"/>
          <w:szCs w:val="24"/>
        </w:rPr>
        <w:t>将评审结果通知所有参加比选的未中标供应商。</w:t>
      </w:r>
      <w:r>
        <w:rPr>
          <w:rFonts w:hint="eastAsia" w:ascii="宋体" w:hAnsi="宋体"/>
          <w:sz w:val="24"/>
        </w:rPr>
        <w:t>采购代理机构</w:t>
      </w:r>
      <w:r>
        <w:rPr>
          <w:rFonts w:hint="eastAsia" w:ascii="宋体" w:hAnsi="宋体"/>
          <w:bCs/>
          <w:color w:val="000000"/>
          <w:sz w:val="24"/>
          <w:szCs w:val="24"/>
        </w:rPr>
        <w:t>和评审小组对未中标原因不做解释。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向中标供应商发中标通知书。</w:t>
      </w:r>
    </w:p>
    <w:p>
      <w:pPr>
        <w:tabs>
          <w:tab w:val="left" w:pos="525"/>
          <w:tab w:val="left" w:pos="552"/>
          <w:tab w:val="left" w:pos="945"/>
        </w:tabs>
        <w:spacing w:line="360" w:lineRule="auto"/>
        <w:ind w:firstLine="480" w:firstLineChars="200"/>
        <w:rPr>
          <w:rFonts w:ascii="宋体" w:hAnsi="宋体"/>
          <w:sz w:val="24"/>
        </w:rPr>
      </w:pPr>
      <w:r>
        <w:rPr>
          <w:rFonts w:hint="eastAsia" w:ascii="宋体" w:hAnsi="宋体"/>
          <w:sz w:val="24"/>
        </w:rPr>
        <w:t>4. 供应商提交的纸质响应文件将作为存档依据，不予退回。</w:t>
      </w:r>
    </w:p>
    <w:p>
      <w:pPr>
        <w:spacing w:line="360" w:lineRule="auto"/>
        <w:ind w:firstLine="482"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在比选采购中，出现下列情况之一的，本次采购活动终止：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sz w:val="24"/>
          <w:szCs w:val="24"/>
        </w:rPr>
        <w:t>因情况变化，不再符合规定的</w:t>
      </w:r>
      <w:r>
        <w:rPr>
          <w:rFonts w:hint="eastAsia" w:ascii="宋体" w:hAnsi="宋体"/>
          <w:bCs/>
          <w:sz w:val="24"/>
          <w:szCs w:val="24"/>
        </w:rPr>
        <w:t>比选</w:t>
      </w:r>
      <w:r>
        <w:rPr>
          <w:rFonts w:ascii="宋体" w:hAnsi="宋体"/>
          <w:bCs/>
          <w:sz w:val="24"/>
          <w:szCs w:val="24"/>
        </w:rPr>
        <w:t>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sz w:val="24"/>
          <w:szCs w:val="24"/>
        </w:rPr>
      </w:pPr>
      <w:r>
        <w:rPr>
          <w:rFonts w:hint="eastAsia" w:ascii="宋体" w:hAnsi="宋体"/>
          <w:bCs/>
          <w:color w:val="000000"/>
          <w:sz w:val="24"/>
          <w:szCs w:val="24"/>
        </w:rPr>
        <w:t xml:space="preserve">3. </w:t>
      </w:r>
      <w:r>
        <w:rPr>
          <w:rFonts w:ascii="宋体" w:hAnsi="宋体"/>
          <w:bCs/>
          <w:sz w:val="24"/>
          <w:szCs w:val="24"/>
        </w:rPr>
        <w:t>在采购过程中符合</w:t>
      </w:r>
      <w:r>
        <w:rPr>
          <w:rFonts w:hint="eastAsia" w:ascii="宋体" w:hAnsi="宋体"/>
          <w:bCs/>
          <w:sz w:val="24"/>
          <w:szCs w:val="24"/>
        </w:rPr>
        <w:t>比选</w:t>
      </w:r>
      <w:r>
        <w:rPr>
          <w:rFonts w:ascii="宋体" w:hAnsi="宋体"/>
          <w:bCs/>
          <w:sz w:val="24"/>
          <w:szCs w:val="24"/>
        </w:rPr>
        <w:t>要求的供应商或者报价未超过采购预算的供应商数量不符合法律法规要求的</w:t>
      </w:r>
      <w:r>
        <w:rPr>
          <w:rFonts w:hint="eastAsia" w:ascii="宋体" w:hAnsi="宋体"/>
          <w:bCs/>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4. 在采购活动中因重大变故，采购任务取消的。</w:t>
      </w:r>
    </w:p>
    <w:p>
      <w:pPr>
        <w:spacing w:line="360" w:lineRule="auto"/>
        <w:ind w:firstLine="482" w:firstLineChars="200"/>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采购人应当自中标通知书发出之日起三十日内，按照比选文件和中标供应商响应文件的约定，与中标供应商签订书面合同。所</w:t>
      </w:r>
      <w:r>
        <w:rPr>
          <w:rFonts w:hint="eastAsia" w:ascii="宋体" w:hAnsi="宋体"/>
          <w:bCs/>
          <w:color w:val="000000" w:themeColor="text1"/>
          <w:sz w:val="24"/>
          <w:szCs w:val="24"/>
          <w14:textFill>
            <w14:solidFill>
              <w14:schemeClr w14:val="tx1"/>
            </w14:solidFill>
          </w14:textFill>
        </w:rPr>
        <w:t>签订的合同不得对比选文件和</w:t>
      </w:r>
      <w:r>
        <w:rPr>
          <w:rFonts w:hint="eastAsia" w:ascii="宋体" w:hAnsi="宋体"/>
          <w:bCs/>
          <w:sz w:val="24"/>
          <w:szCs w:val="24"/>
        </w:rPr>
        <w:t>中标</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中标</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中标供应商</w:t>
      </w:r>
      <w:r>
        <w:rPr>
          <w:rFonts w:hint="eastAsia" w:ascii="宋体" w:hAnsi="宋体"/>
          <w:bCs/>
          <w:color w:val="000000" w:themeColor="text1"/>
          <w:sz w:val="24"/>
          <w:szCs w:val="24"/>
          <w14:textFill>
            <w14:solidFill>
              <w14:schemeClr w14:val="tx1"/>
            </w14:solidFill>
          </w14:textFill>
        </w:rPr>
        <w:t>私下订立背离合同实质性内容的协议。</w:t>
      </w:r>
      <w:r>
        <w:rPr>
          <w:rFonts w:hint="eastAsia" w:ascii="宋体" w:hAnsi="宋体"/>
          <w:bCs/>
          <w:sz w:val="24"/>
          <w:szCs w:val="24"/>
        </w:rPr>
        <w:t>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中标供应商</w:t>
      </w:r>
      <w:r>
        <w:rPr>
          <w:rFonts w:hint="eastAsia" w:ascii="宋体" w:hAnsi="宋体"/>
          <w:bCs/>
          <w:color w:val="000000" w:themeColor="text1"/>
          <w:sz w:val="24"/>
          <w:szCs w:val="24"/>
          <w14:textFill>
            <w14:solidFill>
              <w14:schemeClr w14:val="tx1"/>
            </w14:solidFill>
          </w14:textFill>
        </w:rPr>
        <w:t>非因不可抗力未履行比选文件、响应文件和合同规定的义务，一经查实，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请政府采购管理部门作出相应处理。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中标供应商向采购人交纳的履约保证金不超过政府采购合同金额的10%。收取履约保证金的，中标供应商须自成交通知书发出之日起十日内向采购人交纳履约保证金。采购人应当与中标供应商在采购合同中约定履约保证金退还的方式、时间、条件和不予退还的情形，明确逾期退还履约保证金的违约责任。履约保证金在项目验收合格后并按相关规定扣除处罚款后退还，不计利息。</w:t>
      </w:r>
    </w:p>
    <w:p>
      <w:pPr>
        <w:spacing w:line="360" w:lineRule="auto"/>
        <w:ind w:firstLine="482"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中标供应商有下列情形之一的，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未按照比选文件确定的事项签订合同，或者与采购人另行订立背离合同实质性内容的协议的；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color w:val="000000"/>
          <w:sz w:val="24"/>
          <w:szCs w:val="24"/>
        </w:rPr>
        <w:t xml:space="preserve">3. </w:t>
      </w:r>
      <w:r>
        <w:rPr>
          <w:rFonts w:hint="eastAsia" w:ascii="宋体" w:hAnsi="宋体"/>
          <w:bCs/>
          <w:color w:val="000000"/>
          <w:sz w:val="24"/>
          <w:szCs w:val="24"/>
        </w:rPr>
        <w:t>拒绝履行合同义务的。</w:t>
      </w:r>
    </w:p>
    <w:p>
      <w:pPr>
        <w:spacing w:line="360" w:lineRule="auto"/>
        <w:ind w:firstLine="482" w:firstLineChars="200"/>
        <w:rPr>
          <w:b/>
          <w:bCs/>
          <w:sz w:val="24"/>
          <w:szCs w:val="24"/>
        </w:rPr>
      </w:pPr>
      <w:r>
        <w:rPr>
          <w:rFonts w:hint="eastAsia"/>
          <w:b/>
          <w:bCs/>
          <w:sz w:val="24"/>
          <w:szCs w:val="24"/>
        </w:rPr>
        <w:t>十三、成交服务费</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1.采购代理服务费收费标准为：</w:t>
      </w:r>
    </w:p>
    <w:tbl>
      <w:tblPr>
        <w:tblStyle w:val="32"/>
        <w:tblW w:w="6500" w:type="dxa"/>
        <w:jc w:val="center"/>
        <w:tblLayout w:type="autofit"/>
        <w:tblCellMar>
          <w:top w:w="0" w:type="dxa"/>
          <w:left w:w="108" w:type="dxa"/>
          <w:bottom w:w="0" w:type="dxa"/>
          <w:right w:w="108" w:type="dxa"/>
        </w:tblCellMar>
      </w:tblPr>
      <w:tblGrid>
        <w:gridCol w:w="3400"/>
        <w:gridCol w:w="3100"/>
      </w:tblGrid>
      <w:tr>
        <w:tblPrEx>
          <w:tblCellMar>
            <w:top w:w="0" w:type="dxa"/>
            <w:left w:w="108" w:type="dxa"/>
            <w:bottom w:w="0" w:type="dxa"/>
            <w:right w:w="108" w:type="dxa"/>
          </w:tblCellMar>
        </w:tblPrEx>
        <w:trPr>
          <w:trHeight w:val="600" w:hRule="atLeast"/>
          <w:jc w:val="center"/>
        </w:trPr>
        <w:tc>
          <w:tcPr>
            <w:tcW w:w="3400" w:type="dxa"/>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费率</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中标金额（万元）</w:t>
            </w:r>
          </w:p>
        </w:tc>
        <w:tc>
          <w:tcPr>
            <w:tcW w:w="3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w:t>
            </w:r>
          </w:p>
        </w:tc>
      </w:tr>
      <w:tr>
        <w:tblPrEx>
          <w:tblCellMar>
            <w:top w:w="0" w:type="dxa"/>
            <w:left w:w="108" w:type="dxa"/>
            <w:bottom w:w="0" w:type="dxa"/>
            <w:right w:w="108" w:type="dxa"/>
          </w:tblCellMar>
        </w:tblPrEx>
        <w:trPr>
          <w:trHeight w:val="600" w:hRule="atLeast"/>
          <w:jc w:val="center"/>
        </w:trPr>
        <w:tc>
          <w:tcPr>
            <w:tcW w:w="3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3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99" w:hRule="atLeast"/>
          <w:jc w:val="center"/>
        </w:trPr>
        <w:tc>
          <w:tcPr>
            <w:tcW w:w="34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100以下</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r>
      <w:tr>
        <w:tblPrEx>
          <w:tblCellMar>
            <w:top w:w="0" w:type="dxa"/>
            <w:left w:w="108" w:type="dxa"/>
            <w:bottom w:w="0" w:type="dxa"/>
            <w:right w:w="108" w:type="dxa"/>
          </w:tblCellMar>
        </w:tblPrEx>
        <w:trPr>
          <w:trHeight w:val="499" w:hRule="atLeast"/>
          <w:jc w:val="center"/>
        </w:trPr>
        <w:tc>
          <w:tcPr>
            <w:tcW w:w="34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100-500</w:t>
            </w:r>
          </w:p>
        </w:tc>
        <w:tc>
          <w:tcPr>
            <w:tcW w:w="3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0.80%</w:t>
            </w:r>
          </w:p>
        </w:tc>
      </w:tr>
    </w:tbl>
    <w:p>
      <w:pPr>
        <w:tabs>
          <w:tab w:val="left" w:pos="510"/>
          <w:tab w:val="left" w:pos="735"/>
          <w:tab w:val="left" w:pos="945"/>
          <w:tab w:val="left" w:pos="1155"/>
        </w:tabs>
        <w:spacing w:line="360" w:lineRule="auto"/>
        <w:ind w:firstLine="482" w:firstLineChars="200"/>
        <w:rPr>
          <w:rFonts w:ascii="宋体" w:hAnsi="宋体" w:eastAsia="宋体"/>
          <w:bCs/>
          <w:sz w:val="24"/>
          <w:szCs w:val="24"/>
        </w:rPr>
      </w:pPr>
      <w:r>
        <w:rPr>
          <w:rFonts w:hint="eastAsia" w:ascii="宋体" w:hAnsi="宋体" w:eastAsia="宋体"/>
          <w:b/>
          <w:bCs/>
          <w:sz w:val="24"/>
        </w:rPr>
        <w:t>备注：</w:t>
      </w:r>
      <w:r>
        <w:rPr>
          <w:rFonts w:hint="eastAsia" w:ascii="宋体" w:hAnsi="宋体" w:eastAsia="宋体"/>
          <w:sz w:val="24"/>
        </w:rPr>
        <w:t>收费比例按差额定率累进法计算</w:t>
      </w:r>
      <w:r>
        <w:rPr>
          <w:rFonts w:hint="eastAsia" w:ascii="宋体" w:hAnsi="宋体" w:eastAsia="宋体"/>
          <w:b/>
          <w:bCs/>
          <w:sz w:val="24"/>
        </w:rPr>
        <w:t>，</w:t>
      </w:r>
      <w:r>
        <w:rPr>
          <w:rFonts w:hint="eastAsia" w:ascii="宋体" w:hAnsi="宋体" w:eastAsia="宋体"/>
          <w:sz w:val="24"/>
        </w:rPr>
        <w:t>采购</w:t>
      </w:r>
      <w:r>
        <w:rPr>
          <w:rFonts w:ascii="宋体" w:hAnsi="宋体" w:eastAsia="宋体"/>
          <w:sz w:val="24"/>
        </w:rPr>
        <w:t>代理服务</w:t>
      </w:r>
      <w:r>
        <w:rPr>
          <w:rFonts w:hint="eastAsia" w:ascii="宋体" w:hAnsi="宋体" w:eastAsia="宋体"/>
          <w:sz w:val="24"/>
        </w:rPr>
        <w:t>费</w:t>
      </w:r>
      <w:r>
        <w:rPr>
          <w:rFonts w:ascii="宋体" w:hAnsi="宋体" w:eastAsia="宋体"/>
          <w:sz w:val="24"/>
        </w:rPr>
        <w:t>收费按上述计算方法不足人民币3000元的，按人民币3000元收取</w:t>
      </w:r>
      <w:r>
        <w:rPr>
          <w:rFonts w:hint="eastAsia" w:ascii="宋体" w:hAnsi="宋体" w:eastAsia="宋体"/>
          <w:sz w:val="24"/>
        </w:rPr>
        <w:t>。按年收费的项目代理服务费按服务期限*年服务费收取。专家评审费按有关规定收取。</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2. 中标供应商领取成交通知书时须向常州中采招投标有限公司交纳采购代理服务费。</w:t>
      </w:r>
    </w:p>
    <w:p>
      <w:pPr>
        <w:tabs>
          <w:tab w:val="left" w:pos="735"/>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735"/>
          <w:tab w:val="left" w:pos="945"/>
          <w:tab w:val="left" w:pos="1155"/>
        </w:tabs>
        <w:spacing w:line="360" w:lineRule="auto"/>
        <w:ind w:left="851" w:firstLine="240" w:firstLineChars="100"/>
        <w:rPr>
          <w:rFonts w:ascii="宋体" w:hAnsi="宋体"/>
          <w:bCs/>
          <w:sz w:val="24"/>
          <w:szCs w:val="24"/>
        </w:rPr>
      </w:pPr>
      <w:r>
        <w:rPr>
          <w:rFonts w:hint="eastAsia" w:ascii="宋体" w:hAnsi="宋体"/>
          <w:bCs/>
          <w:sz w:val="24"/>
          <w:szCs w:val="24"/>
        </w:rPr>
        <w:t>单位名称：常州中采招投标有限公司</w:t>
      </w:r>
    </w:p>
    <w:p>
      <w:pPr>
        <w:tabs>
          <w:tab w:val="left" w:pos="735"/>
          <w:tab w:val="left" w:pos="945"/>
          <w:tab w:val="left" w:pos="1155"/>
        </w:tabs>
        <w:spacing w:line="360" w:lineRule="auto"/>
        <w:ind w:left="851" w:firstLine="240" w:firstLineChars="1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left="851" w:firstLine="240" w:firstLineChars="100"/>
        <w:rPr>
          <w:rFonts w:ascii="宋体" w:hAnsi="宋体"/>
          <w:bCs/>
          <w:sz w:val="24"/>
          <w:szCs w:val="24"/>
        </w:rPr>
      </w:pPr>
      <w:r>
        <w:rPr>
          <w:rFonts w:hint="eastAsia" w:ascii="宋体" w:hAnsi="宋体"/>
          <w:bCs/>
          <w:sz w:val="24"/>
          <w:szCs w:val="24"/>
        </w:rPr>
        <w:t>开户行：建行常州惠民支行</w:t>
      </w:r>
    </w:p>
    <w:p>
      <w:pPr>
        <w:widowControl/>
        <w:jc w:val="left"/>
        <w:rPr>
          <w:rFonts w:ascii="宋体" w:hAnsi="宋体"/>
          <w:bCs/>
          <w:sz w:val="24"/>
          <w:szCs w:val="24"/>
        </w:rPr>
      </w:pPr>
    </w:p>
    <w:p>
      <w:pPr>
        <w:widowControl/>
        <w:jc w:val="left"/>
        <w:rPr>
          <w:rFonts w:ascii="宋体" w:hAnsi="宋体"/>
          <w:bCs/>
          <w:sz w:val="24"/>
          <w:szCs w:val="24"/>
        </w:rPr>
      </w:pPr>
    </w:p>
    <w:p>
      <w:pPr>
        <w:widowControl/>
        <w:jc w:val="left"/>
        <w:rPr>
          <w:rFonts w:ascii="宋体" w:hAnsi="宋体"/>
          <w:bCs/>
          <w:sz w:val="24"/>
          <w:szCs w:val="24"/>
        </w:rPr>
      </w:pPr>
      <w:r>
        <w:rPr>
          <w:rFonts w:ascii="宋体" w:hAnsi="宋体"/>
          <w:bCs/>
          <w:sz w:val="24"/>
          <w:szCs w:val="24"/>
        </w:rPr>
        <w:br w:type="page"/>
      </w:r>
    </w:p>
    <w:p>
      <w:pPr>
        <w:pStyle w:val="122"/>
      </w:pPr>
      <w:bookmarkStart w:id="44" w:name="_Toc55147047"/>
      <w:bookmarkStart w:id="45" w:name="_Toc70403687"/>
      <w:r>
        <w:rPr>
          <w:rFonts w:hint="eastAsia"/>
        </w:rPr>
        <w:t>三．项目技术要求和有关说明</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rPr>
      </w:pPr>
      <w:bookmarkStart w:id="46" w:name="OLE_LINK2"/>
      <w:r>
        <w:rPr>
          <w:rFonts w:hint="eastAsia"/>
          <w:b/>
          <w:bCs/>
          <w:sz w:val="24"/>
          <w:szCs w:val="24"/>
        </w:rPr>
        <w:t>一、项目概况</w:t>
      </w:r>
    </w:p>
    <w:bookmarkEnd w:id="46"/>
    <w:p>
      <w:pPr>
        <w:keepNext w:val="0"/>
        <w:keepLines w:val="0"/>
        <w:pageBreakBefore w:val="0"/>
        <w:widowControl w:val="0"/>
        <w:tabs>
          <w:tab w:val="left" w:pos="510"/>
          <w:tab w:val="left" w:pos="735"/>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百馨苑（南区）</w:t>
      </w:r>
      <w:r>
        <w:rPr>
          <w:rFonts w:hint="eastAsia" w:ascii="宋体" w:hAnsi="宋体" w:eastAsia="宋体"/>
          <w:sz w:val="24"/>
        </w:rPr>
        <w:t>54幢住宅，总建筑面积为242000㎡，2个出入口</w:t>
      </w:r>
      <w:r>
        <w:rPr>
          <w:rFonts w:hint="eastAsia" w:ascii="宋体" w:hAnsi="宋体" w:eastAsia="宋体"/>
          <w:sz w:val="24"/>
          <w:lang w:eastAsia="zh-CN"/>
        </w:rPr>
        <w:t>。（</w:t>
      </w:r>
      <w:r>
        <w:rPr>
          <w:rFonts w:hint="eastAsia" w:ascii="宋体" w:hAnsi="宋体" w:eastAsia="宋体"/>
          <w:sz w:val="24"/>
          <w:lang w:val="en-US" w:eastAsia="zh-CN"/>
        </w:rPr>
        <w:t>详见下表</w:t>
      </w:r>
      <w:r>
        <w:rPr>
          <w:rFonts w:hint="eastAsia" w:ascii="宋体" w:hAnsi="宋体" w:eastAsia="宋体"/>
          <w:sz w:val="24"/>
          <w:lang w:eastAsia="zh-CN"/>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289"/>
        <w:gridCol w:w="206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center"/>
          </w:tcPr>
          <w:p>
            <w:pPr>
              <w:snapToGrid w:val="0"/>
              <w:spacing w:line="276" w:lineRule="auto"/>
              <w:jc w:val="center"/>
              <w:rPr>
                <w:rFonts w:ascii="宋体" w:hAnsi="宋体" w:eastAsia="宋体"/>
                <w:sz w:val="24"/>
                <w:highlight w:val="yellow"/>
              </w:rPr>
            </w:pPr>
            <w:r>
              <w:rPr>
                <w:rFonts w:hint="eastAsia"/>
                <w:b/>
                <w:bCs/>
                <w:szCs w:val="21"/>
                <w:lang w:eastAsia="zh-CN"/>
              </w:rPr>
              <w:t>百馨苑（南区）</w:t>
            </w:r>
            <w:r>
              <w:rPr>
                <w:rFonts w:hint="eastAsia"/>
                <w:b/>
                <w:bCs/>
                <w:szCs w:val="21"/>
              </w:rPr>
              <w:t>项目总体基本情况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snapToGrid w:val="0"/>
              <w:spacing w:line="276" w:lineRule="auto"/>
              <w:jc w:val="center"/>
              <w:rPr>
                <w:rFonts w:ascii="宋体" w:hAnsi="宋体" w:eastAsia="宋体"/>
                <w:sz w:val="24"/>
                <w:highlight w:val="yellow"/>
              </w:rPr>
            </w:pPr>
            <w:r>
              <w:rPr>
                <w:rFonts w:hint="eastAsia"/>
                <w:szCs w:val="21"/>
              </w:rPr>
              <w:t>小区总用地面积</w:t>
            </w:r>
          </w:p>
        </w:tc>
        <w:tc>
          <w:tcPr>
            <w:tcW w:w="2289" w:type="dxa"/>
            <w:vAlign w:val="center"/>
          </w:tcPr>
          <w:p>
            <w:pPr>
              <w:snapToGrid w:val="0"/>
              <w:spacing w:line="276" w:lineRule="auto"/>
              <w:ind w:leftChars="-1" w:hanging="2" w:hangingChars="1"/>
              <w:jc w:val="center"/>
              <w:rPr>
                <w:rFonts w:ascii="宋体" w:hAnsi="宋体" w:eastAsia="宋体"/>
                <w:sz w:val="24"/>
                <w:highlight w:val="yellow"/>
              </w:rPr>
            </w:pPr>
            <w:r>
              <w:rPr>
                <w:rFonts w:hint="eastAsia"/>
                <w:szCs w:val="21"/>
              </w:rPr>
              <w:t>公顷</w:t>
            </w:r>
          </w:p>
        </w:tc>
        <w:tc>
          <w:tcPr>
            <w:tcW w:w="2064" w:type="dxa"/>
            <w:vAlign w:val="center"/>
          </w:tcPr>
          <w:p>
            <w:pPr>
              <w:snapToGrid w:val="0"/>
              <w:spacing w:line="276" w:lineRule="auto"/>
              <w:jc w:val="center"/>
              <w:rPr>
                <w:rFonts w:ascii="宋体" w:hAnsi="宋体" w:eastAsia="宋体"/>
                <w:sz w:val="24"/>
                <w:highlight w:val="yellow"/>
              </w:rPr>
            </w:pPr>
            <w:r>
              <w:rPr>
                <w:rFonts w:hint="eastAsia"/>
                <w:szCs w:val="21"/>
              </w:rPr>
              <w:t>总建筑面积</w:t>
            </w:r>
          </w:p>
        </w:tc>
        <w:tc>
          <w:tcPr>
            <w:tcW w:w="2102" w:type="dxa"/>
            <w:vAlign w:val="center"/>
          </w:tcPr>
          <w:p>
            <w:pPr>
              <w:snapToGrid w:val="0"/>
              <w:spacing w:line="276" w:lineRule="auto"/>
              <w:ind w:left="8" w:leftChars="-22" w:hanging="54" w:hangingChars="26"/>
              <w:jc w:val="center"/>
              <w:rPr>
                <w:rFonts w:ascii="宋体" w:hAnsi="宋体" w:eastAsia="宋体"/>
                <w:sz w:val="24"/>
                <w:highlight w:val="yellow"/>
              </w:rPr>
            </w:pPr>
            <w:r>
              <w:rPr>
                <w:rFonts w:hint="eastAsia"/>
                <w:szCs w:val="21"/>
              </w:rPr>
              <w:t>24.2万㎡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snapToGrid w:val="0"/>
              <w:spacing w:line="276" w:lineRule="auto"/>
              <w:jc w:val="center"/>
              <w:rPr>
                <w:rFonts w:ascii="宋体" w:hAnsi="宋体" w:eastAsia="宋体"/>
                <w:sz w:val="24"/>
                <w:highlight w:val="yellow"/>
              </w:rPr>
            </w:pPr>
            <w:r>
              <w:rPr>
                <w:rFonts w:hint="eastAsia"/>
                <w:szCs w:val="21"/>
              </w:rPr>
              <w:t>地上建筑面积</w:t>
            </w:r>
          </w:p>
        </w:tc>
        <w:tc>
          <w:tcPr>
            <w:tcW w:w="2289" w:type="dxa"/>
            <w:vAlign w:val="center"/>
          </w:tcPr>
          <w:p>
            <w:pPr>
              <w:snapToGrid w:val="0"/>
              <w:spacing w:line="276" w:lineRule="auto"/>
              <w:ind w:leftChars="-1" w:hanging="2" w:hangingChars="1"/>
              <w:jc w:val="center"/>
              <w:rPr>
                <w:rFonts w:ascii="宋体" w:hAnsi="宋体" w:eastAsia="宋体"/>
                <w:sz w:val="24"/>
                <w:highlight w:val="yellow"/>
              </w:rPr>
            </w:pPr>
            <w:r>
              <w:rPr>
                <w:szCs w:val="21"/>
                <w:u w:val="single"/>
              </w:rPr>
              <w:t>/</w:t>
            </w:r>
            <w:r>
              <w:rPr>
                <w:rFonts w:hint="eastAsia"/>
                <w:szCs w:val="21"/>
              </w:rPr>
              <w:t>㎡</w:t>
            </w:r>
          </w:p>
        </w:tc>
        <w:tc>
          <w:tcPr>
            <w:tcW w:w="2064" w:type="dxa"/>
            <w:vAlign w:val="center"/>
          </w:tcPr>
          <w:p>
            <w:pPr>
              <w:snapToGrid w:val="0"/>
              <w:spacing w:line="276" w:lineRule="auto"/>
              <w:jc w:val="center"/>
              <w:rPr>
                <w:rFonts w:ascii="宋体" w:hAnsi="宋体" w:eastAsia="宋体"/>
                <w:sz w:val="24"/>
                <w:highlight w:val="yellow"/>
              </w:rPr>
            </w:pPr>
            <w:r>
              <w:rPr>
                <w:rFonts w:hint="eastAsia"/>
                <w:szCs w:val="21"/>
              </w:rPr>
              <w:t>地下建筑面积</w:t>
            </w:r>
          </w:p>
        </w:tc>
        <w:tc>
          <w:tcPr>
            <w:tcW w:w="2102" w:type="dxa"/>
            <w:vAlign w:val="center"/>
          </w:tcPr>
          <w:p>
            <w:pPr>
              <w:snapToGrid w:val="0"/>
              <w:spacing w:line="276" w:lineRule="auto"/>
              <w:ind w:left="8" w:leftChars="-22" w:hanging="54" w:hangingChars="26"/>
              <w:jc w:val="center"/>
              <w:rPr>
                <w:rFonts w:ascii="宋体" w:hAnsi="宋体" w:eastAsia="宋体"/>
                <w:sz w:val="24"/>
                <w:highlight w:val="yellow"/>
              </w:rPr>
            </w:pPr>
            <w:r>
              <w:rPr>
                <w:rFonts w:hint="eastAsia"/>
                <w:szCs w:val="21"/>
                <w:u w:val="single"/>
              </w:rPr>
              <w:t>2.95万</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snapToGrid w:val="0"/>
              <w:spacing w:line="276" w:lineRule="auto"/>
              <w:jc w:val="center"/>
              <w:rPr>
                <w:rFonts w:ascii="宋体" w:hAnsi="宋体" w:eastAsia="宋体"/>
                <w:sz w:val="24"/>
                <w:highlight w:val="yellow"/>
              </w:rPr>
            </w:pPr>
            <w:r>
              <w:rPr>
                <w:rFonts w:hint="eastAsia"/>
                <w:szCs w:val="21"/>
              </w:rPr>
              <w:t>住宅建筑面积</w:t>
            </w:r>
          </w:p>
        </w:tc>
        <w:tc>
          <w:tcPr>
            <w:tcW w:w="2289" w:type="dxa"/>
            <w:vAlign w:val="center"/>
          </w:tcPr>
          <w:p>
            <w:pPr>
              <w:snapToGrid w:val="0"/>
              <w:spacing w:line="276" w:lineRule="auto"/>
              <w:ind w:leftChars="-1" w:hanging="2" w:hangingChars="1"/>
              <w:jc w:val="center"/>
              <w:rPr>
                <w:rFonts w:ascii="宋体" w:hAnsi="宋体" w:eastAsia="宋体"/>
                <w:sz w:val="24"/>
                <w:highlight w:val="yellow"/>
              </w:rPr>
            </w:pPr>
            <w:r>
              <w:rPr>
                <w:rFonts w:hint="eastAsia"/>
                <w:szCs w:val="21"/>
              </w:rPr>
              <w:t>21.7万㎡</w:t>
            </w:r>
          </w:p>
        </w:tc>
        <w:tc>
          <w:tcPr>
            <w:tcW w:w="2064" w:type="dxa"/>
            <w:vAlign w:val="center"/>
          </w:tcPr>
          <w:p>
            <w:pPr>
              <w:snapToGrid w:val="0"/>
              <w:spacing w:line="276" w:lineRule="auto"/>
              <w:jc w:val="center"/>
              <w:rPr>
                <w:rFonts w:ascii="宋体" w:hAnsi="宋体" w:eastAsia="宋体"/>
                <w:sz w:val="24"/>
                <w:highlight w:val="yellow"/>
              </w:rPr>
            </w:pPr>
            <w:r>
              <w:rPr>
                <w:rFonts w:hint="eastAsia"/>
                <w:szCs w:val="21"/>
              </w:rPr>
              <w:t>住宅居住宅区户数</w:t>
            </w:r>
          </w:p>
        </w:tc>
        <w:tc>
          <w:tcPr>
            <w:tcW w:w="2102" w:type="dxa"/>
            <w:vAlign w:val="center"/>
          </w:tcPr>
          <w:p>
            <w:pPr>
              <w:snapToGrid w:val="0"/>
              <w:spacing w:line="276" w:lineRule="auto"/>
              <w:ind w:left="8" w:leftChars="-22" w:hanging="54" w:hangingChars="26"/>
              <w:jc w:val="center"/>
              <w:rPr>
                <w:rFonts w:ascii="宋体" w:hAnsi="宋体" w:eastAsia="宋体"/>
                <w:sz w:val="24"/>
                <w:highlight w:val="yellow"/>
              </w:rPr>
            </w:pPr>
            <w:r>
              <w:rPr>
                <w:rFonts w:hint="eastAsia"/>
                <w:szCs w:val="21"/>
              </w:rPr>
              <w:t>1585（户）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snapToGrid w:val="0"/>
              <w:spacing w:line="276" w:lineRule="auto"/>
              <w:jc w:val="center"/>
              <w:rPr>
                <w:rFonts w:ascii="宋体" w:hAnsi="宋体" w:eastAsia="宋体"/>
                <w:sz w:val="24"/>
                <w:highlight w:val="yellow"/>
              </w:rPr>
            </w:pPr>
            <w:r>
              <w:rPr>
                <w:rFonts w:hint="eastAsia"/>
                <w:szCs w:val="21"/>
              </w:rPr>
              <w:t>住宅楼幢数</w:t>
            </w:r>
          </w:p>
        </w:tc>
        <w:tc>
          <w:tcPr>
            <w:tcW w:w="2289" w:type="dxa"/>
            <w:vAlign w:val="center"/>
          </w:tcPr>
          <w:p>
            <w:pPr>
              <w:snapToGrid w:val="0"/>
              <w:spacing w:line="276" w:lineRule="auto"/>
              <w:ind w:leftChars="-1" w:hanging="2" w:hangingChars="1"/>
              <w:jc w:val="center"/>
              <w:rPr>
                <w:rFonts w:ascii="宋体" w:hAnsi="宋体" w:eastAsia="宋体"/>
                <w:sz w:val="24"/>
                <w:highlight w:val="yellow"/>
              </w:rPr>
            </w:pPr>
            <w:r>
              <w:rPr>
                <w:rFonts w:hint="eastAsia"/>
                <w:szCs w:val="21"/>
              </w:rPr>
              <w:t>54（幢）</w:t>
            </w:r>
          </w:p>
        </w:tc>
        <w:tc>
          <w:tcPr>
            <w:tcW w:w="2064" w:type="dxa"/>
            <w:vAlign w:val="center"/>
          </w:tcPr>
          <w:p>
            <w:pPr>
              <w:snapToGrid w:val="0"/>
              <w:spacing w:line="276" w:lineRule="auto"/>
              <w:jc w:val="center"/>
              <w:rPr>
                <w:rFonts w:ascii="宋体" w:hAnsi="宋体" w:eastAsia="宋体"/>
                <w:sz w:val="24"/>
                <w:highlight w:val="yellow"/>
              </w:rPr>
            </w:pPr>
            <w:r>
              <w:rPr>
                <w:rFonts w:hint="eastAsia"/>
                <w:szCs w:val="21"/>
              </w:rPr>
              <w:t>住宅楼楼道面积</w:t>
            </w:r>
          </w:p>
        </w:tc>
        <w:tc>
          <w:tcPr>
            <w:tcW w:w="2102" w:type="dxa"/>
            <w:vAlign w:val="center"/>
          </w:tcPr>
          <w:p>
            <w:pPr>
              <w:snapToGrid w:val="0"/>
              <w:spacing w:line="276" w:lineRule="auto"/>
              <w:ind w:left="16" w:leftChars="-22" w:hanging="62" w:hangingChars="26"/>
              <w:jc w:val="center"/>
              <w:rPr>
                <w:rFonts w:ascii="宋体" w:hAnsi="宋体" w:eastAsia="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snapToGrid w:val="0"/>
              <w:spacing w:line="276" w:lineRule="auto"/>
              <w:jc w:val="center"/>
              <w:rPr>
                <w:rFonts w:ascii="宋体" w:hAnsi="宋体" w:eastAsia="宋体"/>
                <w:sz w:val="24"/>
                <w:highlight w:val="yellow"/>
              </w:rPr>
            </w:pPr>
            <w:r>
              <w:rPr>
                <w:rFonts w:hint="eastAsia"/>
                <w:szCs w:val="21"/>
              </w:rPr>
              <w:t>商铺建筑面积</w:t>
            </w:r>
          </w:p>
        </w:tc>
        <w:tc>
          <w:tcPr>
            <w:tcW w:w="2289" w:type="dxa"/>
            <w:vAlign w:val="center"/>
          </w:tcPr>
          <w:p>
            <w:pPr>
              <w:snapToGrid w:val="0"/>
              <w:spacing w:line="276" w:lineRule="auto"/>
              <w:ind w:leftChars="-1" w:hanging="2" w:hangingChars="1"/>
              <w:jc w:val="center"/>
              <w:rPr>
                <w:rFonts w:ascii="宋体" w:hAnsi="宋体" w:eastAsia="宋体"/>
                <w:sz w:val="24"/>
                <w:highlight w:val="yellow"/>
              </w:rPr>
            </w:pPr>
            <w:r>
              <w:rPr>
                <w:rFonts w:hint="eastAsia"/>
                <w:szCs w:val="21"/>
              </w:rPr>
              <w:t>（㎡）</w:t>
            </w:r>
          </w:p>
        </w:tc>
        <w:tc>
          <w:tcPr>
            <w:tcW w:w="2064" w:type="dxa"/>
            <w:vAlign w:val="center"/>
          </w:tcPr>
          <w:p>
            <w:pPr>
              <w:snapToGrid w:val="0"/>
              <w:spacing w:line="276" w:lineRule="auto"/>
              <w:jc w:val="center"/>
              <w:rPr>
                <w:rFonts w:ascii="宋体" w:hAnsi="宋体" w:eastAsia="宋体"/>
                <w:sz w:val="24"/>
                <w:highlight w:val="yellow"/>
              </w:rPr>
            </w:pPr>
            <w:r>
              <w:rPr>
                <w:rFonts w:hint="eastAsia"/>
                <w:szCs w:val="21"/>
              </w:rPr>
              <w:t>封闭情况</w:t>
            </w:r>
          </w:p>
        </w:tc>
        <w:tc>
          <w:tcPr>
            <w:tcW w:w="2102" w:type="dxa"/>
            <w:vAlign w:val="center"/>
          </w:tcPr>
          <w:p>
            <w:pPr>
              <w:snapToGrid w:val="0"/>
              <w:spacing w:line="276" w:lineRule="auto"/>
              <w:ind w:left="8" w:leftChars="-22" w:hanging="54" w:hangingChars="26"/>
              <w:jc w:val="center"/>
              <w:rPr>
                <w:rFonts w:ascii="宋体" w:hAnsi="宋体" w:eastAsia="宋体"/>
                <w:sz w:val="24"/>
                <w:highlight w:val="yellow"/>
              </w:rPr>
            </w:pPr>
            <w:r>
              <w:rPr>
                <w:rFonts w:hint="eastAsia"/>
                <w:szCs w:val="21"/>
              </w:rPr>
              <w:t>2个出入口(北门.南门）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6" w:type="dxa"/>
            <w:gridSpan w:val="2"/>
            <w:vAlign w:val="center"/>
          </w:tcPr>
          <w:p>
            <w:pPr>
              <w:snapToGrid w:val="0"/>
              <w:spacing w:line="276" w:lineRule="auto"/>
              <w:jc w:val="center"/>
              <w:rPr>
                <w:rFonts w:ascii="宋体" w:hAnsi="宋体" w:eastAsia="宋体"/>
                <w:sz w:val="24"/>
                <w:highlight w:val="yellow"/>
              </w:rPr>
            </w:pPr>
            <w:r>
              <w:rPr>
                <w:rFonts w:hint="eastAsia"/>
                <w:szCs w:val="21"/>
              </w:rPr>
              <w:t>结构类型、层数、单元数</w:t>
            </w:r>
          </w:p>
        </w:tc>
        <w:tc>
          <w:tcPr>
            <w:tcW w:w="4166" w:type="dxa"/>
            <w:gridSpan w:val="2"/>
            <w:vAlign w:val="center"/>
          </w:tcPr>
          <w:p>
            <w:pPr>
              <w:snapToGrid w:val="0"/>
              <w:spacing w:line="276" w:lineRule="auto"/>
              <w:jc w:val="center"/>
              <w:rPr>
                <w:rFonts w:ascii="宋体" w:hAnsi="宋体" w:eastAsia="宋体"/>
                <w:sz w:val="24"/>
                <w:highlight w:val="yellow"/>
              </w:rPr>
            </w:pPr>
            <w:r>
              <w:rPr>
                <w:rFonts w:hint="eastAsia"/>
                <w:szCs w:val="21"/>
              </w:rPr>
              <w:t>见下表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6" w:type="dxa"/>
            <w:gridSpan w:val="2"/>
            <w:vAlign w:val="center"/>
          </w:tcPr>
          <w:p>
            <w:pPr>
              <w:snapToGrid w:val="0"/>
              <w:spacing w:line="276" w:lineRule="auto"/>
              <w:jc w:val="center"/>
              <w:rPr>
                <w:rFonts w:ascii="宋体" w:hAnsi="宋体" w:eastAsia="宋体"/>
                <w:sz w:val="24"/>
                <w:highlight w:val="yellow"/>
              </w:rPr>
            </w:pPr>
            <w:r>
              <w:rPr>
                <w:rFonts w:hint="eastAsia"/>
                <w:szCs w:val="21"/>
              </w:rPr>
              <w:t>公共走道、楼梯、电梯厅装修标准</w:t>
            </w:r>
          </w:p>
        </w:tc>
        <w:tc>
          <w:tcPr>
            <w:tcW w:w="4166" w:type="dxa"/>
            <w:gridSpan w:val="2"/>
            <w:vAlign w:val="center"/>
          </w:tcPr>
          <w:p>
            <w:pPr>
              <w:snapToGrid w:val="0"/>
              <w:spacing w:line="276" w:lineRule="auto"/>
              <w:jc w:val="center"/>
              <w:rPr>
                <w:rFonts w:ascii="宋体" w:hAnsi="宋体" w:eastAsia="宋体"/>
                <w:sz w:val="24"/>
                <w:highlight w:val="yellow"/>
              </w:rPr>
            </w:pPr>
            <w:r>
              <w:rPr>
                <w:rFonts w:hint="eastAsia"/>
                <w:szCs w:val="21"/>
              </w:rPr>
              <w:t>地砖、涂料无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vAlign w:val="center"/>
          </w:tcPr>
          <w:p>
            <w:pPr>
              <w:snapToGrid w:val="0"/>
              <w:spacing w:line="276" w:lineRule="auto"/>
              <w:jc w:val="center"/>
              <w:rPr>
                <w:rFonts w:ascii="宋体" w:hAnsi="宋体" w:eastAsia="宋体"/>
                <w:sz w:val="24"/>
                <w:highlight w:val="yellow"/>
              </w:rPr>
            </w:pPr>
            <w:r>
              <w:rPr>
                <w:rFonts w:hint="eastAsia"/>
                <w:szCs w:val="21"/>
              </w:rPr>
              <w:t>备注</w:t>
            </w:r>
          </w:p>
        </w:tc>
        <w:tc>
          <w:tcPr>
            <w:tcW w:w="6455" w:type="dxa"/>
            <w:gridSpan w:val="3"/>
            <w:vAlign w:val="center"/>
          </w:tcPr>
          <w:p>
            <w:pPr>
              <w:snapToGrid w:val="0"/>
              <w:spacing w:line="276" w:lineRule="auto"/>
              <w:jc w:val="center"/>
              <w:rPr>
                <w:rFonts w:ascii="宋体" w:hAnsi="宋体" w:eastAsia="宋体"/>
                <w:sz w:val="24"/>
                <w:highlight w:val="yellow"/>
              </w:rPr>
            </w:pPr>
          </w:p>
        </w:tc>
      </w:tr>
    </w:tbl>
    <w:p>
      <w:pPr>
        <w:tabs>
          <w:tab w:val="left" w:pos="510"/>
          <w:tab w:val="left" w:pos="735"/>
          <w:tab w:val="left" w:pos="945"/>
          <w:tab w:val="left" w:pos="1155"/>
        </w:tabs>
        <w:spacing w:line="360" w:lineRule="auto"/>
        <w:rPr>
          <w:rFonts w:ascii="宋体" w:hAnsi="宋体" w:eastAsia="宋体"/>
          <w:sz w:val="24"/>
          <w:highlight w:val="yellow"/>
        </w:rPr>
      </w:pPr>
    </w:p>
    <w:tbl>
      <w:tblPr>
        <w:tblStyle w:val="32"/>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51"/>
        <w:gridCol w:w="1537"/>
        <w:gridCol w:w="468"/>
        <w:gridCol w:w="222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69" w:type="dxa"/>
            <w:gridSpan w:val="6"/>
            <w:vAlign w:val="center"/>
          </w:tcPr>
          <w:p>
            <w:pPr>
              <w:snapToGrid w:val="0"/>
              <w:spacing w:line="276" w:lineRule="auto"/>
              <w:jc w:val="center"/>
              <w:rPr>
                <w:b/>
                <w:bCs/>
                <w:szCs w:val="21"/>
              </w:rPr>
            </w:pPr>
            <w:r>
              <w:rPr>
                <w:rFonts w:hint="eastAsia"/>
                <w:b/>
                <w:bCs/>
                <w:szCs w:val="21"/>
                <w:lang w:eastAsia="zh-CN"/>
              </w:rPr>
              <w:t>百馨苑（南区）</w:t>
            </w:r>
            <w:r>
              <w:rPr>
                <w:rFonts w:hint="eastAsia"/>
                <w:b/>
                <w:bCs/>
                <w:szCs w:val="21"/>
              </w:rPr>
              <w:t>总体公建配套情况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9" w:type="dxa"/>
            <w:gridSpan w:val="6"/>
            <w:vAlign w:val="center"/>
          </w:tcPr>
          <w:p>
            <w:pPr>
              <w:snapToGrid w:val="0"/>
              <w:spacing w:line="276" w:lineRule="auto"/>
              <w:rPr>
                <w:szCs w:val="21"/>
              </w:rPr>
            </w:pPr>
            <w:r>
              <w:rPr>
                <w:rFonts w:hint="eastAsia"/>
                <w:szCs w:val="21"/>
              </w:rPr>
              <w:t>1、地下车库面积：万m²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73" w:type="dxa"/>
            <w:vMerge w:val="restart"/>
            <w:vAlign w:val="center"/>
          </w:tcPr>
          <w:p>
            <w:pPr>
              <w:snapToGrid w:val="0"/>
              <w:spacing w:line="276" w:lineRule="auto"/>
              <w:jc w:val="center"/>
              <w:rPr>
                <w:szCs w:val="21"/>
              </w:rPr>
            </w:pPr>
            <w:r>
              <w:rPr>
                <w:rFonts w:hint="eastAsia"/>
                <w:szCs w:val="21"/>
              </w:rPr>
              <w:t>其</w:t>
            </w:r>
          </w:p>
          <w:p>
            <w:pPr>
              <w:snapToGrid w:val="0"/>
              <w:spacing w:line="276" w:lineRule="auto"/>
              <w:jc w:val="center"/>
              <w:rPr>
                <w:szCs w:val="21"/>
              </w:rPr>
            </w:pPr>
            <w:r>
              <w:rPr>
                <w:rFonts w:hint="eastAsia"/>
                <w:szCs w:val="21"/>
              </w:rPr>
              <w:t>中</w:t>
            </w:r>
          </w:p>
        </w:tc>
        <w:tc>
          <w:tcPr>
            <w:tcW w:w="4156" w:type="dxa"/>
            <w:gridSpan w:val="3"/>
            <w:vAlign w:val="center"/>
          </w:tcPr>
          <w:p>
            <w:pPr>
              <w:snapToGrid w:val="0"/>
              <w:spacing w:line="276" w:lineRule="auto"/>
              <w:rPr>
                <w:szCs w:val="21"/>
              </w:rPr>
            </w:pPr>
            <w:r>
              <w:rPr>
                <w:rFonts w:hint="eastAsia"/>
                <w:szCs w:val="21"/>
              </w:rPr>
              <w:t>机动车库:（㎡）</w:t>
            </w:r>
          </w:p>
        </w:tc>
        <w:tc>
          <w:tcPr>
            <w:tcW w:w="3740" w:type="dxa"/>
            <w:gridSpan w:val="2"/>
            <w:vAlign w:val="center"/>
          </w:tcPr>
          <w:p>
            <w:pPr>
              <w:snapToGrid w:val="0"/>
              <w:spacing w:line="276" w:lineRule="auto"/>
              <w:rPr>
                <w:szCs w:val="21"/>
              </w:rPr>
            </w:pPr>
            <w:r>
              <w:rPr>
                <w:rFonts w:hint="eastAsia"/>
                <w:szCs w:val="21"/>
              </w:rPr>
              <w:t>汽车位：（辆），其中地上辆，地下辆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73" w:type="dxa"/>
            <w:vMerge w:val="continue"/>
            <w:vAlign w:val="center"/>
          </w:tcPr>
          <w:p>
            <w:pPr>
              <w:snapToGrid w:val="0"/>
              <w:spacing w:line="276" w:lineRule="auto"/>
              <w:rPr>
                <w:szCs w:val="21"/>
              </w:rPr>
            </w:pPr>
          </w:p>
        </w:tc>
        <w:tc>
          <w:tcPr>
            <w:tcW w:w="4156" w:type="dxa"/>
            <w:gridSpan w:val="3"/>
            <w:vAlign w:val="center"/>
          </w:tcPr>
          <w:p>
            <w:pPr>
              <w:snapToGrid w:val="0"/>
              <w:spacing w:line="276" w:lineRule="auto"/>
              <w:rPr>
                <w:szCs w:val="21"/>
              </w:rPr>
            </w:pPr>
            <w:r>
              <w:rPr>
                <w:rFonts w:hint="eastAsia"/>
                <w:szCs w:val="21"/>
              </w:rPr>
              <w:t>非机动车：（㎡）</w:t>
            </w:r>
          </w:p>
        </w:tc>
        <w:tc>
          <w:tcPr>
            <w:tcW w:w="3740" w:type="dxa"/>
            <w:gridSpan w:val="2"/>
            <w:vAlign w:val="center"/>
          </w:tcPr>
          <w:p>
            <w:pPr>
              <w:snapToGrid w:val="0"/>
              <w:spacing w:line="276" w:lineRule="auto"/>
              <w:ind w:left="90" w:leftChars="16" w:hanging="56" w:hangingChars="27"/>
              <w:rPr>
                <w:szCs w:val="21"/>
              </w:rPr>
            </w:pPr>
            <w:r>
              <w:rPr>
                <w:rFonts w:hint="eastAsia"/>
                <w:szCs w:val="21"/>
              </w:rPr>
              <w:t>人防地下室（公益性）：（㎡）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2824" w:type="dxa"/>
            <w:gridSpan w:val="2"/>
            <w:vAlign w:val="center"/>
          </w:tcPr>
          <w:p>
            <w:pPr>
              <w:snapToGrid w:val="0"/>
              <w:spacing w:line="276" w:lineRule="auto"/>
              <w:ind w:left="630" w:hanging="630" w:hangingChars="300"/>
              <w:jc w:val="left"/>
              <w:rPr>
                <w:szCs w:val="21"/>
              </w:rPr>
            </w:pPr>
            <w:r>
              <w:rPr>
                <w:rFonts w:hint="eastAsia"/>
                <w:szCs w:val="21"/>
              </w:rPr>
              <w:t>2、住宅地面停车位（辆）</w:t>
            </w:r>
          </w:p>
        </w:tc>
        <w:tc>
          <w:tcPr>
            <w:tcW w:w="2005" w:type="dxa"/>
            <w:gridSpan w:val="2"/>
            <w:vAlign w:val="center"/>
          </w:tcPr>
          <w:p>
            <w:pPr>
              <w:snapToGrid w:val="0"/>
              <w:spacing w:line="276" w:lineRule="auto"/>
              <w:ind w:left="-34" w:leftChars="-16" w:firstLine="39" w:firstLineChars="19"/>
              <w:jc w:val="left"/>
              <w:rPr>
                <w:szCs w:val="21"/>
              </w:rPr>
            </w:pPr>
            <w:r>
              <w:rPr>
                <w:rFonts w:hint="eastAsia"/>
                <w:szCs w:val="21"/>
              </w:rPr>
              <w:t>物业管理用房：㎡</w:t>
            </w:r>
          </w:p>
        </w:tc>
        <w:tc>
          <w:tcPr>
            <w:tcW w:w="3740" w:type="dxa"/>
            <w:gridSpan w:val="2"/>
            <w:vAlign w:val="center"/>
          </w:tcPr>
          <w:p>
            <w:pPr>
              <w:snapToGrid w:val="0"/>
              <w:spacing w:line="276" w:lineRule="auto"/>
              <w:rPr>
                <w:szCs w:val="21"/>
              </w:rPr>
            </w:pPr>
            <w:r>
              <w:rPr>
                <w:rFonts w:hint="eastAsia"/>
                <w:szCs w:val="21"/>
              </w:rPr>
              <w:t>商业用房：（㎡）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569" w:type="dxa"/>
            <w:gridSpan w:val="6"/>
            <w:vAlign w:val="center"/>
          </w:tcPr>
          <w:p>
            <w:pPr>
              <w:snapToGrid w:val="0"/>
              <w:spacing w:line="276" w:lineRule="auto"/>
              <w:rPr>
                <w:szCs w:val="21"/>
              </w:rPr>
            </w:pPr>
            <w:r>
              <w:rPr>
                <w:rFonts w:hint="eastAsia"/>
                <w:szCs w:val="21"/>
              </w:rPr>
              <w:t>其它：自行踏勘现场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569" w:type="dxa"/>
            <w:gridSpan w:val="6"/>
            <w:vAlign w:val="center"/>
          </w:tcPr>
          <w:p>
            <w:pPr>
              <w:snapToGrid w:val="0"/>
              <w:spacing w:line="276"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56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Cs w:val="21"/>
              </w:rPr>
            </w:pPr>
            <w:r>
              <w:rPr>
                <w:rFonts w:hint="eastAsia"/>
                <w:b/>
                <w:bCs/>
                <w:szCs w:val="21"/>
              </w:rPr>
              <w:t>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361" w:type="dxa"/>
            <w:gridSpan w:val="3"/>
            <w:vAlign w:val="center"/>
          </w:tcPr>
          <w:p>
            <w:pPr>
              <w:snapToGrid w:val="0"/>
              <w:spacing w:line="276" w:lineRule="auto"/>
              <w:jc w:val="center"/>
              <w:rPr>
                <w:b/>
                <w:bCs/>
                <w:szCs w:val="21"/>
              </w:rPr>
            </w:pPr>
            <w:r>
              <w:rPr>
                <w:rFonts w:hint="eastAsia"/>
                <w:b/>
                <w:bCs/>
                <w:szCs w:val="21"/>
              </w:rPr>
              <w:t>项目</w:t>
            </w:r>
          </w:p>
        </w:tc>
        <w:tc>
          <w:tcPr>
            <w:tcW w:w="2689" w:type="dxa"/>
            <w:gridSpan w:val="2"/>
            <w:vAlign w:val="center"/>
          </w:tcPr>
          <w:p>
            <w:pPr>
              <w:snapToGrid w:val="0"/>
              <w:spacing w:line="276" w:lineRule="auto"/>
              <w:ind w:firstLine="30" w:firstLineChars="14"/>
              <w:jc w:val="center"/>
              <w:rPr>
                <w:b/>
                <w:bCs/>
                <w:szCs w:val="21"/>
              </w:rPr>
            </w:pPr>
            <w:r>
              <w:rPr>
                <w:rFonts w:hint="eastAsia"/>
                <w:b/>
                <w:bCs/>
                <w:szCs w:val="21"/>
              </w:rPr>
              <w:t>有</w:t>
            </w:r>
          </w:p>
        </w:tc>
        <w:tc>
          <w:tcPr>
            <w:tcW w:w="1519" w:type="dxa"/>
            <w:vAlign w:val="center"/>
          </w:tcPr>
          <w:p>
            <w:pPr>
              <w:snapToGrid w:val="0"/>
              <w:spacing w:line="276" w:lineRule="auto"/>
              <w:jc w:val="center"/>
              <w:rPr>
                <w:b/>
                <w:bCs/>
                <w:szCs w:val="21"/>
              </w:rPr>
            </w:pPr>
            <w:r>
              <w:rPr>
                <w:rFonts w:hint="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361" w:type="dxa"/>
            <w:gridSpan w:val="3"/>
            <w:vAlign w:val="center"/>
          </w:tcPr>
          <w:p>
            <w:pPr>
              <w:snapToGrid w:val="0"/>
              <w:spacing w:line="276" w:lineRule="auto"/>
              <w:rPr>
                <w:szCs w:val="21"/>
              </w:rPr>
            </w:pPr>
            <w:r>
              <w:rPr>
                <w:rFonts w:hint="eastAsia"/>
                <w:szCs w:val="21"/>
              </w:rPr>
              <w:t>1、供配电系统</w:t>
            </w:r>
          </w:p>
        </w:tc>
        <w:tc>
          <w:tcPr>
            <w:tcW w:w="2689" w:type="dxa"/>
            <w:gridSpan w:val="2"/>
            <w:vAlign w:val="center"/>
          </w:tcPr>
          <w:p>
            <w:pPr>
              <w:snapToGrid w:val="0"/>
              <w:spacing w:line="276" w:lineRule="auto"/>
              <w:jc w:val="center"/>
              <w:rPr>
                <w:szCs w:val="21"/>
              </w:rPr>
            </w:pPr>
            <w:r>
              <w:rPr>
                <w:rFonts w:hint="eastAsia"/>
                <w:b/>
                <w:bCs/>
                <w:szCs w:val="21"/>
              </w:rPr>
              <w:t>有</w:t>
            </w:r>
          </w:p>
        </w:tc>
        <w:tc>
          <w:tcPr>
            <w:tcW w:w="1519" w:type="dxa"/>
            <w:vAlign w:val="center"/>
          </w:tcPr>
          <w:p>
            <w:pPr>
              <w:snapToGrid w:val="0"/>
              <w:spacing w:line="276" w:lineRule="auto"/>
              <w:jc w:val="center"/>
              <w:rPr>
                <w:szCs w:val="21"/>
              </w:rPr>
            </w:pPr>
          </w:p>
        </w:tc>
      </w:tr>
    </w:tbl>
    <w:p>
      <w:pPr>
        <w:tabs>
          <w:tab w:val="left" w:pos="510"/>
          <w:tab w:val="left" w:pos="735"/>
          <w:tab w:val="left" w:pos="945"/>
          <w:tab w:val="left" w:pos="1155"/>
        </w:tabs>
        <w:spacing w:line="360" w:lineRule="auto"/>
        <w:ind w:firstLine="480" w:firstLineChars="200"/>
        <w:rPr>
          <w:rFonts w:ascii="宋体" w:hAnsi="宋体" w:eastAsia="宋体"/>
          <w:sz w:val="24"/>
        </w:rPr>
      </w:pPr>
    </w:p>
    <w:tbl>
      <w:tblPr>
        <w:tblStyle w:val="32"/>
        <w:tblW w:w="85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9"/>
        <w:gridCol w:w="2208"/>
        <w:gridCol w:w="2976"/>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53" w:type="dxa"/>
            <w:gridSpan w:val="4"/>
          </w:tcPr>
          <w:p>
            <w:pPr>
              <w:snapToGrid w:val="0"/>
              <w:spacing w:line="276" w:lineRule="auto"/>
              <w:jc w:val="center"/>
              <w:rPr>
                <w:szCs w:val="21"/>
              </w:rPr>
            </w:pPr>
            <w:r>
              <w:rPr>
                <w:rFonts w:hint="eastAsia"/>
                <w:b/>
                <w:bCs/>
                <w:szCs w:val="21"/>
                <w:lang w:eastAsia="zh-CN"/>
              </w:rPr>
              <w:t>百馨苑（南区）</w:t>
            </w:r>
            <w:r>
              <w:rPr>
                <w:b/>
                <w:bCs/>
                <w:szCs w:val="21"/>
              </w:rPr>
              <w:t>项目</w:t>
            </w:r>
            <w:r>
              <w:rPr>
                <w:rFonts w:hint="eastAsia"/>
                <w:b/>
                <w:bCs/>
                <w:szCs w:val="21"/>
              </w:rPr>
              <w:t>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69" w:type="dxa"/>
          </w:tcPr>
          <w:p>
            <w:pPr>
              <w:snapToGrid w:val="0"/>
              <w:spacing w:line="276" w:lineRule="auto"/>
              <w:jc w:val="center"/>
              <w:rPr>
                <w:szCs w:val="21"/>
              </w:rPr>
            </w:pPr>
            <w:r>
              <w:rPr>
                <w:rFonts w:hint="eastAsia"/>
                <w:szCs w:val="21"/>
              </w:rPr>
              <w:t>房号</w:t>
            </w:r>
          </w:p>
        </w:tc>
        <w:tc>
          <w:tcPr>
            <w:tcW w:w="2208" w:type="dxa"/>
            <w:tcBorders>
              <w:right w:val="single" w:color="auto" w:sz="4" w:space="0"/>
            </w:tcBorders>
          </w:tcPr>
          <w:p>
            <w:pPr>
              <w:snapToGrid w:val="0"/>
              <w:spacing w:line="276" w:lineRule="auto"/>
              <w:jc w:val="center"/>
              <w:rPr>
                <w:szCs w:val="21"/>
              </w:rPr>
            </w:pPr>
            <w:r>
              <w:rPr>
                <w:rFonts w:hint="eastAsia"/>
                <w:szCs w:val="21"/>
              </w:rPr>
              <w:t>单元数量</w:t>
            </w:r>
          </w:p>
        </w:tc>
        <w:tc>
          <w:tcPr>
            <w:tcW w:w="2976" w:type="dxa"/>
            <w:tcBorders>
              <w:left w:val="single" w:color="auto" w:sz="4" w:space="0"/>
            </w:tcBorders>
          </w:tcPr>
          <w:p>
            <w:pPr>
              <w:snapToGrid w:val="0"/>
              <w:spacing w:line="276" w:lineRule="auto"/>
              <w:jc w:val="center"/>
              <w:rPr>
                <w:szCs w:val="21"/>
              </w:rPr>
            </w:pPr>
            <w:r>
              <w:rPr>
                <w:rFonts w:hint="eastAsia"/>
                <w:szCs w:val="21"/>
              </w:rPr>
              <w:t>层数</w:t>
            </w:r>
          </w:p>
        </w:tc>
        <w:tc>
          <w:tcPr>
            <w:tcW w:w="1500" w:type="dxa"/>
          </w:tcPr>
          <w:p>
            <w:pPr>
              <w:snapToGrid w:val="0"/>
              <w:spacing w:line="276" w:lineRule="auto"/>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44幢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6</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r>
              <w:rPr>
                <w:rFonts w:hint="eastAsia"/>
                <w:szCs w:val="21"/>
              </w:rPr>
              <w:t>一层是车库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45幢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r>
              <w:rPr>
                <w:rFonts w:hint="eastAsia"/>
                <w:szCs w:val="21"/>
              </w:rPr>
              <w:t>一层是车库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46幢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47幢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48幢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49幢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50幢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51幢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52幢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53幢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 xml:space="preserve">3 </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54幢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55幢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56幢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57幢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58幢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59幢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60幢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61幢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62幢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63幢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64幢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65幢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5</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66幢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67幢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68幢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69幢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70幢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71幢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72幢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73幢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74幢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75幢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76幢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77幢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78幢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79幢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80幢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81幢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82幢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83幢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84幢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85幢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r>
              <w:rPr>
                <w:rFonts w:hint="eastAsia"/>
                <w:szCs w:val="21"/>
              </w:rPr>
              <w:t>有半地下车库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869" w:type="dxa"/>
            <w:vAlign w:val="center"/>
          </w:tcPr>
          <w:p>
            <w:pPr>
              <w:snapToGrid w:val="0"/>
              <w:spacing w:line="276" w:lineRule="auto"/>
              <w:jc w:val="center"/>
              <w:rPr>
                <w:szCs w:val="21"/>
              </w:rPr>
            </w:pPr>
            <w:r>
              <w:rPr>
                <w:rFonts w:hint="eastAsia"/>
                <w:szCs w:val="21"/>
              </w:rPr>
              <w:t>86幢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 xml:space="preserve"> 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r>
              <w:rPr>
                <w:rFonts w:hint="eastAsia"/>
                <w:szCs w:val="21"/>
              </w:rPr>
              <w:t>有半地下车库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87幢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88幢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5</w:t>
            </w:r>
          </w:p>
        </w:tc>
        <w:tc>
          <w:tcPr>
            <w:tcW w:w="1500" w:type="dxa"/>
            <w:vAlign w:val="center"/>
          </w:tcPr>
          <w:p>
            <w:pPr>
              <w:snapToGrid w:val="0"/>
              <w:spacing w:line="276" w:lineRule="auto"/>
              <w:jc w:val="center"/>
              <w:rPr>
                <w:szCs w:val="21"/>
              </w:rPr>
            </w:pPr>
            <w:r>
              <w:rPr>
                <w:rFonts w:hint="eastAsia"/>
                <w:szCs w:val="21"/>
              </w:rPr>
              <w:t>一层是车库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89幢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90幢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91幢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92幢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r>
              <w:rPr>
                <w:rFonts w:hint="eastAsia"/>
                <w:szCs w:val="21"/>
              </w:rPr>
              <w:t>一层是车库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93幢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tcPr>
          <w:p>
            <w:pPr>
              <w:snapToGrid w:val="0"/>
              <w:spacing w:line="276" w:lineRule="auto"/>
              <w:jc w:val="center"/>
            </w:pPr>
            <w:r>
              <w:rPr>
                <w:rFonts w:hint="eastAsia"/>
                <w:szCs w:val="21"/>
              </w:rPr>
              <w:t>有半地下车库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94幢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2</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tcPr>
          <w:p>
            <w:pPr>
              <w:snapToGrid w:val="0"/>
              <w:spacing w:line="276" w:lineRule="auto"/>
              <w:jc w:val="center"/>
            </w:pPr>
            <w:r>
              <w:rPr>
                <w:rFonts w:hint="eastAsia"/>
                <w:szCs w:val="21"/>
              </w:rPr>
              <w:t>有半地下车库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95幢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869" w:type="dxa"/>
            <w:vAlign w:val="center"/>
          </w:tcPr>
          <w:p>
            <w:pPr>
              <w:snapToGrid w:val="0"/>
              <w:spacing w:line="276" w:lineRule="auto"/>
              <w:jc w:val="center"/>
              <w:rPr>
                <w:szCs w:val="21"/>
              </w:rPr>
            </w:pPr>
            <w:r>
              <w:rPr>
                <w:rFonts w:hint="eastAsia"/>
                <w:szCs w:val="21"/>
              </w:rPr>
              <w:t>96幢</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r>
              <w:rPr>
                <w:rFonts w:hint="eastAsia"/>
                <w:szCs w:val="21"/>
              </w:rPr>
              <w:t>有半地下车库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97栋</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869" w:type="dxa"/>
            <w:vAlign w:val="center"/>
          </w:tcPr>
          <w:p>
            <w:pPr>
              <w:snapToGrid w:val="0"/>
              <w:spacing w:line="276" w:lineRule="auto"/>
              <w:jc w:val="center"/>
              <w:rPr>
                <w:szCs w:val="21"/>
              </w:rPr>
            </w:pPr>
            <w:r>
              <w:rPr>
                <w:rFonts w:hint="eastAsia"/>
                <w:szCs w:val="21"/>
              </w:rPr>
              <w:t>98栋</w:t>
            </w:r>
          </w:p>
        </w:tc>
        <w:tc>
          <w:tcPr>
            <w:tcW w:w="2208" w:type="dxa"/>
            <w:tcBorders>
              <w:right w:val="single" w:color="auto" w:sz="4" w:space="0"/>
            </w:tcBorders>
            <w:vAlign w:val="center"/>
          </w:tcPr>
          <w:p>
            <w:pPr>
              <w:snapToGrid w:val="0"/>
              <w:spacing w:line="276" w:lineRule="auto"/>
              <w:jc w:val="center"/>
              <w:rPr>
                <w:szCs w:val="21"/>
              </w:rPr>
            </w:pPr>
            <w:r>
              <w:rPr>
                <w:rFonts w:hint="eastAsia"/>
                <w:szCs w:val="21"/>
              </w:rPr>
              <w:t>3</w:t>
            </w:r>
          </w:p>
        </w:tc>
        <w:tc>
          <w:tcPr>
            <w:tcW w:w="2976" w:type="dxa"/>
            <w:tcBorders>
              <w:left w:val="single" w:color="auto" w:sz="4" w:space="0"/>
            </w:tcBorders>
            <w:vAlign w:val="center"/>
          </w:tcPr>
          <w:p>
            <w:pPr>
              <w:snapToGrid w:val="0"/>
              <w:spacing w:line="276" w:lineRule="auto"/>
              <w:jc w:val="center"/>
              <w:rPr>
                <w:szCs w:val="21"/>
              </w:rPr>
            </w:pPr>
            <w:r>
              <w:rPr>
                <w:rFonts w:hint="eastAsia"/>
                <w:szCs w:val="21"/>
              </w:rPr>
              <w:t>6</w:t>
            </w:r>
          </w:p>
        </w:tc>
        <w:tc>
          <w:tcPr>
            <w:tcW w:w="1500" w:type="dxa"/>
            <w:vAlign w:val="center"/>
          </w:tcPr>
          <w:p>
            <w:pPr>
              <w:snapToGrid w:val="0"/>
              <w:spacing w:line="276" w:lineRule="auto"/>
              <w:jc w:val="center"/>
              <w:rPr>
                <w:szCs w:val="21"/>
              </w:rPr>
            </w:pPr>
          </w:p>
        </w:tc>
      </w:tr>
    </w:tbl>
    <w:p/>
    <w:tbl>
      <w:tblPr>
        <w:tblStyle w:val="32"/>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52"/>
        <w:gridCol w:w="292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71" w:type="dxa"/>
            <w:gridSpan w:val="4"/>
            <w:vAlign w:val="center"/>
          </w:tcPr>
          <w:p>
            <w:pPr>
              <w:snapToGrid w:val="0"/>
              <w:spacing w:line="276" w:lineRule="auto"/>
              <w:ind w:firstLine="843" w:firstLineChars="400"/>
              <w:jc w:val="center"/>
              <w:rPr>
                <w:szCs w:val="21"/>
              </w:rPr>
            </w:pPr>
            <w:r>
              <w:rPr>
                <w:rFonts w:hint="eastAsia"/>
                <w:b/>
                <w:bCs/>
                <w:szCs w:val="21"/>
                <w:lang w:eastAsia="zh-CN"/>
              </w:rPr>
              <w:t>百馨苑（南区）</w:t>
            </w:r>
            <w:r>
              <w:rPr>
                <w:rFonts w:hint="eastAsia"/>
                <w:b/>
                <w:bCs/>
                <w:szCs w:val="21"/>
              </w:rPr>
              <w:t>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669" w:type="dxa"/>
            <w:gridSpan w:val="2"/>
            <w:vAlign w:val="center"/>
          </w:tcPr>
          <w:p>
            <w:pPr>
              <w:snapToGrid w:val="0"/>
              <w:spacing w:line="276" w:lineRule="auto"/>
              <w:jc w:val="center"/>
              <w:rPr>
                <w:b/>
                <w:bCs/>
                <w:szCs w:val="21"/>
              </w:rPr>
            </w:pPr>
            <w:r>
              <w:rPr>
                <w:rFonts w:hint="eastAsia"/>
                <w:b/>
                <w:bCs/>
                <w:szCs w:val="21"/>
              </w:rPr>
              <w:t>项目</w:t>
            </w:r>
          </w:p>
        </w:tc>
        <w:tc>
          <w:tcPr>
            <w:tcW w:w="2923" w:type="dxa"/>
            <w:vAlign w:val="center"/>
          </w:tcPr>
          <w:p>
            <w:pPr>
              <w:snapToGrid w:val="0"/>
              <w:spacing w:line="276" w:lineRule="auto"/>
              <w:ind w:firstLine="30" w:firstLineChars="14"/>
              <w:jc w:val="center"/>
              <w:rPr>
                <w:b/>
                <w:bCs/>
                <w:szCs w:val="21"/>
              </w:rPr>
            </w:pPr>
            <w:r>
              <w:rPr>
                <w:rFonts w:hint="eastAsia"/>
                <w:b/>
                <w:bCs/>
                <w:szCs w:val="21"/>
              </w:rPr>
              <w:t>有</w:t>
            </w:r>
          </w:p>
        </w:tc>
        <w:tc>
          <w:tcPr>
            <w:tcW w:w="1979" w:type="dxa"/>
            <w:vAlign w:val="center"/>
          </w:tcPr>
          <w:p>
            <w:pPr>
              <w:snapToGrid w:val="0"/>
              <w:spacing w:line="276" w:lineRule="auto"/>
              <w:jc w:val="center"/>
              <w:rPr>
                <w:b/>
                <w:bCs/>
                <w:szCs w:val="21"/>
              </w:rPr>
            </w:pPr>
            <w:r>
              <w:rPr>
                <w:rFonts w:hint="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669" w:type="dxa"/>
            <w:gridSpan w:val="2"/>
            <w:vAlign w:val="center"/>
          </w:tcPr>
          <w:p>
            <w:pPr>
              <w:snapToGrid w:val="0"/>
              <w:spacing w:line="276" w:lineRule="auto"/>
              <w:rPr>
                <w:szCs w:val="21"/>
              </w:rPr>
            </w:pPr>
            <w:r>
              <w:rPr>
                <w:rFonts w:hint="eastAsia"/>
                <w:szCs w:val="21"/>
              </w:rPr>
              <w:t>1、供配电系统</w:t>
            </w:r>
          </w:p>
        </w:tc>
        <w:tc>
          <w:tcPr>
            <w:tcW w:w="2923" w:type="dxa"/>
            <w:vAlign w:val="center"/>
          </w:tcPr>
          <w:p>
            <w:pPr>
              <w:snapToGrid w:val="0"/>
              <w:spacing w:line="276" w:lineRule="auto"/>
              <w:jc w:val="center"/>
              <w:rPr>
                <w:szCs w:val="21"/>
              </w:rPr>
            </w:pPr>
            <w:r>
              <w:rPr>
                <w:rFonts w:hint="eastAsia"/>
                <w:szCs w:val="21"/>
              </w:rPr>
              <w:t>有</w:t>
            </w:r>
          </w:p>
        </w:tc>
        <w:tc>
          <w:tcPr>
            <w:tcW w:w="1979" w:type="dxa"/>
            <w:vAlign w:val="center"/>
          </w:tcPr>
          <w:p>
            <w:pPr>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3669" w:type="dxa"/>
            <w:gridSpan w:val="2"/>
            <w:vAlign w:val="center"/>
          </w:tcPr>
          <w:p>
            <w:pPr>
              <w:snapToGrid w:val="0"/>
              <w:spacing w:line="276" w:lineRule="auto"/>
              <w:rPr>
                <w:b/>
                <w:bCs/>
                <w:szCs w:val="21"/>
              </w:rPr>
            </w:pPr>
            <w:r>
              <w:rPr>
                <w:rFonts w:hint="eastAsia"/>
                <w:szCs w:val="21"/>
              </w:rPr>
              <w:t>2、道路系统</w:t>
            </w:r>
          </w:p>
        </w:tc>
        <w:tc>
          <w:tcPr>
            <w:tcW w:w="2923" w:type="dxa"/>
            <w:vAlign w:val="center"/>
          </w:tcPr>
          <w:p>
            <w:pPr>
              <w:snapToGrid w:val="0"/>
              <w:spacing w:line="276" w:lineRule="auto"/>
              <w:jc w:val="center"/>
              <w:rPr>
                <w:b/>
                <w:bCs/>
                <w:szCs w:val="21"/>
              </w:rPr>
            </w:pPr>
            <w:r>
              <w:rPr>
                <w:rFonts w:hint="eastAsia"/>
                <w:b/>
                <w:bCs/>
                <w:szCs w:val="21"/>
              </w:rPr>
              <w:t>有</w:t>
            </w: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669" w:type="dxa"/>
            <w:gridSpan w:val="2"/>
            <w:vAlign w:val="center"/>
          </w:tcPr>
          <w:p>
            <w:pPr>
              <w:snapToGrid w:val="0"/>
              <w:spacing w:line="276" w:lineRule="auto"/>
              <w:rPr>
                <w:b/>
                <w:bCs/>
                <w:szCs w:val="21"/>
              </w:rPr>
            </w:pPr>
            <w:r>
              <w:rPr>
                <w:rFonts w:hint="eastAsia"/>
                <w:szCs w:val="21"/>
              </w:rPr>
              <w:t>3、给水系统</w:t>
            </w:r>
          </w:p>
        </w:tc>
        <w:tc>
          <w:tcPr>
            <w:tcW w:w="2923" w:type="dxa"/>
            <w:vAlign w:val="center"/>
          </w:tcPr>
          <w:p>
            <w:pPr>
              <w:snapToGrid w:val="0"/>
              <w:spacing w:line="276" w:lineRule="auto"/>
              <w:jc w:val="center"/>
              <w:rPr>
                <w:b/>
                <w:bCs/>
                <w:szCs w:val="21"/>
              </w:rPr>
            </w:pPr>
            <w:r>
              <w:rPr>
                <w:rFonts w:hint="eastAsia"/>
                <w:szCs w:val="21"/>
              </w:rPr>
              <w:t>有</w:t>
            </w: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669" w:type="dxa"/>
            <w:gridSpan w:val="2"/>
            <w:vAlign w:val="center"/>
          </w:tcPr>
          <w:p>
            <w:pPr>
              <w:snapToGrid w:val="0"/>
              <w:spacing w:line="276" w:lineRule="auto"/>
              <w:rPr>
                <w:b/>
                <w:bCs/>
                <w:szCs w:val="21"/>
              </w:rPr>
            </w:pPr>
            <w:r>
              <w:rPr>
                <w:rFonts w:hint="eastAsia"/>
                <w:szCs w:val="21"/>
              </w:rPr>
              <w:t>4、排水系统</w:t>
            </w:r>
          </w:p>
        </w:tc>
        <w:tc>
          <w:tcPr>
            <w:tcW w:w="2923" w:type="dxa"/>
            <w:vAlign w:val="center"/>
          </w:tcPr>
          <w:p>
            <w:pPr>
              <w:snapToGrid w:val="0"/>
              <w:spacing w:line="276" w:lineRule="auto"/>
              <w:jc w:val="center"/>
              <w:rPr>
                <w:b/>
                <w:bCs/>
                <w:szCs w:val="21"/>
              </w:rPr>
            </w:pPr>
            <w:r>
              <w:rPr>
                <w:rFonts w:hint="eastAsia"/>
                <w:szCs w:val="21"/>
              </w:rPr>
              <w:t>有</w:t>
            </w: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3669" w:type="dxa"/>
            <w:gridSpan w:val="2"/>
            <w:vAlign w:val="center"/>
          </w:tcPr>
          <w:p>
            <w:pPr>
              <w:snapToGrid w:val="0"/>
              <w:spacing w:line="276" w:lineRule="auto"/>
              <w:rPr>
                <w:b/>
                <w:bCs/>
                <w:szCs w:val="21"/>
              </w:rPr>
            </w:pPr>
            <w:r>
              <w:rPr>
                <w:rFonts w:hint="eastAsia"/>
                <w:szCs w:val="21"/>
              </w:rPr>
              <w:t>5、智能化系统：</w:t>
            </w:r>
          </w:p>
        </w:tc>
        <w:tc>
          <w:tcPr>
            <w:tcW w:w="2923" w:type="dxa"/>
            <w:vAlign w:val="center"/>
          </w:tcPr>
          <w:p>
            <w:pPr>
              <w:snapToGrid w:val="0"/>
              <w:spacing w:line="276" w:lineRule="auto"/>
              <w:jc w:val="center"/>
              <w:rPr>
                <w:b/>
                <w:bCs/>
                <w:szCs w:val="21"/>
              </w:rPr>
            </w:pPr>
          </w:p>
        </w:tc>
        <w:tc>
          <w:tcPr>
            <w:tcW w:w="1979" w:type="dxa"/>
            <w:vAlign w:val="center"/>
          </w:tcPr>
          <w:p>
            <w:pPr>
              <w:snapToGrid w:val="0"/>
              <w:spacing w:line="276" w:lineRule="auto"/>
              <w:jc w:val="center"/>
              <w:rPr>
                <w:b/>
                <w:bCs/>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3669" w:type="dxa"/>
            <w:gridSpan w:val="2"/>
          </w:tcPr>
          <w:p>
            <w:pPr>
              <w:snapToGrid w:val="0"/>
              <w:spacing w:line="276" w:lineRule="auto"/>
              <w:rPr>
                <w:b/>
                <w:bCs/>
                <w:szCs w:val="21"/>
              </w:rPr>
            </w:pPr>
            <w:r>
              <w:rPr>
                <w:rFonts w:hint="eastAsia"/>
                <w:szCs w:val="21"/>
              </w:rPr>
              <w:t>（1）监控系统</w:t>
            </w:r>
          </w:p>
        </w:tc>
        <w:tc>
          <w:tcPr>
            <w:tcW w:w="2923" w:type="dxa"/>
          </w:tcPr>
          <w:p>
            <w:pPr>
              <w:snapToGrid w:val="0"/>
              <w:spacing w:line="276" w:lineRule="auto"/>
              <w:jc w:val="center"/>
              <w:rPr>
                <w:b/>
                <w:bCs/>
                <w:szCs w:val="21"/>
              </w:rPr>
            </w:pPr>
            <w:r>
              <w:rPr>
                <w:rFonts w:hint="eastAsia"/>
                <w:szCs w:val="21"/>
              </w:rPr>
              <w:t>有</w:t>
            </w:r>
          </w:p>
        </w:tc>
        <w:tc>
          <w:tcPr>
            <w:tcW w:w="1979" w:type="dxa"/>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（2）周界安保系统</w:t>
            </w:r>
          </w:p>
        </w:tc>
        <w:tc>
          <w:tcPr>
            <w:tcW w:w="2923" w:type="dxa"/>
          </w:tcPr>
          <w:p>
            <w:pPr>
              <w:snapToGrid w:val="0"/>
              <w:spacing w:line="276" w:lineRule="auto"/>
              <w:jc w:val="center"/>
              <w:rPr>
                <w:b/>
                <w:bCs/>
                <w:szCs w:val="21"/>
              </w:rPr>
            </w:pPr>
            <w:r>
              <w:rPr>
                <w:rFonts w:hint="eastAsia"/>
                <w:szCs w:val="21"/>
              </w:rPr>
              <w:t>有</w:t>
            </w:r>
          </w:p>
        </w:tc>
        <w:tc>
          <w:tcPr>
            <w:tcW w:w="1979" w:type="dxa"/>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vAlign w:val="center"/>
          </w:tcPr>
          <w:p>
            <w:pPr>
              <w:snapToGrid w:val="0"/>
              <w:spacing w:line="276" w:lineRule="auto"/>
              <w:rPr>
                <w:b/>
                <w:bCs/>
                <w:szCs w:val="21"/>
              </w:rPr>
            </w:pPr>
            <w:r>
              <w:rPr>
                <w:rFonts w:hint="eastAsia"/>
                <w:szCs w:val="21"/>
              </w:rPr>
              <w:t>（3）对讲系统</w:t>
            </w:r>
          </w:p>
        </w:tc>
        <w:tc>
          <w:tcPr>
            <w:tcW w:w="2923" w:type="dxa"/>
            <w:vAlign w:val="center"/>
          </w:tcPr>
          <w:p>
            <w:pPr>
              <w:snapToGrid w:val="0"/>
              <w:spacing w:line="276" w:lineRule="auto"/>
              <w:jc w:val="center"/>
              <w:rPr>
                <w:b/>
                <w:bCs/>
                <w:szCs w:val="21"/>
              </w:rPr>
            </w:pPr>
          </w:p>
        </w:tc>
        <w:tc>
          <w:tcPr>
            <w:tcW w:w="1979" w:type="dxa"/>
            <w:vAlign w:val="center"/>
          </w:tcPr>
          <w:p>
            <w:pPr>
              <w:snapToGrid w:val="0"/>
              <w:spacing w:line="276" w:lineRule="auto"/>
              <w:jc w:val="center"/>
              <w:rPr>
                <w:b/>
                <w:bCs/>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vAlign w:val="center"/>
          </w:tcPr>
          <w:p>
            <w:pPr>
              <w:snapToGrid w:val="0"/>
              <w:spacing w:line="276" w:lineRule="auto"/>
              <w:rPr>
                <w:b/>
                <w:bCs/>
                <w:szCs w:val="21"/>
              </w:rPr>
            </w:pPr>
            <w:r>
              <w:rPr>
                <w:rFonts w:hint="eastAsia"/>
                <w:szCs w:val="21"/>
              </w:rPr>
              <w:t>（4）安防系统</w:t>
            </w:r>
          </w:p>
        </w:tc>
        <w:tc>
          <w:tcPr>
            <w:tcW w:w="2923" w:type="dxa"/>
            <w:vAlign w:val="center"/>
          </w:tcPr>
          <w:p>
            <w:pPr>
              <w:snapToGrid w:val="0"/>
              <w:spacing w:line="276" w:lineRule="auto"/>
              <w:jc w:val="center"/>
              <w:rPr>
                <w:b/>
                <w:bCs/>
                <w:szCs w:val="21"/>
              </w:rPr>
            </w:pP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vAlign w:val="center"/>
          </w:tcPr>
          <w:p>
            <w:pPr>
              <w:snapToGrid w:val="0"/>
              <w:spacing w:line="276" w:lineRule="auto"/>
              <w:rPr>
                <w:b/>
                <w:bCs/>
                <w:szCs w:val="21"/>
              </w:rPr>
            </w:pPr>
            <w:r>
              <w:rPr>
                <w:rFonts w:hint="eastAsia"/>
                <w:szCs w:val="21"/>
              </w:rPr>
              <w:t>（5）综合布线</w:t>
            </w:r>
          </w:p>
        </w:tc>
        <w:tc>
          <w:tcPr>
            <w:tcW w:w="2923" w:type="dxa"/>
            <w:vAlign w:val="center"/>
          </w:tcPr>
          <w:p>
            <w:pPr>
              <w:snapToGrid w:val="0"/>
              <w:spacing w:line="276" w:lineRule="auto"/>
              <w:jc w:val="center"/>
              <w:rPr>
                <w:b/>
                <w:bCs/>
                <w:szCs w:val="21"/>
              </w:rPr>
            </w:pPr>
            <w:r>
              <w:rPr>
                <w:rFonts w:hint="eastAsia"/>
                <w:b/>
                <w:bCs/>
                <w:szCs w:val="21"/>
              </w:rPr>
              <w:t>有</w:t>
            </w: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vAlign w:val="center"/>
          </w:tcPr>
          <w:p>
            <w:pPr>
              <w:snapToGrid w:val="0"/>
              <w:spacing w:line="276" w:lineRule="auto"/>
              <w:rPr>
                <w:b/>
                <w:bCs/>
                <w:szCs w:val="21"/>
              </w:rPr>
            </w:pPr>
            <w:r>
              <w:rPr>
                <w:rFonts w:hint="eastAsia"/>
                <w:szCs w:val="21"/>
              </w:rPr>
              <w:t>（6）门禁系统</w:t>
            </w:r>
          </w:p>
        </w:tc>
        <w:tc>
          <w:tcPr>
            <w:tcW w:w="2923" w:type="dxa"/>
            <w:vAlign w:val="center"/>
          </w:tcPr>
          <w:p>
            <w:pPr>
              <w:snapToGrid w:val="0"/>
              <w:spacing w:line="276" w:lineRule="auto"/>
              <w:jc w:val="center"/>
              <w:rPr>
                <w:b/>
                <w:bCs/>
                <w:szCs w:val="21"/>
              </w:rPr>
            </w:pPr>
            <w:r>
              <w:rPr>
                <w:rFonts w:hint="eastAsia"/>
                <w:szCs w:val="21"/>
              </w:rPr>
              <w:t>有</w:t>
            </w: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vAlign w:val="center"/>
          </w:tcPr>
          <w:p>
            <w:pPr>
              <w:snapToGrid w:val="0"/>
              <w:spacing w:line="276" w:lineRule="auto"/>
              <w:rPr>
                <w:b/>
                <w:bCs/>
                <w:szCs w:val="21"/>
              </w:rPr>
            </w:pPr>
            <w:r>
              <w:rPr>
                <w:rFonts w:hint="eastAsia"/>
                <w:szCs w:val="21"/>
              </w:rPr>
              <w:t>（7）巡更系统</w:t>
            </w:r>
          </w:p>
        </w:tc>
        <w:tc>
          <w:tcPr>
            <w:tcW w:w="2923" w:type="dxa"/>
            <w:vAlign w:val="center"/>
          </w:tcPr>
          <w:p>
            <w:pPr>
              <w:snapToGrid w:val="0"/>
              <w:spacing w:line="276" w:lineRule="auto"/>
              <w:jc w:val="center"/>
              <w:rPr>
                <w:b/>
                <w:bCs/>
                <w:szCs w:val="21"/>
              </w:rPr>
            </w:pPr>
          </w:p>
        </w:tc>
        <w:tc>
          <w:tcPr>
            <w:tcW w:w="1979" w:type="dxa"/>
            <w:vAlign w:val="center"/>
          </w:tcPr>
          <w:p>
            <w:pPr>
              <w:snapToGrid w:val="0"/>
              <w:spacing w:line="276" w:lineRule="auto"/>
              <w:jc w:val="center"/>
              <w:rPr>
                <w:b/>
                <w:bCs/>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vAlign w:val="center"/>
          </w:tcPr>
          <w:p>
            <w:pPr>
              <w:snapToGrid w:val="0"/>
              <w:spacing w:line="276" w:lineRule="auto"/>
              <w:rPr>
                <w:b/>
                <w:bCs/>
                <w:szCs w:val="21"/>
              </w:rPr>
            </w:pPr>
            <w:r>
              <w:rPr>
                <w:rFonts w:hint="eastAsia"/>
                <w:szCs w:val="21"/>
              </w:rPr>
              <w:t>（8）车辆管理系统</w:t>
            </w:r>
          </w:p>
        </w:tc>
        <w:tc>
          <w:tcPr>
            <w:tcW w:w="2923" w:type="dxa"/>
            <w:vAlign w:val="center"/>
          </w:tcPr>
          <w:p>
            <w:pPr>
              <w:snapToGrid w:val="0"/>
              <w:spacing w:line="276" w:lineRule="auto"/>
              <w:jc w:val="center"/>
              <w:rPr>
                <w:b/>
                <w:bCs/>
                <w:szCs w:val="21"/>
              </w:rPr>
            </w:pPr>
            <w:r>
              <w:rPr>
                <w:rFonts w:hint="eastAsia"/>
                <w:b/>
                <w:bCs/>
                <w:szCs w:val="21"/>
              </w:rPr>
              <w:t>有</w:t>
            </w:r>
          </w:p>
        </w:tc>
        <w:tc>
          <w:tcPr>
            <w:tcW w:w="1979" w:type="dxa"/>
            <w:vAlign w:val="center"/>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6、消防系统：</w:t>
            </w:r>
          </w:p>
        </w:tc>
        <w:tc>
          <w:tcPr>
            <w:tcW w:w="2923" w:type="dxa"/>
          </w:tcPr>
          <w:p>
            <w:pPr>
              <w:snapToGrid w:val="0"/>
              <w:spacing w:line="276" w:lineRule="auto"/>
              <w:jc w:val="center"/>
              <w:rPr>
                <w:b/>
                <w:bCs/>
                <w:szCs w:val="21"/>
              </w:rPr>
            </w:pPr>
          </w:p>
        </w:tc>
        <w:tc>
          <w:tcPr>
            <w:tcW w:w="1979" w:type="dxa"/>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（1）消火栓系统</w:t>
            </w:r>
          </w:p>
        </w:tc>
        <w:tc>
          <w:tcPr>
            <w:tcW w:w="2923" w:type="dxa"/>
          </w:tcPr>
          <w:p>
            <w:pPr>
              <w:snapToGrid w:val="0"/>
              <w:spacing w:line="276" w:lineRule="auto"/>
              <w:jc w:val="center"/>
              <w:rPr>
                <w:b/>
                <w:bCs/>
                <w:szCs w:val="21"/>
              </w:rPr>
            </w:pPr>
            <w:r>
              <w:rPr>
                <w:rFonts w:hint="eastAsia"/>
                <w:szCs w:val="21"/>
              </w:rPr>
              <w:t>有</w:t>
            </w:r>
          </w:p>
        </w:tc>
        <w:tc>
          <w:tcPr>
            <w:tcW w:w="1979" w:type="dxa"/>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（2）喷淋系统</w:t>
            </w:r>
          </w:p>
        </w:tc>
        <w:tc>
          <w:tcPr>
            <w:tcW w:w="2923" w:type="dxa"/>
          </w:tcPr>
          <w:p>
            <w:pPr>
              <w:snapToGrid w:val="0"/>
              <w:spacing w:line="276" w:lineRule="auto"/>
              <w:jc w:val="center"/>
              <w:rPr>
                <w:b/>
                <w:bCs/>
                <w:szCs w:val="21"/>
              </w:rPr>
            </w:pPr>
            <w:r>
              <w:rPr>
                <w:rFonts w:hint="eastAsia"/>
                <w:b/>
                <w:bCs/>
                <w:szCs w:val="21"/>
              </w:rPr>
              <w:t>有</w:t>
            </w:r>
          </w:p>
        </w:tc>
        <w:tc>
          <w:tcPr>
            <w:tcW w:w="1979" w:type="dxa"/>
          </w:tcPr>
          <w:p>
            <w:pPr>
              <w:snapToGrid w:val="0"/>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（3）消防报警控制系统</w:t>
            </w:r>
          </w:p>
        </w:tc>
        <w:tc>
          <w:tcPr>
            <w:tcW w:w="2923" w:type="dxa"/>
          </w:tcPr>
          <w:p>
            <w:pPr>
              <w:snapToGrid w:val="0"/>
              <w:spacing w:line="276" w:lineRule="auto"/>
              <w:jc w:val="center"/>
              <w:rPr>
                <w:b/>
                <w:bCs/>
                <w:szCs w:val="21"/>
              </w:rPr>
            </w:pPr>
          </w:p>
        </w:tc>
        <w:tc>
          <w:tcPr>
            <w:tcW w:w="1979" w:type="dxa"/>
          </w:tcPr>
          <w:p>
            <w:pPr>
              <w:snapToGrid w:val="0"/>
              <w:spacing w:line="276" w:lineRule="auto"/>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szCs w:val="21"/>
              </w:rPr>
            </w:pPr>
            <w:r>
              <w:rPr>
                <w:rFonts w:hint="eastAsia"/>
                <w:szCs w:val="21"/>
              </w:rPr>
              <w:t>（4）排烟机</w:t>
            </w:r>
          </w:p>
        </w:tc>
        <w:tc>
          <w:tcPr>
            <w:tcW w:w="2923" w:type="dxa"/>
          </w:tcPr>
          <w:p>
            <w:pPr>
              <w:snapToGrid w:val="0"/>
              <w:spacing w:line="276" w:lineRule="auto"/>
              <w:jc w:val="center"/>
              <w:rPr>
                <w:szCs w:val="21"/>
              </w:rPr>
            </w:pPr>
          </w:p>
        </w:tc>
        <w:tc>
          <w:tcPr>
            <w:tcW w:w="1979" w:type="dxa"/>
          </w:tcPr>
          <w:p>
            <w:pPr>
              <w:snapToGrid w:val="0"/>
              <w:spacing w:line="276" w:lineRule="auto"/>
              <w:jc w:val="cente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szCs w:val="21"/>
              </w:rPr>
            </w:pPr>
            <w:r>
              <w:rPr>
                <w:rFonts w:hint="eastAsia"/>
                <w:szCs w:val="21"/>
              </w:rPr>
              <w:t>7、照明系统：</w:t>
            </w:r>
          </w:p>
        </w:tc>
        <w:tc>
          <w:tcPr>
            <w:tcW w:w="2923" w:type="dxa"/>
          </w:tcPr>
          <w:p>
            <w:pPr>
              <w:snapToGrid w:val="0"/>
              <w:spacing w:line="276" w:lineRule="auto"/>
              <w:jc w:val="center"/>
              <w:rPr>
                <w:szCs w:val="21"/>
              </w:rPr>
            </w:pPr>
            <w:r>
              <w:rPr>
                <w:rFonts w:hint="eastAsia"/>
                <w:szCs w:val="21"/>
              </w:rPr>
              <w:t>有</w:t>
            </w:r>
          </w:p>
        </w:tc>
        <w:tc>
          <w:tcPr>
            <w:tcW w:w="1979" w:type="dxa"/>
          </w:tcPr>
          <w:p>
            <w:pPr>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（1）庭院灯</w:t>
            </w:r>
          </w:p>
        </w:tc>
        <w:tc>
          <w:tcPr>
            <w:tcW w:w="2923" w:type="dxa"/>
          </w:tcPr>
          <w:p>
            <w:pPr>
              <w:snapToGrid w:val="0"/>
              <w:spacing w:line="276" w:lineRule="auto"/>
              <w:jc w:val="center"/>
              <w:rPr>
                <w:b/>
                <w:bCs/>
                <w:szCs w:val="21"/>
              </w:rPr>
            </w:pPr>
            <w:r>
              <w:rPr>
                <w:rFonts w:hint="eastAsia"/>
                <w:b/>
                <w:bCs/>
                <w:szCs w:val="21"/>
              </w:rPr>
              <w:t>有</w:t>
            </w:r>
          </w:p>
        </w:tc>
        <w:tc>
          <w:tcPr>
            <w:tcW w:w="1979" w:type="dxa"/>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b/>
                <w:bCs/>
                <w:szCs w:val="21"/>
              </w:rPr>
            </w:pPr>
            <w:r>
              <w:rPr>
                <w:rFonts w:hint="eastAsia"/>
                <w:szCs w:val="21"/>
              </w:rPr>
              <w:t>（2）楼道灯</w:t>
            </w:r>
          </w:p>
        </w:tc>
        <w:tc>
          <w:tcPr>
            <w:tcW w:w="2923" w:type="dxa"/>
          </w:tcPr>
          <w:p>
            <w:pPr>
              <w:snapToGrid w:val="0"/>
              <w:spacing w:line="276" w:lineRule="auto"/>
              <w:jc w:val="center"/>
              <w:rPr>
                <w:b/>
                <w:bCs/>
                <w:szCs w:val="21"/>
              </w:rPr>
            </w:pPr>
            <w:r>
              <w:rPr>
                <w:rFonts w:hint="eastAsia"/>
                <w:szCs w:val="21"/>
              </w:rPr>
              <w:t>有</w:t>
            </w:r>
          </w:p>
        </w:tc>
        <w:tc>
          <w:tcPr>
            <w:tcW w:w="1979" w:type="dxa"/>
          </w:tcPr>
          <w:p>
            <w:pPr>
              <w:snapToGrid w:val="0"/>
              <w:spacing w:line="276" w:lineRule="auto"/>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69" w:type="dxa"/>
            <w:gridSpan w:val="2"/>
          </w:tcPr>
          <w:p>
            <w:pPr>
              <w:snapToGrid w:val="0"/>
              <w:spacing w:line="276" w:lineRule="auto"/>
              <w:rPr>
                <w:szCs w:val="21"/>
              </w:rPr>
            </w:pPr>
            <w:r>
              <w:rPr>
                <w:rFonts w:hint="eastAsia"/>
                <w:szCs w:val="21"/>
              </w:rPr>
              <w:t>（3）景观灯</w:t>
            </w:r>
          </w:p>
        </w:tc>
        <w:tc>
          <w:tcPr>
            <w:tcW w:w="2923" w:type="dxa"/>
          </w:tcPr>
          <w:p>
            <w:pPr>
              <w:snapToGrid w:val="0"/>
              <w:spacing w:line="276" w:lineRule="auto"/>
              <w:jc w:val="center"/>
              <w:rPr>
                <w:szCs w:val="21"/>
              </w:rPr>
            </w:pPr>
            <w:r>
              <w:rPr>
                <w:rFonts w:hint="eastAsia"/>
                <w:szCs w:val="21"/>
              </w:rPr>
              <w:t>有</w:t>
            </w:r>
          </w:p>
        </w:tc>
        <w:tc>
          <w:tcPr>
            <w:tcW w:w="1979" w:type="dxa"/>
          </w:tcPr>
          <w:p>
            <w:pPr>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3669" w:type="dxa"/>
            <w:gridSpan w:val="2"/>
          </w:tcPr>
          <w:p>
            <w:pPr>
              <w:snapToGrid w:val="0"/>
              <w:spacing w:line="276" w:lineRule="auto"/>
              <w:rPr>
                <w:b/>
                <w:bCs/>
                <w:szCs w:val="21"/>
              </w:rPr>
            </w:pPr>
            <w:r>
              <w:rPr>
                <w:rFonts w:hint="eastAsia"/>
                <w:szCs w:val="21"/>
              </w:rPr>
              <w:t>8、公共音响系统</w:t>
            </w:r>
          </w:p>
        </w:tc>
        <w:tc>
          <w:tcPr>
            <w:tcW w:w="2923" w:type="dxa"/>
          </w:tcPr>
          <w:p>
            <w:pPr>
              <w:snapToGrid w:val="0"/>
              <w:spacing w:line="276" w:lineRule="auto"/>
              <w:jc w:val="center"/>
              <w:rPr>
                <w:b/>
                <w:bCs/>
                <w:szCs w:val="21"/>
              </w:rPr>
            </w:pPr>
          </w:p>
        </w:tc>
        <w:tc>
          <w:tcPr>
            <w:tcW w:w="1979" w:type="dxa"/>
          </w:tcPr>
          <w:p>
            <w:pPr>
              <w:snapToGrid w:val="0"/>
              <w:spacing w:line="276" w:lineRule="auto"/>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71" w:type="dxa"/>
            <w:gridSpan w:val="4"/>
            <w:vAlign w:val="center"/>
          </w:tcPr>
          <w:p>
            <w:pPr>
              <w:snapToGrid w:val="0"/>
              <w:spacing w:line="276" w:lineRule="auto"/>
              <w:rPr>
                <w:b/>
                <w:bCs/>
                <w:szCs w:val="21"/>
              </w:rPr>
            </w:pPr>
            <w:r>
              <w:rPr>
                <w:rFonts w:hint="eastAsia"/>
                <w:szCs w:val="21"/>
              </w:rPr>
              <w:t>9、建筑小品无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7" w:type="dxa"/>
            <w:vMerge w:val="restart"/>
          </w:tcPr>
          <w:p>
            <w:pPr>
              <w:snapToGrid w:val="0"/>
              <w:spacing w:line="276" w:lineRule="auto"/>
              <w:ind w:firstLine="422" w:firstLineChars="200"/>
              <w:rPr>
                <w:b/>
                <w:bCs/>
                <w:szCs w:val="21"/>
              </w:rPr>
            </w:pPr>
          </w:p>
          <w:p>
            <w:pPr>
              <w:snapToGrid w:val="0"/>
              <w:spacing w:line="276" w:lineRule="auto"/>
              <w:rPr>
                <w:szCs w:val="21"/>
              </w:rPr>
            </w:pPr>
            <w:r>
              <w:rPr>
                <w:rFonts w:hint="eastAsia"/>
                <w:szCs w:val="21"/>
              </w:rPr>
              <w:t>10、电</w:t>
            </w:r>
          </w:p>
          <w:p>
            <w:pPr>
              <w:snapToGrid w:val="0"/>
              <w:spacing w:line="276" w:lineRule="auto"/>
              <w:rPr>
                <w:b/>
                <w:bCs/>
                <w:szCs w:val="21"/>
              </w:rPr>
            </w:pPr>
            <w:r>
              <w:rPr>
                <w:rFonts w:hint="eastAsia"/>
                <w:szCs w:val="21"/>
              </w:rPr>
              <w:t>梯</w:t>
            </w:r>
          </w:p>
        </w:tc>
        <w:tc>
          <w:tcPr>
            <w:tcW w:w="7754" w:type="dxa"/>
            <w:gridSpan w:val="3"/>
            <w:vAlign w:val="center"/>
          </w:tcPr>
          <w:p>
            <w:pPr>
              <w:snapToGrid w:val="0"/>
              <w:spacing w:line="276" w:lineRule="auto"/>
              <w:rPr>
                <w:szCs w:val="21"/>
              </w:rPr>
            </w:pPr>
            <w:r>
              <w:rPr>
                <w:rFonts w:hint="eastAsia"/>
                <w:szCs w:val="21"/>
              </w:rPr>
              <w:t>台数：无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7" w:type="dxa"/>
            <w:vMerge w:val="continue"/>
          </w:tcPr>
          <w:p>
            <w:pPr>
              <w:snapToGrid w:val="0"/>
              <w:spacing w:line="276" w:lineRule="auto"/>
              <w:ind w:firstLine="422" w:firstLineChars="200"/>
              <w:rPr>
                <w:b/>
                <w:bCs/>
                <w:szCs w:val="21"/>
              </w:rPr>
            </w:pPr>
          </w:p>
        </w:tc>
        <w:tc>
          <w:tcPr>
            <w:tcW w:w="7754" w:type="dxa"/>
            <w:gridSpan w:val="3"/>
            <w:vAlign w:val="center"/>
          </w:tcPr>
          <w:p>
            <w:pPr>
              <w:snapToGrid w:val="0"/>
              <w:spacing w:line="276" w:lineRule="auto"/>
              <w:rPr>
                <w:szCs w:val="21"/>
              </w:rPr>
            </w:pPr>
            <w:r>
              <w:rPr>
                <w:rFonts w:hint="eastAsia"/>
                <w:szCs w:val="21"/>
              </w:rPr>
              <w:t>梯速：无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7" w:type="dxa"/>
            <w:vMerge w:val="continue"/>
          </w:tcPr>
          <w:p>
            <w:pPr>
              <w:snapToGrid w:val="0"/>
              <w:spacing w:line="276" w:lineRule="auto"/>
              <w:ind w:firstLine="422" w:firstLineChars="200"/>
              <w:rPr>
                <w:b/>
                <w:bCs/>
                <w:szCs w:val="21"/>
              </w:rPr>
            </w:pPr>
          </w:p>
        </w:tc>
        <w:tc>
          <w:tcPr>
            <w:tcW w:w="7754" w:type="dxa"/>
            <w:gridSpan w:val="3"/>
            <w:vAlign w:val="center"/>
          </w:tcPr>
          <w:p>
            <w:pPr>
              <w:snapToGrid w:val="0"/>
              <w:spacing w:line="276" w:lineRule="auto"/>
              <w:rPr>
                <w:szCs w:val="21"/>
              </w:rPr>
            </w:pPr>
            <w:r>
              <w:rPr>
                <w:rFonts w:hint="eastAsia"/>
                <w:szCs w:val="21"/>
              </w:rPr>
              <w:t>品牌：无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7" w:type="dxa"/>
            <w:vMerge w:val="continue"/>
          </w:tcPr>
          <w:p>
            <w:pPr>
              <w:snapToGrid w:val="0"/>
              <w:spacing w:line="276" w:lineRule="auto"/>
              <w:ind w:firstLine="422" w:firstLineChars="200"/>
              <w:rPr>
                <w:b/>
                <w:bCs/>
                <w:szCs w:val="21"/>
              </w:rPr>
            </w:pPr>
          </w:p>
        </w:tc>
        <w:tc>
          <w:tcPr>
            <w:tcW w:w="7754" w:type="dxa"/>
            <w:gridSpan w:val="3"/>
            <w:vAlign w:val="center"/>
          </w:tcPr>
          <w:p>
            <w:pPr>
              <w:snapToGrid w:val="0"/>
              <w:spacing w:line="276" w:lineRule="auto"/>
              <w:rPr>
                <w:szCs w:val="21"/>
                <w:u w:val="single"/>
              </w:rPr>
            </w:pPr>
            <w:r>
              <w:rPr>
                <w:rFonts w:hint="eastAsia"/>
                <w:szCs w:val="21"/>
              </w:rPr>
              <w:t>载重：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7" w:type="dxa"/>
            <w:vMerge w:val="continue"/>
          </w:tcPr>
          <w:p>
            <w:pPr>
              <w:snapToGrid w:val="0"/>
              <w:spacing w:line="276" w:lineRule="auto"/>
              <w:ind w:firstLine="422" w:firstLineChars="200"/>
              <w:rPr>
                <w:b/>
                <w:bCs/>
                <w:szCs w:val="21"/>
              </w:rPr>
            </w:pPr>
          </w:p>
        </w:tc>
        <w:tc>
          <w:tcPr>
            <w:tcW w:w="7754" w:type="dxa"/>
            <w:gridSpan w:val="3"/>
          </w:tcPr>
          <w:p>
            <w:pPr>
              <w:snapToGrid w:val="0"/>
              <w:spacing w:line="276" w:lineRule="auto"/>
              <w:rPr>
                <w:b/>
                <w:bCs/>
                <w:szCs w:val="21"/>
              </w:rPr>
            </w:pPr>
            <w:r>
              <w:rPr>
                <w:rFonts w:hint="eastAsia"/>
                <w:szCs w:val="21"/>
              </w:rPr>
              <w:t>备注：</w:t>
            </w:r>
          </w:p>
        </w:tc>
      </w:tr>
    </w:tbl>
    <w:p>
      <w:pPr>
        <w:tabs>
          <w:tab w:val="left" w:pos="510"/>
          <w:tab w:val="left" w:pos="735"/>
          <w:tab w:val="left" w:pos="945"/>
          <w:tab w:val="left" w:pos="1155"/>
        </w:tabs>
        <w:spacing w:line="360" w:lineRule="auto"/>
        <w:ind w:firstLine="420"/>
        <w:rPr>
          <w:rFonts w:ascii="宋体" w:hAnsi="宋体" w:eastAsia="宋体"/>
          <w:b w:val="0"/>
          <w:bCs w:val="0"/>
          <w:sz w:val="24"/>
        </w:rPr>
      </w:pPr>
      <w:r>
        <w:rPr>
          <w:rFonts w:hint="eastAsia" w:ascii="宋体" w:hAnsi="宋体" w:eastAsia="宋体"/>
          <w:b w:val="0"/>
          <w:bCs w:val="0"/>
          <w:sz w:val="24"/>
        </w:rPr>
        <w:t>其它：自行踏勘现场</w:t>
      </w:r>
    </w:p>
    <w:p>
      <w:pPr>
        <w:tabs>
          <w:tab w:val="left" w:pos="510"/>
          <w:tab w:val="left" w:pos="735"/>
          <w:tab w:val="left" w:pos="945"/>
          <w:tab w:val="left" w:pos="1155"/>
        </w:tabs>
        <w:spacing w:line="360" w:lineRule="auto"/>
        <w:ind w:firstLine="420"/>
        <w:rPr>
          <w:rFonts w:ascii="宋体" w:hAnsi="宋体" w:eastAsia="宋体"/>
          <w:b w:val="0"/>
          <w:bCs w:val="0"/>
          <w:sz w:val="24"/>
        </w:rPr>
      </w:pPr>
      <w:r>
        <w:rPr>
          <w:rFonts w:hint="eastAsia" w:ascii="宋体" w:hAnsi="宋体" w:eastAsia="宋体"/>
          <w:b w:val="0"/>
          <w:bCs w:val="0"/>
          <w:sz w:val="24"/>
        </w:rPr>
        <w:t>详细情况请投标单位自行现场勘察，项目概况以现场实际存在为准。</w:t>
      </w:r>
    </w:p>
    <w:p>
      <w:pPr>
        <w:snapToGrid w:val="0"/>
        <w:spacing w:line="276" w:lineRule="auto"/>
        <w:rPr>
          <w:rFonts w:ascii="宋体" w:hAnsi="宋体" w:eastAsia="宋体"/>
          <w:sz w:val="24"/>
        </w:rPr>
      </w:pPr>
      <w:r>
        <w:rPr>
          <w:rFonts w:hint="eastAsia" w:ascii="宋体" w:hAnsi="宋体" w:eastAsia="宋体" w:cs="宋体"/>
          <w:b/>
          <w:bCs/>
          <w:sz w:val="24"/>
        </w:rPr>
        <w:t>二、服务要求及相关标准</w:t>
      </w:r>
    </w:p>
    <w:p>
      <w:pPr>
        <w:tabs>
          <w:tab w:val="left" w:pos="510"/>
          <w:tab w:val="left" w:pos="735"/>
          <w:tab w:val="left" w:pos="945"/>
          <w:tab w:val="left" w:pos="1155"/>
        </w:tabs>
        <w:spacing w:line="360" w:lineRule="auto"/>
        <w:rPr>
          <w:rFonts w:ascii="宋体" w:hAnsi="宋体" w:eastAsia="宋体"/>
          <w:sz w:val="24"/>
        </w:rPr>
      </w:pPr>
      <w:r>
        <w:rPr>
          <w:rFonts w:hint="eastAsia" w:ascii="宋体" w:hAnsi="宋体" w:eastAsia="宋体"/>
          <w:sz w:val="24"/>
        </w:rPr>
        <w:t>（一）物业管理</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主要包括房屋建筑共用部位、共用设施设备的维修、养护、运行和管理，附属配套建筑和设施的维修、养护和管理，应业主要求进行的室内特约维修服务，公共环境卫生、垃圾的收集、清运，管理好物业管理区域内公共秩序、安全防范、消防通道、规范停车秩序等事项，交通与车辆停放秩序的管理，维持公共秩序，日常管理与服务等。物业公司要履行物业费收取和车辆停放服务费收取的工作职责，须为商业用房提供物业服务，并负责向商业用房使用人收取相关费用。</w:t>
      </w:r>
    </w:p>
    <w:p>
      <w:pPr>
        <w:tabs>
          <w:tab w:val="left" w:pos="510"/>
          <w:tab w:val="left" w:pos="735"/>
          <w:tab w:val="left" w:pos="945"/>
          <w:tab w:val="left" w:pos="1155"/>
        </w:tabs>
        <w:spacing w:line="360" w:lineRule="auto"/>
        <w:rPr>
          <w:rFonts w:ascii="宋体" w:hAnsi="宋体" w:eastAsia="宋体"/>
          <w:sz w:val="24"/>
        </w:rPr>
      </w:pPr>
      <w:r>
        <w:rPr>
          <w:rFonts w:hint="eastAsia" w:ascii="宋体" w:hAnsi="宋体" w:eastAsia="宋体"/>
          <w:sz w:val="24"/>
        </w:rPr>
        <w:t>（二）物业公司交接</w:t>
      </w:r>
    </w:p>
    <w:p>
      <w:pPr>
        <w:tabs>
          <w:tab w:val="left" w:pos="510"/>
          <w:tab w:val="left" w:pos="735"/>
          <w:tab w:val="left" w:pos="945"/>
          <w:tab w:val="left" w:pos="1155"/>
        </w:tabs>
        <w:spacing w:line="360" w:lineRule="auto"/>
        <w:ind w:firstLine="480" w:firstLineChars="200"/>
        <w:rPr>
          <w:rFonts w:ascii="宋体" w:hAnsi="宋体" w:eastAsia="宋体"/>
          <w:color w:val="FF0000"/>
          <w:sz w:val="24"/>
        </w:rPr>
      </w:pPr>
      <w:r>
        <w:rPr>
          <w:rFonts w:hint="eastAsia" w:ascii="宋体" w:hAnsi="宋体" w:eastAsia="宋体"/>
          <w:sz w:val="24"/>
        </w:rPr>
        <w:t>1.中标物业公司应全员接收原项目上的工作人员，并保证</w:t>
      </w:r>
      <w:r>
        <w:rPr>
          <w:rFonts w:hint="eastAsia" w:ascii="宋体" w:hAnsi="宋体" w:eastAsia="宋体"/>
          <w:sz w:val="24"/>
          <w:lang w:val="en-US" w:eastAsia="zh-CN"/>
        </w:rPr>
        <w:t>6</w:t>
      </w:r>
      <w:r>
        <w:rPr>
          <w:rFonts w:hint="eastAsia" w:ascii="宋体" w:hAnsi="宋体" w:eastAsia="宋体"/>
          <w:sz w:val="24"/>
        </w:rPr>
        <w:t>个月的平稳过渡期，过渡期内原则上禁止开除原工作人员。</w:t>
      </w:r>
      <w:r>
        <w:rPr>
          <w:rFonts w:hint="eastAsia" w:ascii="宋体" w:hAnsi="宋体" w:eastAsia="宋体"/>
          <w:sz w:val="24"/>
          <w:lang w:val="en-US" w:eastAsia="zh-CN"/>
        </w:rPr>
        <w:t>6</w:t>
      </w:r>
      <w:r>
        <w:rPr>
          <w:rFonts w:hint="eastAsia" w:ascii="宋体" w:hAnsi="宋体" w:eastAsia="宋体"/>
          <w:sz w:val="24"/>
        </w:rPr>
        <w:t>个月后物业公司可根据员工实际工作和考核情况予以调整。</w:t>
      </w:r>
      <w:r>
        <w:rPr>
          <w:rFonts w:hint="eastAsia" w:ascii="宋体" w:hAnsi="宋体" w:eastAsia="宋体"/>
          <w:b/>
          <w:bCs/>
          <w:color w:val="FF0000"/>
          <w:sz w:val="24"/>
        </w:rPr>
        <w:t>本项目中标单位</w:t>
      </w:r>
      <w:r>
        <w:rPr>
          <w:rFonts w:hint="eastAsia" w:ascii="宋体" w:hAnsi="宋体" w:eastAsia="宋体"/>
          <w:b/>
          <w:bCs/>
          <w:color w:val="FF0000"/>
          <w:sz w:val="24"/>
          <w:lang w:val="en-US" w:eastAsia="zh-CN"/>
        </w:rPr>
        <w:t>承诺</w:t>
      </w:r>
      <w:r>
        <w:rPr>
          <w:rFonts w:hint="eastAsia" w:ascii="宋体" w:hAnsi="宋体" w:eastAsia="宋体"/>
          <w:b/>
          <w:bCs/>
          <w:color w:val="FF0000"/>
          <w:sz w:val="24"/>
        </w:rPr>
        <w:t>必须接收原项目上</w:t>
      </w:r>
      <w:r>
        <w:rPr>
          <w:rFonts w:hint="eastAsia" w:ascii="宋体" w:hAnsi="宋体" w:eastAsia="宋体"/>
          <w:b/>
          <w:bCs/>
          <w:color w:val="FF0000"/>
          <w:sz w:val="24"/>
          <w:lang w:val="en-US" w:eastAsia="zh-CN"/>
        </w:rPr>
        <w:t>拟留用的</w:t>
      </w:r>
      <w:r>
        <w:rPr>
          <w:rFonts w:hint="eastAsia" w:ascii="宋体" w:hAnsi="宋体" w:eastAsia="宋体"/>
          <w:b/>
          <w:bCs/>
          <w:color w:val="FF0000"/>
          <w:sz w:val="24"/>
        </w:rPr>
        <w:t>工作人员。（需提供承诺函，本项为实质性条款）</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2.中标物业公司应提前进场对小区现状、人员结构、服务内容及范围等进行前期查看。</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3.中标物业公司应按照承接查验规范流程与原物业公司做好交接工作，包括台账资料、作业工具等。交接过程中形成书面材料，并得到社区认可。</w:t>
      </w:r>
    </w:p>
    <w:p>
      <w:pPr>
        <w:tabs>
          <w:tab w:val="left" w:pos="510"/>
          <w:tab w:val="left" w:pos="735"/>
          <w:tab w:val="left" w:pos="945"/>
          <w:tab w:val="left" w:pos="1155"/>
        </w:tabs>
        <w:spacing w:line="360" w:lineRule="auto"/>
        <w:rPr>
          <w:rFonts w:ascii="宋体" w:hAnsi="宋体" w:eastAsia="宋体"/>
          <w:sz w:val="24"/>
        </w:rPr>
      </w:pPr>
      <w:r>
        <w:rPr>
          <w:rFonts w:hint="eastAsia" w:ascii="宋体" w:hAnsi="宋体" w:eastAsia="宋体"/>
          <w:sz w:val="24"/>
        </w:rPr>
        <w:t>（三）物业公司人员配备及管理</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1.选派的项目经理（负责人）应是中标单位推荐的项目经理（负责人）备选库中的人员。未经采购方同意，一个项目经理（负责人）不得同时负责两个及两个以上项目。</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2.物业公司应提前踏勘项目现场并明确工作人员数量、工作内容和标准等，保障项目正常运行，所在项目必须保证一定数量的社保缴纳人数，工作人员总人数不得低于采购方规定的人数。</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3.服务人员要统一着装、持证上岗、尽职尽责，岗位职责公开公布。</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4.物业公司应在合同中明确人员工资、社会保险缴费等问题，并明确合同期内如遇国家最低工资、最低社会保险缴纳基数等政策调整，物业公司须保障其员工的基本法定待遇，采购方不予以任何形式补贴。</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5.配有消控室的小区，物业公司必须配备专业的设施设备管理人员，消控室工作人员持证上岗，实行24小时值班制度。</w:t>
      </w:r>
    </w:p>
    <w:p>
      <w:pPr>
        <w:tabs>
          <w:tab w:val="left" w:pos="510"/>
          <w:tab w:val="left" w:pos="735"/>
          <w:tab w:val="left" w:pos="945"/>
          <w:tab w:val="left" w:pos="1155"/>
        </w:tabs>
        <w:spacing w:line="360" w:lineRule="auto"/>
        <w:ind w:firstLine="480" w:firstLineChars="200"/>
        <w:rPr>
          <w:rFonts w:hint="eastAsia" w:ascii="宋体" w:hAnsi="宋体" w:eastAsia="宋体"/>
          <w:sz w:val="24"/>
        </w:rPr>
      </w:pPr>
      <w:r>
        <w:rPr>
          <w:rFonts w:hint="eastAsia" w:ascii="宋体" w:hAnsi="宋体" w:eastAsia="宋体"/>
          <w:sz w:val="24"/>
        </w:rPr>
        <w:t>6.有岗前培训，物业服务人员100%经过岗前或在岗培训合格才能独立在岗。物业公司每年需组织不低于3次的物业培训工作，提升物业服务专业知识。</w:t>
      </w:r>
    </w:p>
    <w:p>
      <w:pPr>
        <w:tabs>
          <w:tab w:val="left" w:pos="510"/>
          <w:tab w:val="left" w:pos="735"/>
          <w:tab w:val="left" w:pos="945"/>
          <w:tab w:val="left" w:pos="1155"/>
        </w:tabs>
        <w:spacing w:line="360" w:lineRule="auto"/>
        <w:rPr>
          <w:rFonts w:ascii="宋体" w:hAnsi="宋体" w:eastAsia="宋体"/>
          <w:sz w:val="24"/>
          <w:highlight w:val="none"/>
        </w:rPr>
      </w:pPr>
      <w:r>
        <w:rPr>
          <w:rFonts w:hint="eastAsia" w:ascii="宋体" w:hAnsi="宋体" w:eastAsia="宋体"/>
          <w:sz w:val="24"/>
          <w:highlight w:val="none"/>
        </w:rPr>
        <w:t>（四）公共基础设施设备管理</w:t>
      </w:r>
    </w:p>
    <w:p>
      <w:pPr>
        <w:tabs>
          <w:tab w:val="left" w:pos="510"/>
          <w:tab w:val="left" w:pos="735"/>
          <w:tab w:val="left" w:pos="945"/>
          <w:tab w:val="left" w:pos="1155"/>
        </w:tabs>
        <w:spacing w:line="360" w:lineRule="auto"/>
        <w:ind w:firstLine="480" w:firstLineChars="200"/>
        <w:rPr>
          <w:rFonts w:ascii="宋体" w:hAnsi="宋体" w:eastAsia="宋体"/>
          <w:sz w:val="24"/>
          <w:highlight w:val="none"/>
        </w:rPr>
      </w:pPr>
      <w:r>
        <w:rPr>
          <w:rFonts w:hint="eastAsia" w:ascii="宋体" w:hAnsi="宋体" w:eastAsia="宋体"/>
          <w:sz w:val="24"/>
          <w:highlight w:val="none"/>
        </w:rPr>
        <w:t>1.物业公司必须配备专业的设施设备管理人员，管理人员应熟悉各类特种设备的操作使用方法。小区电梯维保和消防维保由镇政府单独发包，但物业公司需对电梯、消防设施设备进行日常管理，包括消防安全工作责任、消防安全管理制度、灭火和应急疏散预案、消防设施登记、消防培训档案、维保单位现场工作监督等，并纳入物业考核要求。</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2.小区发生安全责任事故的，经鉴定是因物业公司巡查管理不到位造成的，如消防通道堵塞、杂物堆放、私拉乱接等，由物业公司承担一切责任。</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3.小区房屋建筑共用部位、共用设施设备易损件由物业公司承担，主要包括：水龙头、落水管、落水斗、楼道灯、天窗盖板、伸缩缝盖板（不锈钢）、单元门器件、钢化玻璃、雨污水井盖板、门窗、锁、污水泵、指示牌、警示桩、消防龙带、消防箱玻璃等。物业公司需切实履行巡查职责，巡查中发现的问题属于自身维修范围的应及时维修到位，不在维修职责范围的应及时以书面形式上报社区。若因巡查不到位导致公共基础设施设备维修不及时的，物业公司需承担相应责任。</w:t>
      </w:r>
    </w:p>
    <w:p>
      <w:pPr>
        <w:tabs>
          <w:tab w:val="left" w:pos="510"/>
          <w:tab w:val="left" w:pos="735"/>
          <w:tab w:val="left" w:pos="945"/>
          <w:tab w:val="left" w:pos="1155"/>
        </w:tabs>
        <w:spacing w:line="360" w:lineRule="auto"/>
        <w:rPr>
          <w:rFonts w:ascii="宋体" w:hAnsi="宋体" w:eastAsia="宋体"/>
          <w:sz w:val="24"/>
        </w:rPr>
      </w:pPr>
      <w:r>
        <w:rPr>
          <w:rFonts w:hint="eastAsia" w:ascii="宋体" w:hAnsi="宋体" w:eastAsia="宋体"/>
          <w:sz w:val="24"/>
        </w:rPr>
        <w:t>（五）公共秩序管理</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1.违建巡查。物业公司应履行小区违建巡查职责，指派专人定期巡查，发现在建违章，应在第一时间进行劝阻制止，并留有书面记录，以书面形式汇报至相应社区，并配合职能部门违章拆除工作。因物业公司巡查不到位导致违章搭建成事实的，按照合同相关要求进行严厉处罚。</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2.车辆管理。物业公司应指派专人对小区的车辆秩序进行管理，确保小区车辆停放规范有序。</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3.装修管理。物业公司应加强装修管理，应告知业主装修规定、流程及注意行为，签订装修管理协议，加强对业主装修过程的监督与管理，对违规装修问题应及时劝阻并上报社区及主管部门，因巡查不到位导致违规装修成现实的，物业公司需承担相应责任。</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4.商铺管理。物业公司需对小区配套商铺进行管理，主要有商铺装修管理、建筑垃圾堆放清运、商铺店招前期管理。</w:t>
      </w:r>
    </w:p>
    <w:p>
      <w:pPr>
        <w:tabs>
          <w:tab w:val="left" w:pos="510"/>
          <w:tab w:val="left" w:pos="735"/>
          <w:tab w:val="left" w:pos="945"/>
          <w:tab w:val="left" w:pos="1155"/>
        </w:tabs>
        <w:spacing w:line="360" w:lineRule="auto"/>
        <w:rPr>
          <w:rFonts w:ascii="宋体" w:hAnsi="宋体" w:eastAsia="宋体"/>
          <w:sz w:val="24"/>
        </w:rPr>
      </w:pPr>
      <w:r>
        <w:rPr>
          <w:rFonts w:hint="eastAsia" w:ascii="宋体" w:hAnsi="宋体" w:eastAsia="宋体"/>
          <w:sz w:val="24"/>
        </w:rPr>
        <w:t>（六）费用相关要求</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1、物业公司需配合</w:t>
      </w:r>
      <w:r>
        <w:rPr>
          <w:rFonts w:hint="eastAsia" w:ascii="宋体" w:hAnsi="宋体" w:eastAsia="宋体"/>
          <w:color w:val="auto"/>
          <w:sz w:val="24"/>
        </w:rPr>
        <w:t>街道办事处</w:t>
      </w:r>
      <w:r>
        <w:rPr>
          <w:rFonts w:hint="eastAsia" w:ascii="宋体" w:hAnsi="宋体" w:eastAsia="宋体"/>
          <w:sz w:val="24"/>
        </w:rPr>
        <w:t>、社区开展小区车辆停放服务费、相关物业费收取工作。</w:t>
      </w:r>
    </w:p>
    <w:p>
      <w:pPr>
        <w:tabs>
          <w:tab w:val="left" w:pos="510"/>
          <w:tab w:val="left" w:pos="735"/>
          <w:tab w:val="left" w:pos="945"/>
          <w:tab w:val="left" w:pos="1155"/>
        </w:tabs>
        <w:spacing w:line="360" w:lineRule="auto"/>
        <w:ind w:firstLine="480" w:firstLineChars="200"/>
        <w:rPr>
          <w:rFonts w:ascii="宋体" w:hAnsi="宋体" w:eastAsia="宋体"/>
          <w:sz w:val="24"/>
        </w:rPr>
      </w:pPr>
      <w:r>
        <w:rPr>
          <w:rFonts w:hint="eastAsia" w:ascii="宋体" w:hAnsi="宋体" w:eastAsia="宋体"/>
          <w:sz w:val="24"/>
        </w:rPr>
        <w:t>2、空置的住宅，按中标单价的50%执行，差额部分在支付物业管理服务费时予以扣除，空置住宅以</w:t>
      </w:r>
      <w:r>
        <w:rPr>
          <w:rFonts w:hint="eastAsia" w:ascii="宋体" w:hAnsi="宋体" w:eastAsia="宋体"/>
          <w:color w:val="auto"/>
          <w:sz w:val="24"/>
        </w:rPr>
        <w:t>春江街道建设局和社区</w:t>
      </w:r>
      <w:r>
        <w:rPr>
          <w:rFonts w:hint="eastAsia" w:ascii="宋体" w:hAnsi="宋体" w:eastAsia="宋体"/>
          <w:sz w:val="24"/>
        </w:rPr>
        <w:t>提供的数据为准，签订物业合同时统计一次数量，后续每6个月统计一次。</w:t>
      </w:r>
    </w:p>
    <w:p>
      <w:pPr>
        <w:tabs>
          <w:tab w:val="left" w:pos="510"/>
          <w:tab w:val="left" w:pos="735"/>
          <w:tab w:val="left" w:pos="945"/>
          <w:tab w:val="left" w:pos="1155"/>
        </w:tabs>
        <w:spacing w:line="360" w:lineRule="auto"/>
        <w:ind w:firstLine="480" w:firstLineChars="200"/>
        <w:rPr>
          <w:rFonts w:hint="eastAsia" w:ascii="宋体" w:hAnsi="宋体" w:eastAsia="宋体"/>
          <w:sz w:val="24"/>
        </w:rPr>
      </w:pPr>
      <w:r>
        <w:rPr>
          <w:rFonts w:hint="eastAsia" w:ascii="宋体" w:hAnsi="宋体" w:eastAsia="宋体"/>
          <w:sz w:val="24"/>
        </w:rPr>
        <w:t>3、各类广告、临时停车等项目须与社区、</w:t>
      </w:r>
      <w:r>
        <w:rPr>
          <w:rFonts w:hint="eastAsia" w:ascii="宋体" w:hAnsi="宋体" w:eastAsia="宋体"/>
          <w:color w:val="auto"/>
          <w:sz w:val="24"/>
        </w:rPr>
        <w:t>街道农村工作局按相关规定协商后实施，如须调整相关价格必须与社区、街道农村工作局</w:t>
      </w:r>
      <w:r>
        <w:rPr>
          <w:rFonts w:hint="eastAsia" w:ascii="宋体" w:hAnsi="宋体" w:eastAsia="宋体"/>
          <w:sz w:val="24"/>
        </w:rPr>
        <w:t>商定。</w:t>
      </w:r>
    </w:p>
    <w:p>
      <w:pPr>
        <w:tabs>
          <w:tab w:val="left" w:pos="510"/>
          <w:tab w:val="left" w:pos="735"/>
          <w:tab w:val="left" w:pos="945"/>
          <w:tab w:val="left" w:pos="1155"/>
        </w:tabs>
        <w:spacing w:line="360" w:lineRule="auto"/>
        <w:rPr>
          <w:rFonts w:hint="eastAsia" w:ascii="宋体" w:hAnsi="宋体" w:eastAsia="宋体"/>
          <w:b/>
          <w:bCs/>
          <w:sz w:val="24"/>
          <w:highlight w:val="none"/>
        </w:rPr>
      </w:pPr>
      <w:r>
        <w:rPr>
          <w:rFonts w:hint="eastAsia" w:ascii="宋体" w:hAnsi="宋体" w:eastAsia="宋体"/>
          <w:b/>
          <w:bCs/>
          <w:sz w:val="24"/>
          <w:highlight w:val="none"/>
        </w:rPr>
        <w:t>三、岗位人员配置及要求</w:t>
      </w:r>
    </w:p>
    <w:p>
      <w:pPr>
        <w:snapToGrid w:val="0"/>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rPr>
        <w:t>1、所有服务人员须身体健康、适合安置小区环境工作。</w:t>
      </w:r>
    </w:p>
    <w:p>
      <w:pPr>
        <w:snapToGrid w:val="0"/>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rPr>
        <w:t>2、有岗前培训，物业服务人员100%经过岗前或在岗培训合格才能独立在岗。</w:t>
      </w:r>
    </w:p>
    <w:p>
      <w:pPr>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人员必须相对固定，不得兼职其他岗位，避免经常更换。更换人员或新进人员必须及时通知采购方，并得到采购方相关管理部门的同意。中标人不得通过不正当手法频繁更换人员获取利益。对进驻小区物业服务不满1个月就更换人员，每有1人次则扣罚物业公司管理费500元（因采购方要求换人或员工生病等特殊情况除外）。</w:t>
      </w:r>
    </w:p>
    <w:p>
      <w:pPr>
        <w:snapToGrid w:val="0"/>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rPr>
        <w:t>4、中标人安排在该项目的所有员工必须遵纪守法不得从事非法活动。如有不服从采购方管理、不熟悉操作或工作态度差的员工，采购方有权要求中标人辞退、更换。</w:t>
      </w:r>
    </w:p>
    <w:p>
      <w:pPr>
        <w:snapToGrid w:val="0"/>
        <w:spacing w:line="360" w:lineRule="auto"/>
        <w:ind w:firstLine="482" w:firstLineChars="200"/>
        <w:jc w:val="left"/>
        <w:rPr>
          <w:rFonts w:hint="default" w:cs="宋体" w:asciiTheme="minorEastAsia" w:hAnsiTheme="minorEastAsia" w:eastAsiaTheme="minorEastAsia"/>
          <w:b/>
          <w:bCs/>
          <w:sz w:val="24"/>
          <w:szCs w:val="24"/>
          <w:lang w:val="en-US" w:eastAsia="zh-CN"/>
        </w:rPr>
      </w:pPr>
      <w:r>
        <w:rPr>
          <w:rFonts w:hint="eastAsia" w:cs="宋体" w:asciiTheme="minorEastAsia" w:hAnsiTheme="minorEastAsia"/>
          <w:b/>
          <w:bCs/>
          <w:sz w:val="24"/>
          <w:szCs w:val="24"/>
          <w:lang w:val="en-US" w:eastAsia="zh-CN"/>
        </w:rPr>
        <w:t>最低人员配置表：</w:t>
      </w:r>
    </w:p>
    <w:tbl>
      <w:tblPr>
        <w:tblStyle w:val="3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30"/>
        <w:gridCol w:w="1247"/>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08"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序号</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部门（岗位）</w:t>
            </w:r>
          </w:p>
        </w:tc>
        <w:tc>
          <w:tcPr>
            <w:tcW w:w="1247"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人数最低配置</w:t>
            </w:r>
          </w:p>
        </w:tc>
        <w:tc>
          <w:tcPr>
            <w:tcW w:w="5415"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1</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项目负责人</w:t>
            </w:r>
          </w:p>
        </w:tc>
        <w:tc>
          <w:tcPr>
            <w:tcW w:w="1247" w:type="dxa"/>
            <w:vAlign w:val="center"/>
          </w:tcPr>
          <w:p>
            <w:pPr>
              <w:keepNext w:val="0"/>
              <w:keepLines w:val="0"/>
              <w:widowControl/>
              <w:suppressLineNumbers w:val="0"/>
              <w:jc w:val="center"/>
              <w:textAlignment w:val="center"/>
              <w:rPr>
                <w:rFonts w:ascii="宋体" w:hAnsi="宋体" w:eastAsia="宋体" w:cs="宋体"/>
                <w:color w:val="000000"/>
                <w:sz w:val="22"/>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5415" w:type="dxa"/>
            <w:vAlign w:val="center"/>
          </w:tcPr>
          <w:p>
            <w:pPr>
              <w:snapToGrid w:val="0"/>
              <w:rPr>
                <w:rFonts w:ascii="宋体" w:hAnsi="宋体" w:eastAsia="宋体" w:cs="宋体"/>
                <w:highlight w:val="none"/>
              </w:rPr>
            </w:pPr>
            <w:r>
              <w:rPr>
                <w:rFonts w:hint="eastAsia" w:ascii="宋体" w:hAnsi="宋体" w:eastAsia="宋体" w:cs="宋体"/>
                <w:highlight w:val="none"/>
              </w:rPr>
              <w:t>男性或女性年龄均在50周岁（含）以下，具有高中（含）以上文化程度、2年以上物业经理经验。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2</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客服兼内勤及档案信息管理</w:t>
            </w:r>
          </w:p>
        </w:tc>
        <w:tc>
          <w:tcPr>
            <w:tcW w:w="1247" w:type="dxa"/>
            <w:vAlign w:val="center"/>
          </w:tcPr>
          <w:p>
            <w:pPr>
              <w:keepNext w:val="0"/>
              <w:keepLines w:val="0"/>
              <w:widowControl/>
              <w:suppressLineNumbers w:val="0"/>
              <w:jc w:val="center"/>
              <w:textAlignment w:val="center"/>
              <w:rPr>
                <w:rFonts w:ascii="宋体" w:hAnsi="宋体" w:eastAsia="宋体" w:cs="宋体"/>
                <w:color w:val="000000"/>
                <w:sz w:val="22"/>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5415" w:type="dxa"/>
            <w:vAlign w:val="center"/>
          </w:tcPr>
          <w:p>
            <w:pPr>
              <w:snapToGrid w:val="0"/>
              <w:rPr>
                <w:rFonts w:ascii="宋体" w:hAnsi="宋体" w:eastAsia="宋体" w:cs="宋体"/>
                <w:highlight w:val="none"/>
              </w:rPr>
            </w:pPr>
            <w:r>
              <w:rPr>
                <w:rFonts w:hint="eastAsia" w:ascii="宋体" w:hAnsi="宋体" w:eastAsia="宋体" w:cs="宋体"/>
                <w:highlight w:val="none"/>
              </w:rPr>
              <w:t>大专（含）以上文化程度，身体健康。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3</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水电工、维修人员</w:t>
            </w:r>
          </w:p>
        </w:tc>
        <w:tc>
          <w:tcPr>
            <w:tcW w:w="1247" w:type="dxa"/>
            <w:vAlign w:val="center"/>
          </w:tcPr>
          <w:p>
            <w:pPr>
              <w:keepNext w:val="0"/>
              <w:keepLines w:val="0"/>
              <w:widowControl/>
              <w:suppressLineNumbers w:val="0"/>
              <w:jc w:val="center"/>
              <w:textAlignment w:val="center"/>
              <w:rPr>
                <w:rFonts w:ascii="宋体" w:hAnsi="宋体" w:eastAsia="宋体" w:cs="宋体"/>
                <w:color w:val="000000"/>
                <w:sz w:val="22"/>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5415" w:type="dxa"/>
            <w:vAlign w:val="center"/>
          </w:tcPr>
          <w:p>
            <w:pPr>
              <w:snapToGrid w:val="0"/>
              <w:rPr>
                <w:rFonts w:ascii="宋体" w:hAnsi="宋体" w:eastAsia="宋体" w:cs="宋体"/>
                <w:highlight w:val="none"/>
              </w:rPr>
            </w:pPr>
            <w:r>
              <w:rPr>
                <w:rFonts w:hint="eastAsia" w:ascii="宋体" w:hAnsi="宋体" w:eastAsia="宋体" w:cs="宋体"/>
                <w:highlight w:val="none"/>
              </w:rPr>
              <w:t>50周岁以下，身体健康，具有高中以上文化程度，持有电工进网作业许可证、特种作业操作证，从事水电气维修工作三年以上经验，精通水电气维修。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4</w:t>
            </w:r>
          </w:p>
        </w:tc>
        <w:tc>
          <w:tcPr>
            <w:tcW w:w="1730" w:type="dxa"/>
            <w:vAlign w:val="center"/>
          </w:tcPr>
          <w:p>
            <w:pPr>
              <w:snapToGrid w:val="0"/>
              <w:spacing w:line="276" w:lineRule="auto"/>
              <w:jc w:val="center"/>
              <w:rPr>
                <w:rFonts w:hint="default" w:ascii="宋体" w:hAnsi="宋体" w:eastAsia="宋体" w:cs="宋体"/>
                <w:color w:val="000000"/>
                <w:sz w:val="22"/>
                <w:highlight w:val="none"/>
                <w:lang w:val="en-US" w:eastAsia="zh-CN"/>
              </w:rPr>
            </w:pPr>
            <w:r>
              <w:rPr>
                <w:rFonts w:hint="eastAsia" w:ascii="宋体" w:hAnsi="宋体" w:eastAsia="宋体" w:cs="宋体"/>
                <w:color w:val="000000"/>
                <w:sz w:val="22"/>
                <w:highlight w:val="none"/>
                <w:lang w:val="en-US" w:eastAsia="zh-CN"/>
              </w:rPr>
              <w:t>消防安全人员</w:t>
            </w:r>
          </w:p>
        </w:tc>
        <w:tc>
          <w:tcPr>
            <w:tcW w:w="1247" w:type="dxa"/>
            <w:vAlign w:val="center"/>
          </w:tcPr>
          <w:p>
            <w:pPr>
              <w:keepNext w:val="0"/>
              <w:keepLines w:val="0"/>
              <w:widowControl/>
              <w:suppressLineNumbers w:val="0"/>
              <w:jc w:val="center"/>
              <w:textAlignment w:val="center"/>
              <w:rPr>
                <w:rFonts w:ascii="宋体" w:hAnsi="宋体" w:eastAsia="宋体" w:cs="宋体"/>
                <w:color w:val="000000"/>
                <w:sz w:val="22"/>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5415" w:type="dxa"/>
            <w:vAlign w:val="center"/>
          </w:tcPr>
          <w:p>
            <w:pPr>
              <w:snapToGrid w:val="0"/>
              <w:spacing w:line="276" w:lineRule="auto"/>
              <w:jc w:val="left"/>
              <w:rPr>
                <w:rFonts w:ascii="宋体" w:hAnsi="宋体" w:eastAsia="宋体" w:cs="宋体"/>
                <w:color w:val="000000"/>
                <w:sz w:val="22"/>
                <w:highlight w:val="none"/>
              </w:rPr>
            </w:pPr>
            <w:r>
              <w:rPr>
                <w:rFonts w:hint="eastAsia" w:ascii="宋体" w:hAnsi="宋体" w:eastAsia="宋体" w:cs="宋体"/>
                <w:color w:val="000000"/>
                <w:sz w:val="22"/>
                <w:highlight w:val="none"/>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5</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秩序维护员</w:t>
            </w:r>
          </w:p>
        </w:tc>
        <w:tc>
          <w:tcPr>
            <w:tcW w:w="1247" w:type="dxa"/>
            <w:vAlign w:val="center"/>
          </w:tcPr>
          <w:p>
            <w:pPr>
              <w:keepNext w:val="0"/>
              <w:keepLines w:val="0"/>
              <w:widowControl/>
              <w:suppressLineNumbers w:val="0"/>
              <w:jc w:val="center"/>
              <w:textAlignment w:val="center"/>
              <w:rPr>
                <w:rFonts w:ascii="宋体" w:hAnsi="宋体" w:eastAsia="宋体" w:cs="宋体"/>
                <w:color w:val="000000"/>
                <w:sz w:val="22"/>
                <w:highlight w:val="yellow"/>
              </w:rPr>
            </w:pPr>
            <w:r>
              <w:rPr>
                <w:rFonts w:hint="eastAsia" w:ascii="宋体" w:hAnsi="宋体" w:eastAsia="宋体" w:cs="宋体"/>
                <w:i w:val="0"/>
                <w:iCs w:val="0"/>
                <w:color w:val="000000"/>
                <w:kern w:val="0"/>
                <w:sz w:val="24"/>
                <w:szCs w:val="24"/>
                <w:highlight w:val="yellow"/>
                <w:u w:val="none"/>
                <w:lang w:val="en-US" w:eastAsia="zh-CN" w:bidi="ar"/>
              </w:rPr>
              <w:t>7</w:t>
            </w:r>
          </w:p>
        </w:tc>
        <w:tc>
          <w:tcPr>
            <w:tcW w:w="5415" w:type="dxa"/>
            <w:vAlign w:val="center"/>
          </w:tcPr>
          <w:p>
            <w:pPr>
              <w:snapToGrid w:val="0"/>
              <w:spacing w:line="276" w:lineRule="auto"/>
              <w:jc w:val="left"/>
              <w:rPr>
                <w:rFonts w:ascii="宋体" w:hAnsi="宋体" w:eastAsia="宋体" w:cs="宋体"/>
                <w:color w:val="000000"/>
                <w:sz w:val="22"/>
                <w:highlight w:val="none"/>
              </w:rPr>
            </w:pPr>
            <w:r>
              <w:rPr>
                <w:rFonts w:hint="eastAsia" w:ascii="宋体" w:hAnsi="宋体" w:eastAsia="宋体" w:cs="宋体"/>
                <w:color w:val="000000"/>
                <w:sz w:val="22"/>
                <w:highlight w:val="none"/>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6</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车辆管理</w:t>
            </w:r>
          </w:p>
        </w:tc>
        <w:tc>
          <w:tcPr>
            <w:tcW w:w="1247" w:type="dxa"/>
            <w:vAlign w:val="center"/>
          </w:tcPr>
          <w:p>
            <w:pPr>
              <w:keepNext w:val="0"/>
              <w:keepLines w:val="0"/>
              <w:widowControl/>
              <w:suppressLineNumbers w:val="0"/>
              <w:jc w:val="center"/>
              <w:textAlignment w:val="center"/>
              <w:rPr>
                <w:rFonts w:ascii="宋体" w:hAnsi="宋体" w:eastAsia="宋体" w:cs="宋体"/>
                <w:color w:val="000000"/>
                <w:sz w:val="22"/>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5415" w:type="dxa"/>
            <w:vAlign w:val="center"/>
          </w:tcPr>
          <w:p>
            <w:pPr>
              <w:snapToGrid w:val="0"/>
              <w:spacing w:line="276" w:lineRule="auto"/>
              <w:jc w:val="left"/>
              <w:rPr>
                <w:rFonts w:ascii="宋体" w:hAnsi="宋体" w:eastAsia="宋体" w:cs="宋体"/>
                <w:color w:val="000000"/>
                <w:sz w:val="22"/>
                <w:highlight w:val="none"/>
              </w:rPr>
            </w:pPr>
            <w:r>
              <w:rPr>
                <w:rFonts w:hint="eastAsia" w:ascii="宋体" w:hAnsi="宋体" w:eastAsia="宋体" w:cs="宋体"/>
                <w:color w:val="000000"/>
                <w:sz w:val="22"/>
                <w:highlight w:val="none"/>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Align w:val="center"/>
          </w:tcPr>
          <w:p>
            <w:pPr>
              <w:snapToGrid w:val="0"/>
              <w:spacing w:line="276" w:lineRule="auto"/>
              <w:jc w:val="center"/>
              <w:rPr>
                <w:rFonts w:ascii="宋体" w:hAnsi="宋体" w:eastAsia="宋体" w:cs="宋体"/>
                <w:sz w:val="24"/>
                <w:highlight w:val="none"/>
              </w:rPr>
            </w:pPr>
            <w:r>
              <w:rPr>
                <w:rFonts w:hint="eastAsia" w:ascii="宋体" w:hAnsi="宋体" w:eastAsia="宋体" w:cs="宋体"/>
                <w:sz w:val="24"/>
                <w:highlight w:val="none"/>
              </w:rPr>
              <w:t>7</w:t>
            </w: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保洁员</w:t>
            </w:r>
          </w:p>
        </w:tc>
        <w:tc>
          <w:tcPr>
            <w:tcW w:w="1247" w:type="dxa"/>
            <w:vAlign w:val="center"/>
          </w:tcPr>
          <w:p>
            <w:pPr>
              <w:keepNext w:val="0"/>
              <w:keepLines w:val="0"/>
              <w:widowControl/>
              <w:suppressLineNumbers w:val="0"/>
              <w:jc w:val="center"/>
              <w:textAlignment w:val="center"/>
              <w:rPr>
                <w:rFonts w:hint="default" w:ascii="宋体" w:hAnsi="宋体" w:eastAsia="宋体" w:cs="宋体"/>
                <w:color w:val="000000"/>
                <w:sz w:val="22"/>
                <w:highlight w:val="yellow"/>
                <w:lang w:val="en-US"/>
              </w:rPr>
            </w:pPr>
            <w:r>
              <w:rPr>
                <w:rFonts w:hint="eastAsia" w:ascii="宋体" w:hAnsi="宋体" w:eastAsia="宋体" w:cs="宋体"/>
                <w:i w:val="0"/>
                <w:iCs w:val="0"/>
                <w:color w:val="000000"/>
                <w:kern w:val="0"/>
                <w:sz w:val="24"/>
                <w:szCs w:val="24"/>
                <w:highlight w:val="yellow"/>
                <w:u w:val="none"/>
                <w:lang w:val="en-US" w:eastAsia="zh-CN" w:bidi="ar"/>
              </w:rPr>
              <w:t>22</w:t>
            </w:r>
          </w:p>
        </w:tc>
        <w:tc>
          <w:tcPr>
            <w:tcW w:w="5415" w:type="dxa"/>
            <w:vAlign w:val="center"/>
          </w:tcPr>
          <w:p>
            <w:pPr>
              <w:snapToGrid w:val="0"/>
              <w:spacing w:line="276" w:lineRule="auto"/>
              <w:jc w:val="left"/>
              <w:rPr>
                <w:rFonts w:ascii="宋体" w:hAnsi="宋体" w:eastAsia="宋体" w:cs="宋体"/>
                <w:color w:val="000000"/>
                <w:sz w:val="22"/>
                <w:highlight w:val="none"/>
              </w:rPr>
            </w:pPr>
            <w:r>
              <w:rPr>
                <w:rFonts w:hint="eastAsia" w:ascii="宋体" w:hAnsi="宋体" w:eastAsia="宋体" w:cs="宋体"/>
                <w:color w:val="000000"/>
                <w:sz w:val="22"/>
                <w:highlight w:val="none"/>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napToGrid w:val="0"/>
              <w:spacing w:line="276" w:lineRule="auto"/>
              <w:jc w:val="center"/>
              <w:rPr>
                <w:rFonts w:ascii="宋体" w:hAnsi="宋体" w:eastAsia="宋体" w:cs="宋体"/>
                <w:sz w:val="24"/>
                <w:highlight w:val="none"/>
              </w:rPr>
            </w:pPr>
          </w:p>
        </w:tc>
        <w:tc>
          <w:tcPr>
            <w:tcW w:w="1730" w:type="dxa"/>
            <w:vAlign w:val="center"/>
          </w:tcPr>
          <w:p>
            <w:pPr>
              <w:snapToGrid w:val="0"/>
              <w:spacing w:line="276" w:lineRule="auto"/>
              <w:jc w:val="center"/>
              <w:rPr>
                <w:rFonts w:ascii="宋体" w:hAnsi="宋体" w:eastAsia="宋体" w:cs="宋体"/>
                <w:color w:val="000000"/>
                <w:sz w:val="22"/>
                <w:highlight w:val="none"/>
              </w:rPr>
            </w:pPr>
            <w:r>
              <w:rPr>
                <w:rFonts w:hint="eastAsia" w:ascii="宋体" w:hAnsi="宋体" w:eastAsia="宋体" w:cs="宋体"/>
                <w:color w:val="000000"/>
                <w:sz w:val="22"/>
                <w:highlight w:val="none"/>
              </w:rPr>
              <w:t>合计</w:t>
            </w:r>
          </w:p>
        </w:tc>
        <w:tc>
          <w:tcPr>
            <w:tcW w:w="1247" w:type="dxa"/>
            <w:vAlign w:val="center"/>
          </w:tcPr>
          <w:p>
            <w:pPr>
              <w:keepNext w:val="0"/>
              <w:keepLines w:val="0"/>
              <w:widowControl/>
              <w:suppressLineNumbers w:val="0"/>
              <w:jc w:val="center"/>
              <w:textAlignment w:val="center"/>
              <w:rPr>
                <w:rFonts w:hint="default" w:ascii="宋体" w:hAnsi="宋体" w:eastAsia="宋体" w:cs="宋体"/>
                <w:color w:val="000000"/>
                <w:sz w:val="22"/>
                <w:highlight w:val="yellow"/>
                <w:lang w:val="en-US"/>
              </w:rPr>
            </w:pPr>
            <w:r>
              <w:rPr>
                <w:rFonts w:hint="eastAsia" w:ascii="宋体" w:hAnsi="宋体" w:eastAsia="宋体" w:cs="宋体"/>
                <w:i w:val="0"/>
                <w:iCs w:val="0"/>
                <w:color w:val="000000"/>
                <w:kern w:val="0"/>
                <w:sz w:val="24"/>
                <w:szCs w:val="24"/>
                <w:highlight w:val="yellow"/>
                <w:u w:val="none"/>
                <w:lang w:val="en-US" w:eastAsia="zh-CN" w:bidi="ar"/>
              </w:rPr>
              <w:t>34</w:t>
            </w:r>
          </w:p>
        </w:tc>
        <w:tc>
          <w:tcPr>
            <w:tcW w:w="5415" w:type="dxa"/>
            <w:vAlign w:val="center"/>
          </w:tcPr>
          <w:p>
            <w:pPr>
              <w:snapToGrid w:val="0"/>
              <w:spacing w:line="276" w:lineRule="auto"/>
              <w:jc w:val="left"/>
              <w:rPr>
                <w:rFonts w:ascii="宋体" w:hAnsi="宋体" w:eastAsia="宋体" w:cs="宋体"/>
                <w:color w:val="000000"/>
                <w:sz w:val="22"/>
                <w:highlight w:val="none"/>
              </w:rPr>
            </w:pPr>
          </w:p>
        </w:tc>
      </w:tr>
    </w:tbl>
    <w:p>
      <w:pPr>
        <w:snapToGrid w:val="0"/>
        <w:spacing w:line="360" w:lineRule="auto"/>
        <w:ind w:firstLine="426" w:firstLineChars="177"/>
        <w:jc w:val="left"/>
        <w:rPr>
          <w:rFonts w:cs="宋体" w:asciiTheme="minorEastAsia" w:hAnsiTheme="minorEastAsia"/>
          <w:b/>
          <w:color w:val="FF0000"/>
          <w:sz w:val="24"/>
          <w:szCs w:val="24"/>
        </w:rPr>
      </w:pPr>
      <w:r>
        <w:rPr>
          <w:rFonts w:hint="eastAsia" w:cs="宋体" w:asciiTheme="minorEastAsia" w:hAnsiTheme="minorEastAsia"/>
          <w:b/>
          <w:bCs/>
          <w:color w:val="FF0000"/>
          <w:kern w:val="0"/>
          <w:sz w:val="24"/>
          <w:szCs w:val="24"/>
        </w:rPr>
        <w:t>注：</w:t>
      </w:r>
      <w:r>
        <w:rPr>
          <w:rFonts w:hint="eastAsia" w:cs="宋体" w:asciiTheme="minorEastAsia" w:hAnsiTheme="minorEastAsia"/>
          <w:b/>
          <w:bCs/>
          <w:color w:val="FF0000"/>
          <w:kern w:val="0"/>
          <w:sz w:val="24"/>
          <w:szCs w:val="24"/>
          <w:lang w:val="en-US" w:eastAsia="zh-CN"/>
        </w:rPr>
        <w:t>（1）</w:t>
      </w:r>
      <w:r>
        <w:rPr>
          <w:rFonts w:hint="eastAsia" w:cs="宋体" w:asciiTheme="minorEastAsia" w:hAnsiTheme="minorEastAsia"/>
          <w:b/>
          <w:bCs/>
          <w:color w:val="FF0000"/>
          <w:kern w:val="0"/>
          <w:sz w:val="24"/>
          <w:szCs w:val="24"/>
        </w:rPr>
        <w:t>★人员数量最低配置（需提供人员配备承诺函，如不提供承诺函将被视为无效投标）</w:t>
      </w:r>
    </w:p>
    <w:p>
      <w:pPr>
        <w:widowControl/>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lang w:val="en-US" w:eastAsia="zh-CN"/>
        </w:rPr>
        <w:t>（2）</w:t>
      </w:r>
      <w:r>
        <w:rPr>
          <w:rFonts w:hint="eastAsia" w:cs="宋体" w:asciiTheme="minorEastAsia" w:hAnsiTheme="minorEastAsia"/>
          <w:sz w:val="24"/>
          <w:szCs w:val="24"/>
        </w:rPr>
        <w:t>除项目负责人和维修人员外，最低配置标准人员中，男性年龄超过60周岁、女性年龄超过50周岁的比例不得超过全员用工的40%。</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b/>
          <w:bCs/>
          <w:sz w:val="24"/>
          <w:szCs w:val="24"/>
        </w:rPr>
        <w:t>四、报价要求</w:t>
      </w:r>
    </w:p>
    <w:p>
      <w:pPr>
        <w:keepNext w:val="0"/>
        <w:keepLines w:val="0"/>
        <w:pageBreakBefore w:val="0"/>
        <w:kinsoku/>
        <w:wordWrap/>
        <w:overflowPunct/>
        <w:topLinePunct w:val="0"/>
        <w:autoSpaceDE/>
        <w:autoSpaceDN/>
        <w:bidi w:val="0"/>
        <w:adjustRightInd/>
        <w:snapToGrid w:val="0"/>
        <w:spacing w:line="360" w:lineRule="auto"/>
        <w:ind w:firstLine="420" w:firstLineChars="0"/>
        <w:jc w:val="left"/>
        <w:textAlignment w:val="auto"/>
        <w:rPr>
          <w:rFonts w:hint="eastAsia" w:cs="宋体" w:asciiTheme="minorEastAsia" w:hAnsiTheme="minorEastAsia"/>
          <w:sz w:val="24"/>
          <w:szCs w:val="24"/>
        </w:rPr>
      </w:pPr>
      <w:r>
        <w:rPr>
          <w:rFonts w:hint="eastAsia" w:cs="宋体" w:asciiTheme="minorEastAsia" w:hAnsiTheme="minorEastAsia"/>
          <w:sz w:val="24"/>
          <w:szCs w:val="24"/>
        </w:rPr>
        <w:t>投标总价应包括：员工费用和管理人员费用、离职补偿金、保险、管理费、人员培训费、加班费、利润、设备、工具、消耗品、各种税费、政策性文件规定及合同明示或暗示的所有风险、责任、义务等各项应有的费用。采购方不接受中标人任何因遗漏报价而发生的费用追加。</w:t>
      </w:r>
    </w:p>
    <w:p>
      <w:pPr>
        <w:keepNext w:val="0"/>
        <w:keepLines w:val="0"/>
        <w:pageBreakBefore w:val="0"/>
        <w:kinsoku/>
        <w:wordWrap/>
        <w:overflowPunct/>
        <w:topLinePunct w:val="0"/>
        <w:autoSpaceDE/>
        <w:autoSpaceDN/>
        <w:bidi w:val="0"/>
        <w:adjustRightInd/>
        <w:snapToGrid w:val="0"/>
        <w:spacing w:line="360" w:lineRule="auto"/>
        <w:ind w:firstLine="420" w:firstLineChars="0"/>
        <w:jc w:val="left"/>
        <w:textAlignment w:val="auto"/>
        <w:rPr>
          <w:rFonts w:hint="eastAsia" w:cs="Times New Roman" w:asciiTheme="minorEastAsia" w:hAnsiTheme="minorEastAsia"/>
          <w:bCs/>
          <w:sz w:val="24"/>
          <w:szCs w:val="24"/>
        </w:rPr>
      </w:pPr>
      <w:r>
        <w:rPr>
          <w:rFonts w:hint="eastAsia" w:cs="Times New Roman" w:asciiTheme="minorEastAsia" w:hAnsiTheme="minorEastAsia"/>
          <w:bCs/>
          <w:sz w:val="24"/>
          <w:szCs w:val="24"/>
        </w:rPr>
        <w:t>报价货币为人民币，评标时以人民币为准。</w:t>
      </w:r>
    </w:p>
    <w:p>
      <w:pPr>
        <w:keepNext w:val="0"/>
        <w:keepLines w:val="0"/>
        <w:pageBreakBefore w:val="0"/>
        <w:kinsoku/>
        <w:wordWrap/>
        <w:overflowPunct/>
        <w:topLinePunct w:val="0"/>
        <w:autoSpaceDE/>
        <w:autoSpaceDN/>
        <w:bidi w:val="0"/>
        <w:adjustRightInd/>
        <w:snapToGrid w:val="0"/>
        <w:spacing w:line="360" w:lineRule="auto"/>
        <w:ind w:firstLine="420" w:firstLineChars="0"/>
        <w:jc w:val="left"/>
        <w:textAlignment w:val="auto"/>
        <w:rPr>
          <w:rFonts w:cs="Times New Roman" w:asciiTheme="minorEastAsia" w:hAnsiTheme="minorEastAsia"/>
          <w:sz w:val="24"/>
          <w:szCs w:val="24"/>
        </w:rPr>
      </w:pPr>
      <w:r>
        <w:rPr>
          <w:rFonts w:cs="Times New Roman" w:asciiTheme="minorEastAsia" w:hAnsiTheme="minorEastAsia"/>
          <w:sz w:val="24"/>
          <w:szCs w:val="24"/>
        </w:rPr>
        <w:t>每项服务只能有一个投标报价，采购人不接受具有附加条件的报价，含有附加条件的报价视为无效投标。</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textAlignment w:val="auto"/>
        <w:rPr>
          <w:b/>
          <w:bCs/>
          <w:kern w:val="2"/>
        </w:rPr>
      </w:pPr>
      <w:r>
        <w:rPr>
          <w:rFonts w:hint="eastAsia"/>
          <w:b/>
          <w:bCs/>
          <w:kern w:val="2"/>
        </w:rPr>
        <w:t>五、其他具体要求：</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w:t>
      </w:r>
      <w:r>
        <w:rPr>
          <w:rFonts w:hint="eastAsia"/>
          <w:kern w:val="2"/>
          <w:lang w:val="en-US" w:eastAsia="zh-CN"/>
        </w:rPr>
        <w:t>一</w:t>
      </w:r>
      <w:r>
        <w:rPr>
          <w:rFonts w:hint="eastAsia"/>
          <w:kern w:val="2"/>
        </w:rPr>
        <w:t>）物业托管服务质量及效果要求：</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针对各小区的实际情况，投标人应踏勘现场并在投标文件中要明确说明工作人员数量、工作内容和标准等，在保障完成任务的前提下体现合理性，提供项目配置人员表、拟委派的物业管理项目负责人的情况简介及项目经历、其他骨干人员工作简历及项目经历、物业从业人员的数量、专业分工、专业配备、专业技能要求、年龄构成、培训计划及内容、上岗标准等，表格自制。</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cs="宋体" w:asciiTheme="minorEastAsia" w:hAnsiTheme="minorEastAsia"/>
          <w:sz w:val="24"/>
          <w:szCs w:val="24"/>
        </w:rPr>
      </w:pPr>
      <w:r>
        <w:rPr>
          <w:rFonts w:hint="eastAsia" w:cs="宋体" w:asciiTheme="minorEastAsia" w:hAnsiTheme="minorEastAsia"/>
          <w:sz w:val="24"/>
          <w:szCs w:val="24"/>
        </w:rPr>
        <w:t>为保证服务质量和维护形象，所有物业管理服务人员均要求具有初高中以上文化，品行端正，政治上信得过，本人政治面貌清楚，家庭主要成员没有现役罪犯或劳教人员。能处理好日常接待咨询服务，严肃办公秩序，认真对待业主的投诉，建立投诉记录。</w:t>
      </w:r>
    </w:p>
    <w:p>
      <w:pPr>
        <w:keepNext w:val="0"/>
        <w:keepLines w:val="0"/>
        <w:pageBreakBefore w:val="0"/>
        <w:kinsoku/>
        <w:wordWrap/>
        <w:overflowPunct/>
        <w:topLinePunct w:val="0"/>
        <w:autoSpaceDE/>
        <w:autoSpaceDN/>
        <w:bidi w:val="0"/>
        <w:adjustRightInd/>
        <w:snapToGrid w:val="0"/>
        <w:spacing w:line="360" w:lineRule="auto"/>
        <w:ind w:firstLine="283" w:firstLineChars="118"/>
        <w:textAlignment w:val="auto"/>
        <w:rPr>
          <w:rFonts w:cs="宋体" w:asciiTheme="minorEastAsia" w:hAnsiTheme="minorEastAsia"/>
          <w:sz w:val="24"/>
          <w:szCs w:val="24"/>
        </w:rPr>
      </w:pPr>
      <w:r>
        <w:rPr>
          <w:rFonts w:hint="eastAsia" w:cs="宋体" w:asciiTheme="minorEastAsia" w:hAnsiTheme="minorEastAsia"/>
          <w:sz w:val="24"/>
          <w:szCs w:val="24"/>
        </w:rPr>
        <w:t>秩序维护服务根据监控机房、门卫和白天小区内巡查等3个类别的岗位特点和秩序维护服务时间，秩序维护服务现场作业人数不得少于</w:t>
      </w:r>
      <w:r>
        <w:rPr>
          <w:rFonts w:hint="eastAsia" w:cs="宋体" w:asciiTheme="minorEastAsia" w:hAnsiTheme="minorEastAsia"/>
          <w:sz w:val="24"/>
          <w:szCs w:val="24"/>
          <w:highlight w:val="none"/>
          <w:lang w:val="en-US" w:eastAsia="zh-CN"/>
        </w:rPr>
        <w:t>7</w:t>
      </w:r>
      <w:r>
        <w:rPr>
          <w:rFonts w:hint="eastAsia" w:cs="宋体" w:asciiTheme="minorEastAsia" w:hAnsiTheme="minorEastAsia"/>
          <w:sz w:val="24"/>
          <w:szCs w:val="24"/>
        </w:rPr>
        <w:t>人。其中监控机房和出入口实行24小时全天候作业，要求：男性、身高1.70米以上，身体健康，有责任心，持有保安员上岗证。</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w:t>
      </w:r>
      <w:r>
        <w:rPr>
          <w:rFonts w:hint="eastAsia"/>
          <w:kern w:val="2"/>
          <w:lang w:val="en-US" w:eastAsia="zh-CN"/>
        </w:rPr>
        <w:t>二</w:t>
      </w:r>
      <w:r>
        <w:rPr>
          <w:rFonts w:hint="eastAsia"/>
          <w:kern w:val="2"/>
        </w:rPr>
        <w:t>）建立健全物业管理制度：</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根据小区的具体情况，物业单位应制定有关制度，如企业内部管理制度，日常服务的运作管理制度等。主要包括以下内容：物业管理员工行为规范，办公室工作职责，工程部职责，环境保洁部职责，秩序维护执勤职责、管理人员岗位责任制，操作人员岗位责任制，管理人员岗位考核细则，操作人员岗位考核细则，经济考核制度，考核奖惩制度，见义勇为奖励制度，房屋使用管理制度，设备运行管理制度，环境卫生管理制度，控烟劝烟制度，综合服务制度，24小时值班制度，进退场交接制度，应急预案制度等（包括紧急应对停电停水、消防与电梯故障、大型活动、水管损坏堵塞应急预案以及其他专门的紧急预案等），对各项制度的监督落实制度。</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w:t>
      </w:r>
      <w:r>
        <w:rPr>
          <w:rFonts w:hint="eastAsia"/>
          <w:kern w:val="2"/>
          <w:lang w:val="en-US" w:eastAsia="zh-CN"/>
        </w:rPr>
        <w:t>三</w:t>
      </w:r>
      <w:r>
        <w:rPr>
          <w:rFonts w:hint="eastAsia"/>
          <w:kern w:val="2"/>
        </w:rPr>
        <w:t>）相关说明</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1．对投标人的要求：具有科学合理的组织架构，严格的管理细则和岗位责任制度；具有提供完善的后勤管理和保障服务的能力，并具有一定的企业规模。提供的服务要以人为本、优质文明。</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2．投标人应针对本次招标项目特点编写公司中标后拟采取的管理方案。包括组织计划、人员安排、流程安排、设备工具的安排等，遇重大、紧急事项的应急措施等。</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3．中标人管理办公用房、仓库用房由采购方提供，在服务期限内免费给中标人使用，用水、电费用支出由中标人承担。中标人自备办公设备。</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4．中标人配置管理人员、值班人员的通讯设备，并负责此类设备所产生的费用。</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5．中标人须提供足够的设备、工具、材料，自行解决物业管理服务时所需的日常工具和劳防用品，并能根据物业管理区域形象要求及规范，保证落实文明工作。</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6．中标人负责所有有关物业管理区域环境保洁所需的清洁、洗涤药剂；清洁用品及耗材；生活（黑色）垃圾袋；地面和物体表面擦拭用的消毒剂；保洁（除垃圾箱外）、运送工具、设备及耗材等。</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lang w:val="en-US" w:eastAsia="zh-CN"/>
        </w:rPr>
        <w:t>7</w:t>
      </w:r>
      <w:r>
        <w:rPr>
          <w:rFonts w:hint="eastAsia"/>
          <w:kern w:val="2"/>
        </w:rPr>
        <w:t>．中标人不得在合同期限内将本项目的管理权转包或分包。</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lang w:val="en-US" w:eastAsia="zh-CN"/>
        </w:rPr>
        <w:t>8</w:t>
      </w:r>
      <w:r>
        <w:rPr>
          <w:rFonts w:hint="eastAsia"/>
          <w:kern w:val="2"/>
        </w:rPr>
        <w:t>．中标人有责任配合采购人接受相关部门的监督、检查，并提供必须的资料。如检查不合格，中标人必须按有关部门的整改要求给予落实，且采购人有权追究中标人相关责任并进行扣罚。</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lang w:val="en-US" w:eastAsia="zh-CN"/>
        </w:rPr>
        <w:t>9</w:t>
      </w:r>
      <w:r>
        <w:rPr>
          <w:rFonts w:hint="eastAsia"/>
          <w:kern w:val="2"/>
        </w:rPr>
        <w:t>．中标人自行负责其招聘员工的一切工资、福利、社会保险；如发生工伤、疾病乃至死亡的一切责任及费用由中标人全部负责；中标人应严格遵守国家有关的法律、法规及行业标准。</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w:t>
      </w:r>
      <w:r>
        <w:rPr>
          <w:rFonts w:hint="eastAsia"/>
          <w:kern w:val="2"/>
          <w:lang w:val="en-US" w:eastAsia="zh-CN"/>
        </w:rPr>
        <w:t>0</w:t>
      </w:r>
      <w:r>
        <w:rPr>
          <w:rFonts w:hint="eastAsia"/>
          <w:kern w:val="2"/>
        </w:rPr>
        <w:t>．中标人必须严格执行常州市政府用工工资标准的有关规定，并承担其雇员的劳动报酬、福利待遇、所有员工按劳动法缴纳社会保险、劳动保护、工伤抚恤等用人费用，承担未正确执行劳动法用工规定所产生的法律责任，维护和保障员工的合法权益。因投标方违反《劳动法》等法律法规而造成采购人的连带责任和损失全部由投标方承担。</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w:t>
      </w:r>
      <w:r>
        <w:rPr>
          <w:rFonts w:hint="eastAsia"/>
          <w:kern w:val="2"/>
          <w:lang w:val="en-US" w:eastAsia="zh-CN"/>
        </w:rPr>
        <w:t>1</w:t>
      </w:r>
      <w:r>
        <w:rPr>
          <w:rFonts w:hint="eastAsia"/>
          <w:kern w:val="2"/>
        </w:rPr>
        <w:t>．中标人所有人员必须在上岗前签订劳动合同并按照国家有关规定参加企业职工社会保险（包括养老、医疗、工伤、生育险、失业保险等五险）。社会保险除必须的各种社保外，还应包括第三者责任保险和员工人身意外保险。报价时必须核算企业缴纳本项目所有职工的社会保险费用，否则报价无效。项目实施期间，未按要求缴纳社保的，采购人可扣除相应费用，情节严重的，可终止服务合同。</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w:t>
      </w:r>
      <w:r>
        <w:rPr>
          <w:rFonts w:hint="eastAsia"/>
          <w:kern w:val="2"/>
          <w:lang w:val="en-US" w:eastAsia="zh-CN"/>
        </w:rPr>
        <w:t>2</w:t>
      </w:r>
      <w:r>
        <w:rPr>
          <w:rFonts w:hint="eastAsia"/>
          <w:kern w:val="2"/>
        </w:rPr>
        <w:t>. 所有员工入驻服务时须提供健康体检证明（费用由中标人负责）。</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lang w:val="en-US" w:eastAsia="zh-CN"/>
        </w:rPr>
        <w:t>13</w:t>
      </w:r>
      <w:r>
        <w:rPr>
          <w:rFonts w:hint="eastAsia"/>
          <w:kern w:val="2"/>
        </w:rPr>
        <w:t>．中标方自行承担日常工作中产生的各项安全事故的责任。中标人对发生的一般突发性事件必须有相应的应对措施，相关费用须在投标费用中考虑。</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w:t>
      </w:r>
      <w:r>
        <w:rPr>
          <w:rFonts w:hint="eastAsia"/>
          <w:kern w:val="2"/>
          <w:lang w:val="en-US" w:eastAsia="zh-CN"/>
        </w:rPr>
        <w:t>4</w:t>
      </w:r>
      <w:r>
        <w:rPr>
          <w:rFonts w:hint="eastAsia"/>
          <w:kern w:val="2"/>
        </w:rPr>
        <w:t xml:space="preserve">．按采购方需求全年365天24小时不间断提供物业服务，中标人应根据工作需要合理安排好节假日其物业人员加班，其物业人员的加班费应严格按国家有关法律、法规要求的标准由中标人给付。 </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w:t>
      </w:r>
      <w:r>
        <w:rPr>
          <w:rFonts w:hint="eastAsia"/>
          <w:kern w:val="2"/>
          <w:lang w:val="en-US" w:eastAsia="zh-CN"/>
        </w:rPr>
        <w:t>5</w:t>
      </w:r>
      <w:r>
        <w:rPr>
          <w:rFonts w:hint="eastAsia"/>
          <w:kern w:val="2"/>
        </w:rPr>
        <w:t xml:space="preserve">．投标总价应包括：员工费用和管理人员费用、离职补偿金、保险、管理费、人员培训费、加班费、利润、设备、工具、消耗品、各种税费、政策性文件规定及合同明示或暗示的所有风险、责任、义务等各项应有的费用。采购方不接受中标人任何因遗漏报价而发生的费用追加。  </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w:t>
      </w:r>
      <w:r>
        <w:rPr>
          <w:rFonts w:hint="eastAsia"/>
          <w:kern w:val="2"/>
          <w:lang w:val="en-US" w:eastAsia="zh-CN"/>
        </w:rPr>
        <w:t>6</w:t>
      </w:r>
      <w:r>
        <w:rPr>
          <w:rFonts w:hint="eastAsia"/>
          <w:kern w:val="2"/>
        </w:rPr>
        <w:t>．对投标人中标后的其他要求：</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（1）投标人中标后必须与采购方的管理人保持密切联系，共同研究，做好小区物业服务管理。并随时接受采购方的监督、检查，能如实提供检查时所需的情况和资料。</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（2）投标人中标后须做好物业服务管理年度计划、必须每月向采购方提供对物业服务管理项目工作计划和工作总结，并落实实施。</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（3）采购方有权每月组织至少一次由双方管理人员参加的服务质量联合检查，检查按物业管理各项服务标准进行考核评分，并按物业服务管理考核办法进行扣罚，物业管理服务必须按标准限期进行整改。</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（4）投标人中标后提供的材料及耗材，必须符合国家环保标准。</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（5）中标人员工进行物业服务时必须做好安全措施，有明显标识的安全标志。不得损坏所有设备。因中标人员工工作不到位或工作失误等原因导致发生意外事故，一切责任由中标人负责。</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 xml:space="preserve">（6）投标人中标后在服务期间，需开展某些活动时，应提前通知采购方，同意后方可实施。 </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（7）服务期内中标人在经营中的一切债权和债务均由中标人负责。</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（8）如投标人中标后有违法经营行为的，或有违法纵容、煽动工人怠工、罢工等过激行为的，或因中标人无视工人权益引致工人有怠工、罢工等过激行为的，采购人有权即时终止本承包合同。</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kern w:val="2"/>
        </w:rPr>
      </w:pPr>
      <w:r>
        <w:rPr>
          <w:rFonts w:hint="eastAsia"/>
          <w:kern w:val="2"/>
        </w:rPr>
        <w:t>（9）中标人服务期满需配合新物业公司做好交接工作。</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cs="宋体" w:asciiTheme="minorEastAsia" w:hAnsiTheme="minorEastAsia"/>
          <w:b/>
          <w:color w:val="000000"/>
          <w:sz w:val="24"/>
          <w:szCs w:val="24"/>
        </w:rPr>
      </w:pPr>
      <w:r>
        <w:rPr>
          <w:rFonts w:hint="eastAsia" w:cs="宋体" w:asciiTheme="minorEastAsia" w:hAnsiTheme="minorEastAsia"/>
          <w:b/>
          <w:color w:val="000000"/>
          <w:sz w:val="24"/>
          <w:szCs w:val="24"/>
          <w:lang w:val="en-US" w:eastAsia="zh-CN"/>
        </w:rPr>
        <w:t>六</w:t>
      </w:r>
      <w:r>
        <w:rPr>
          <w:rFonts w:hint="eastAsia" w:cs="宋体" w:asciiTheme="minorEastAsia" w:hAnsiTheme="minorEastAsia"/>
          <w:b/>
          <w:color w:val="000000"/>
          <w:sz w:val="24"/>
          <w:szCs w:val="24"/>
        </w:rPr>
        <w:t>、合同履行期限</w:t>
      </w:r>
    </w:p>
    <w:p>
      <w:pPr>
        <w:widowControl/>
        <w:spacing w:line="360" w:lineRule="auto"/>
        <w:ind w:firstLine="480" w:firstLineChars="200"/>
        <w:jc w:val="left"/>
        <w:rPr>
          <w:rFonts w:hint="eastAsia"/>
          <w:kern w:val="2"/>
        </w:rPr>
      </w:pPr>
      <w:r>
        <w:rPr>
          <w:rFonts w:hint="eastAsia" w:cs="宋体" w:asciiTheme="minorEastAsia" w:hAnsiTheme="minorEastAsia"/>
          <w:color w:val="000000"/>
          <w:sz w:val="24"/>
          <w:szCs w:val="24"/>
        </w:rPr>
        <w:t>叁年，合同一年一签。合同签订后的前三个月为试用期，试用期期间经采购人考核合格的，合同继续履行。上年度考核合格的，续签下一年合同。</w:t>
      </w:r>
    </w:p>
    <w:p>
      <w:pPr>
        <w:keepNext w:val="0"/>
        <w:keepLines w:val="0"/>
        <w:pageBreakBefore w:val="0"/>
        <w:widowControl/>
        <w:kinsoku/>
        <w:wordWrap/>
        <w:overflowPunct/>
        <w:topLinePunct w:val="0"/>
        <w:autoSpaceDE/>
        <w:autoSpaceDN/>
        <w:bidi w:val="0"/>
        <w:adjustRightInd/>
        <w:spacing w:line="360" w:lineRule="auto"/>
        <w:jc w:val="left"/>
        <w:textAlignment w:val="auto"/>
        <w:rPr>
          <w:rFonts w:asciiTheme="minorEastAsia" w:hAnsiTheme="minorEastAsia"/>
          <w:b/>
          <w:sz w:val="24"/>
          <w:szCs w:val="24"/>
        </w:rPr>
      </w:pPr>
      <w:r>
        <w:rPr>
          <w:rFonts w:hint="eastAsia" w:asciiTheme="minorEastAsia" w:hAnsiTheme="minorEastAsia"/>
          <w:b/>
          <w:sz w:val="24"/>
          <w:szCs w:val="24"/>
          <w:lang w:val="en-US" w:eastAsia="zh-CN"/>
        </w:rPr>
        <w:t>七</w:t>
      </w:r>
      <w:r>
        <w:rPr>
          <w:rFonts w:asciiTheme="minorEastAsia" w:hAnsiTheme="minorEastAsia"/>
          <w:b/>
          <w:sz w:val="24"/>
          <w:szCs w:val="24"/>
        </w:rPr>
        <w:t>、付款方式</w:t>
      </w:r>
    </w:p>
    <w:p>
      <w:pPr>
        <w:keepNext w:val="0"/>
        <w:keepLines w:val="0"/>
        <w:pageBreakBefore w:val="0"/>
        <w:kinsoku/>
        <w:wordWrap/>
        <w:overflowPunct/>
        <w:topLinePunct w:val="0"/>
        <w:autoSpaceDE/>
        <w:autoSpaceDN/>
        <w:bidi w:val="0"/>
        <w:adjustRightInd/>
        <w:snapToGrid w:val="0"/>
        <w:spacing w:line="360" w:lineRule="auto"/>
        <w:ind w:firstLine="560"/>
        <w:jc w:val="left"/>
        <w:textAlignment w:val="auto"/>
        <w:rPr>
          <w:rFonts w:hint="eastAsia" w:ascii="宋体" w:hAnsi="宋体" w:eastAsia="宋体" w:cs="宋体"/>
          <w:color w:val="000000"/>
          <w:sz w:val="24"/>
        </w:rPr>
      </w:pPr>
      <w:r>
        <w:rPr>
          <w:rFonts w:hint="eastAsia" w:ascii="宋体" w:hAnsi="宋体" w:eastAsia="宋体" w:cs="宋体"/>
          <w:color w:val="000000"/>
          <w:sz w:val="24"/>
        </w:rPr>
        <w:t>本合同项下所有款项均以人民币支付。物业服务费按季度支付，乙方于每季度结束后下个月的10日前开具发票交予甲方，甲方于每季度结束后下个月内支付上个季度的物业服务费，以上付款需执行春江镇物业服务质量考核要求中相关扣款规定。</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000000"/>
          <w:sz w:val="24"/>
        </w:rPr>
      </w:pPr>
      <w:r>
        <w:rPr>
          <w:rFonts w:hint="eastAsia" w:cs="宋体" w:asciiTheme="minorEastAsia" w:hAnsiTheme="minorEastAsia"/>
          <w:b/>
          <w:color w:val="000000"/>
          <w:sz w:val="24"/>
          <w:szCs w:val="24"/>
        </w:rPr>
        <w:t>八</w:t>
      </w:r>
      <w:r>
        <w:rPr>
          <w:rFonts w:cs="宋体" w:asciiTheme="minorEastAsia" w:hAnsiTheme="minorEastAsia"/>
          <w:b/>
          <w:color w:val="000000"/>
          <w:sz w:val="24"/>
          <w:szCs w:val="24"/>
        </w:rPr>
        <w:t>、考核要求</w:t>
      </w:r>
    </w:p>
    <w:p>
      <w:pPr>
        <w:keepNext w:val="0"/>
        <w:keepLines w:val="0"/>
        <w:pageBreakBefore w:val="0"/>
        <w:kinsoku/>
        <w:wordWrap/>
        <w:overflowPunct/>
        <w:topLinePunct w:val="0"/>
        <w:autoSpaceDE/>
        <w:autoSpaceDN/>
        <w:bidi w:val="0"/>
        <w:adjustRightInd/>
        <w:spacing w:line="360" w:lineRule="auto"/>
        <w:jc w:val="center"/>
        <w:textAlignment w:val="auto"/>
        <w:rPr>
          <w:highlight w:val="yellow"/>
        </w:rPr>
      </w:pPr>
      <w:r>
        <w:rPr>
          <w:rStyle w:val="35"/>
          <w:rFonts w:hint="eastAsia"/>
          <w:sz w:val="30"/>
          <w:szCs w:val="30"/>
          <w:highlight w:val="yellow"/>
        </w:rPr>
        <w:t>春江街道住宅小区物业管理考核办法</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为进一步加强春江街道住宅小区物业管理，提升物业服务整体水平，根据《江苏省物业管理条例》《常州市住宅物业管理条例》文件要求，按照“一年打基础，两年求突破，三年上台阶”的总体目标，结合春江街道办事处实际情况，特制定本办法。</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一、明确职责，完善上下联动的管理体系</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明确各部门的相关职责，理顺管理体制，将物业管理纳入社区管理体系，加快推进物业管理工作重心下移，强化社区属地管理职责，提升社区在解决物业矛盾纠纷、物业企业日常监管等方面的能力，建立健全上下联动及突发事件联动机制。</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（一）农村工作局作为春江街道物业服务行业的主管部门，负责统筹协调街道范围内的物业行业监管及业务指导工作，负责对社区物业工作的考核等相关工作。</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二）各社区作为物业工作的属地管理单位，应设置专人专岗与主管部门做好业务衔接，执行物业管理各项工作任务。各社区应根据实际情况，制定相应的监督考核制度，对物业服务、电梯维保、消防维保、绿化养护等外包单位进行监督与考核；负责推进小区业委会（物管会）的筹建与换届，以及物业党组织建设与运行；各社区应按照街道建设局相关工作要求，推进安置小区基础设施的零星维修工作；应根据社区实际，制定物业矛盾投诉处理机制，设置固定的物业矛盾协调场所，协调处理各类物业纠纷投诉；应结合小区实际，推进安置小区车辆停放服务费、购房户物业费收费工作；其他物业管理相关工作。</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三）各物业公司应按照物业服务合同严格执行小区环境卫生保洁、安全保卫、设施设备日常巡查与管理、零星维修、公共秩序维护、物业纠纷投诉处理、车辆停放服务费和购房户物业费收取等日常工作;其中安置小区物业公司应积极配合社区监督好电梯维保、消防维保、绿化养护等外包单位的日常工作，确保工作质量；主动接受社区及上级主管部门的各项监督考核，积极配合上级主管部门及社区布置的各项工作，切实履行职责，提高服务质量。</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二、加强考核，提升物业服务质量</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（一）考核范围及标准</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考核范围：春江街道范围内所有住宅小区物业服务企业。</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考核标准:参照《新北区住宅小区物业管理工作评分标准》（以下简称《评分标准》，详见附件1）,长效管理考核要求、文明城市创建等相关要求。</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（二）考核内容</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物业考核工作由农村工作局、综合执法局和社区共同开展，共同监督物业公司日常工作，考核中出现的问题由社区负责督促物业公司及时整改。</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基础考核：各社区每月应严格按照《评分标准》，组织工作人员对物业公司的各项日常工作进行考核，并形成每月考核工作台账。</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长效管理考核：由综合执法局按照当月的工作计划负责开展长效管理考核。长效管理考核主要包括街道、区、市三级，考核反馈情况由城管条线扎口，考评巡查发现的问题由各社区负责督促物业公司进行及时整改回复。</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专项考核：由农村工作局每月按照《评分标准》，对小区环境卫生、工作台帐、设施设备管理等开展考核评分。</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重大事项考核：重大事项主要包括物业服务企业在日常管理中因主观原因造成的，且可能造成严重后果的问题。</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1．因各类物业管理投诉纠纷处理不当，导致居民频繁投诉或引发小区居民上访等群体事件，经媒体曝光产生重大负面影响的。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2．在文明城市检查、市区两级长效管理考核等重要考核中出现严重问题，或不配合街道开展工作的。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3．不服从街道、社区在疫情防控等其他重大事件工作安排的。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4．对违章搭建、违章装修、严重毁绿侵占绿地行为不劝阻、不制止、不及时向有关部门汇报的，或者劝阻、制止不力，造成违章行为在小区内既成事实，引起其他业主投诉、效仿等不良后果的。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5．因疏于管理（门卫管理松散、车辆管理不到位等多种情况），造成小区秩序混乱、治安案件多发，或发生刑事案件的。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6．对小区消防、电梯等设施设备日常巡查不到位，导致维保工作出现严重问题，或小区发生重大安全事故的。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7．涉及小区重大事项未与上级部门及时沟通而私自做决定或造成严重后果的。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8．因物业企业主观原因，在安置小区收取车辆停放服务费、物业费工作中履职不到位，导致工作推进不力的。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9．按照安置小区物业服务合同规定，属于物业公司维修范围内的维修项目，因物业服务企业主观原因，导致维修不及时或维修工作不到位的。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10．物业服务项目未依法接管或退管，造成恶劣影响的。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11．物业服务项目非法挪用、侵占物业专项维修资金、保修金、前期物业服务费的。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12．物业服务中存在串标围标、签订“阴阳合同”等严重违反市场行为的。</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13．严重违反《江苏省物业管理条例》、《常州市住宅物业管理条例》及其他法律法规的行为。</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如当月物业企业出现以上类型问题，则在当月考核中，直接扣除10分。</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满意度测评：每年12月底，由各社区牵头，组织本小区全体居民代表、楼道长等，对安置小区各物业服务企业进行满意度测评（附件2）。</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年度综合评分：满分100分，农村工作局占50%，社区占30%，，满意度测评占20%，社区和农村工作局得分以每月考核得分的均分计算。</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（四）考核结果运用</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安置小区物业服务费扣款。社区基础考核、农村工作局专项考核、街道长效管理考核三方面考核中发现的问题，确实是由物业公司管理不到位造成的，每个问题扣除当月100元服务费，因物业公司主观原因未能及时整改到位的，每个问题扣除服务费300元；区、市长效管理考核，文明城市考核中发现的问题，每个问题扣除1000元，未能及时整改到位的，每个扣除服务费3000元（绿化养护由社区发包的除外）。重大事项考核，经调查，确由物业公司履职不到位出现13项重大问题，且造成严重后果的，社区及农村工作局在当月考核工作中加大扣款力度，具体扣款数额视情节轻重而定。各条线考核情况每月汇总至相应社区，由社区填写《春江街道安置小区物业考核汇总表》（附件3），作为结算物业服务费的依据。</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2．物业公司优秀奖励。对于日常工作中表现优异，在年底综合评分排名靠前的单位实施相应的奖励。安置小区年度评分奖励排名第一的物业项目奖励5000元，排名第二的物业项目奖励3000元，排名第三的物业项目奖励2000元，并授予年度优秀物业服务项目称号。服务期限内连续两年获得优秀物业服务称号的，在新一轮物业招投标中将给予优先考虑的资格。商品房小区年度评分排名第一的物业项目奖励5000元，并授予年度优秀物业服务项目称号。</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3．安置小区物业合同续签。安置小区在服务期限内，在一年服务期限满前1个月，根据年度综合评分，填写《春江街道安置小区物业服务年度评定单》（附件4），由社区和主管单位出具评定意见后续签下一年服务合同。</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4．社区年底综合考核评分。所辖小区物业年度综合评分将作为社区综合考核的重要参考依据，纳入综合绩效量化考核指标体系。</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三、严格标准，优化物业管理队伍</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（一）建立末位淘汰机制</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严格按照考核要求，形成能进能出的末位淘汰机制。安置小区年度综合评分排名最后的，或经社区及主管部门认定确实管理不到位的，社区将直接解除物业服务合同，在服务期限内不再续签合同，该物业公司列入春江街道物业服务企业黑名单，取消参与春江街道物业项目的招投标资格。结合区房管局物业条线考核，商品房小区年度综合评分在全区范围内靠后的，主管部门将按照《新北区开展物业行业“提质创优”活动实施方案》物业企业分类分级管理要求，上报为“C”类，列入行业重点监管对象，并实施以下措施：</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1．不建议在新北区区域内承接新项目。</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2．由主管部门进行约谈，明确整改措施。</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3．物业服务企业信用分扣10分。</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（二）加强人员队伍建设</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物业服务企业应加强本公司内部员工的监管和考核，并定期开展业务培训工作，提升员工业务水平，对于不能胜任工作岗位的员工应及时进行调整，提升物业管理队伍专业化水平。</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四、争先创优，开展示范项目创建活动</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根据年度综合评分结果，对排名靠前的优秀物管项目、企业、物业服务主体进行评优激励，形成示范、看齐效应。</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（一）鼓励企业创建区级、市级示范项目</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鼓励年度综合评分前三的项目申报区级、市级示范管理项目，被评为区级、市级示范管理项目的，街道将配套相应资金，直接奖励至项目，并在年底综合评分中进行加分。项目在考核年度发生因物业服务主体责任引起的物管矛盾频发或集访群访事件造成恶劣影响的，或发生重大责任事故的，一票否决，取消评选示范项目资格。</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（二）鼓励企业争创物业服务“先锋管家”称号</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鼓励物业服务企业开展党建引领创建活动，有效融入属地社区的基层党建和管理，提升物业管理水平，充分发挥基层党员在小区物业管理中的先锋模范带头作用。</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五、转变观念，促进社区物业管理健康发展</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（一）公开公正，规范考核。农村工作局和各社区要严格按照考核细则，以高标准，严要求的工作态度，以提升小区物业服务管理水平为目的，认真履职，对各小区的物业管理工作进行公开公正的考核。</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二）完善物业管理组织建设。1．各社区应及时转变工作观念，在条件合适的小区筹建业委会（物管会），完善物业管理组织架构；2．各社区应以党建引领推进物业行业管理为契机，充分发挥基层党员在小区物业管理中的先锋模范作用，推进小区物业管理党组织建设，进一步提高党组织引领下的物业服务管理和社区治理水平；3．农村工作局应加强对社区在业委会（物管会）筹建、物业管理党组织创建行动中的业务指导，协助社区加快完善物业管理组织建设。</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三）提升物业矛盾纠纷处置能力。农村工作局应加强对各社区的业务指导，定期组织业务培训，切实提高社区物业工作人员物业投诉、矛盾纠纷的处置能力。各社区应充分发挥好业委会（物管会）、物业党组织在物业管理事项的决策、矛盾纠纷处置等方面的积极作用，有效推进小区物业管理规范、协调发展。</w:t>
      </w:r>
    </w:p>
    <w:p>
      <w:pPr>
        <w:pStyle w:val="29"/>
        <w:keepNext w:val="0"/>
        <w:keepLines w:val="0"/>
        <w:pageBreakBefore w:val="0"/>
        <w:kinsoku/>
        <w:wordWrap/>
        <w:overflowPunct/>
        <w:topLinePunct w:val="0"/>
        <w:autoSpaceDE/>
        <w:autoSpaceDN/>
        <w:bidi w:val="0"/>
        <w:adjustRightInd/>
        <w:spacing w:before="0" w:beforeAutospacing="0" w:after="0" w:afterAutospacing="0" w:line="360" w:lineRule="auto"/>
        <w:ind w:firstLine="566" w:firstLineChars="236"/>
        <w:textAlignment w:val="auto"/>
      </w:pPr>
      <w:r>
        <w:rPr>
          <w:rFonts w:hint="eastAsia"/>
          <w:kern w:val="2"/>
        </w:rPr>
        <w:t>（四）全面推进安置小区收费工作。为增加社区收入，完善社区“造血功能”，按照“谁受益、谁付费”的原则，各社区应加强宣传引导，全面推进安置小区车辆停放服务费和购房户物业费收缴工作。收取的费用按照一定比例返还至各社区，实行专款专用，专项用于小区的基础设施设备维护和维修（购房户物业费返还方式参照车辆停放服务费）。各物业公司应按照物业服务合同，全力配合社区推进小区收费工作，收费工作的具体执行情况和收费率将纳入物业考核。</w:t>
      </w:r>
    </w:p>
    <w:p>
      <w:pPr>
        <w:rPr>
          <w:rFonts w:hAnsi="宋体"/>
          <w:sz w:val="32"/>
          <w:szCs w:val="32"/>
        </w:rPr>
      </w:pPr>
      <w:r>
        <w:rPr>
          <w:rFonts w:hAnsi="宋体"/>
          <w:sz w:val="32"/>
          <w:szCs w:val="32"/>
        </w:rPr>
        <w:br w:type="page"/>
      </w:r>
    </w:p>
    <w:p>
      <w:pPr>
        <w:rPr>
          <w:rFonts w:hAnsi="宋体"/>
          <w:sz w:val="32"/>
          <w:szCs w:val="32"/>
        </w:rPr>
        <w:sectPr>
          <w:pgSz w:w="11906" w:h="16838"/>
          <w:pgMar w:top="1440" w:right="1800" w:bottom="1440" w:left="1800" w:header="851" w:footer="992" w:gutter="0"/>
          <w:cols w:space="720" w:num="1"/>
          <w:docGrid w:type="lines" w:linePitch="312" w:charSpace="0"/>
        </w:sectPr>
      </w:pPr>
    </w:p>
    <w:p>
      <w:pPr>
        <w:pStyle w:val="29"/>
        <w:spacing w:before="0" w:beforeAutospacing="0" w:after="0" w:afterAutospacing="0" w:line="500" w:lineRule="exact"/>
      </w:pPr>
      <w:r>
        <w:rPr>
          <w:rFonts w:hint="eastAsia" w:ascii="黑体" w:eastAsia="黑体" w:cs="黑体"/>
          <w:kern w:val="2"/>
          <w:sz w:val="32"/>
          <w:szCs w:val="32"/>
        </w:rPr>
        <w:t>附件1</w:t>
      </w:r>
    </w:p>
    <w:p>
      <w:pPr>
        <w:pStyle w:val="29"/>
        <w:spacing w:before="0" w:beforeAutospacing="0" w:after="0" w:afterAutospacing="0" w:line="520" w:lineRule="exact"/>
        <w:jc w:val="center"/>
      </w:pPr>
      <w:r>
        <w:rPr>
          <w:rFonts w:hint="eastAsia"/>
          <w:bCs/>
          <w:sz w:val="44"/>
          <w:szCs w:val="44"/>
        </w:rPr>
        <w:t>新北区住宅小区物业管理工作评分标准</w:t>
      </w:r>
    </w:p>
    <w:p>
      <w:pPr>
        <w:pStyle w:val="29"/>
        <w:spacing w:before="0" w:beforeAutospacing="0" w:after="0" w:afterAutospacing="0" w:line="500" w:lineRule="exact"/>
        <w:jc w:val="center"/>
      </w:pPr>
      <w:r>
        <w:rPr>
          <w:rFonts w:hint="eastAsia"/>
          <w:sz w:val="21"/>
          <w:szCs w:val="21"/>
        </w:rPr>
        <w:t xml:space="preserve"> </w:t>
      </w:r>
    </w:p>
    <w:p>
      <w:pPr>
        <w:pStyle w:val="29"/>
        <w:spacing w:before="0" w:beforeAutospacing="0" w:after="0" w:afterAutospacing="0" w:line="240" w:lineRule="atLeast"/>
        <w:ind w:left="76" w:leftChars="-70" w:hanging="223" w:hangingChars="93"/>
      </w:pPr>
      <w:r>
        <w:rPr>
          <w:rFonts w:hint="eastAsia"/>
          <w:bCs/>
          <w:kern w:val="2"/>
        </w:rPr>
        <w:t>检查项目：</w:t>
      </w:r>
      <w:r>
        <w:rPr>
          <w:rFonts w:hint="eastAsia" w:ascii="仿宋_GB2312" w:hAnsi="仿宋" w:cs="仿宋"/>
          <w:bCs/>
          <w:kern w:val="2"/>
        </w:rPr>
        <w:t xml:space="preserve">                                                </w:t>
      </w:r>
      <w:r>
        <w:rPr>
          <w:rFonts w:hint="eastAsia"/>
          <w:bCs/>
          <w:kern w:val="2"/>
        </w:rPr>
        <w:t>服务主体：</w:t>
      </w:r>
      <w:r>
        <w:rPr>
          <w:rFonts w:hint="eastAsia" w:ascii="仿宋_GB2312" w:hAnsi="仿宋" w:cs="仿宋"/>
          <w:bCs/>
          <w:kern w:val="2"/>
        </w:rPr>
        <w:t xml:space="preserve">        </w:t>
      </w:r>
      <w:r>
        <w:rPr>
          <w:rFonts w:hint="eastAsia"/>
          <w:bCs/>
          <w:kern w:val="2"/>
        </w:rPr>
        <w:t>日期：</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19"/>
        <w:gridCol w:w="7131"/>
        <w:gridCol w:w="486"/>
        <w:gridCol w:w="592"/>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jc w:val="center"/>
            </w:pPr>
            <w:r>
              <w:rPr>
                <w:rStyle w:val="35"/>
                <w:rFonts w:hint="eastAsia"/>
                <w:bCs w:val="0"/>
                <w:kern w:val="2"/>
              </w:rPr>
              <w:t>类别</w:t>
            </w:r>
          </w:p>
        </w:tc>
        <w:tc>
          <w:tcPr>
            <w:tcW w:w="419"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jc w:val="center"/>
            </w:pPr>
            <w:r>
              <w:rPr>
                <w:rStyle w:val="35"/>
                <w:rFonts w:hint="eastAsia"/>
                <w:bCs w:val="0"/>
                <w:kern w:val="2"/>
              </w:rPr>
              <w:t>考核</w:t>
            </w:r>
          </w:p>
          <w:p>
            <w:pPr>
              <w:pStyle w:val="29"/>
              <w:spacing w:before="0" w:beforeAutospacing="0" w:after="0" w:afterAutospacing="0" w:line="300" w:lineRule="exact"/>
              <w:ind w:left="-53" w:leftChars="-25" w:right="-53" w:rightChars="-25"/>
              <w:jc w:val="center"/>
            </w:pPr>
            <w:r>
              <w:rPr>
                <w:rStyle w:val="35"/>
                <w:rFonts w:hint="eastAsia"/>
                <w:bCs w:val="0"/>
                <w:kern w:val="2"/>
              </w:rPr>
              <w:t>项目</w:t>
            </w:r>
          </w:p>
        </w:tc>
        <w:tc>
          <w:tcPr>
            <w:tcW w:w="7131"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jc w:val="center"/>
            </w:pPr>
            <w:r>
              <w:rPr>
                <w:rStyle w:val="35"/>
                <w:rFonts w:hint="eastAsia"/>
                <w:bCs w:val="0"/>
                <w:kern w:val="2"/>
              </w:rPr>
              <w:t>标    准    内    容</w:t>
            </w:r>
          </w:p>
        </w:tc>
        <w:tc>
          <w:tcPr>
            <w:tcW w:w="486"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jc w:val="center"/>
            </w:pPr>
            <w:r>
              <w:rPr>
                <w:rStyle w:val="35"/>
                <w:rFonts w:hint="eastAsia"/>
                <w:bCs w:val="0"/>
                <w:kern w:val="2"/>
              </w:rPr>
              <w:t>分值</w:t>
            </w:r>
          </w:p>
        </w:tc>
        <w:tc>
          <w:tcPr>
            <w:tcW w:w="592"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jc w:val="center"/>
            </w:pPr>
            <w:r>
              <w:rPr>
                <w:rStyle w:val="35"/>
                <w:rFonts w:hint="eastAsia"/>
                <w:bCs w:val="0"/>
                <w:kern w:val="2"/>
              </w:rPr>
              <w:t>评分</w:t>
            </w:r>
          </w:p>
          <w:p>
            <w:pPr>
              <w:pStyle w:val="29"/>
              <w:spacing w:before="0" w:beforeAutospacing="0" w:after="0" w:afterAutospacing="0" w:line="300" w:lineRule="exact"/>
              <w:ind w:left="-53" w:leftChars="-25" w:right="-53" w:rightChars="-25"/>
              <w:jc w:val="center"/>
            </w:pPr>
            <w:r>
              <w:rPr>
                <w:rStyle w:val="35"/>
                <w:rFonts w:hint="eastAsia"/>
                <w:bCs w:val="0"/>
                <w:kern w:val="2"/>
              </w:rPr>
              <w:t>标准</w:t>
            </w:r>
          </w:p>
        </w:tc>
        <w:tc>
          <w:tcPr>
            <w:tcW w:w="362"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jc w:val="center"/>
            </w:pPr>
            <w:r>
              <w:rPr>
                <w:rStyle w:val="35"/>
                <w:rFonts w:hint="eastAsia"/>
                <w:bCs w:val="0"/>
                <w:kern w:val="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38" w:type="dxa"/>
            <w:vMerge w:val="restart"/>
            <w:tcBorders>
              <w:top w:val="nil"/>
              <w:left w:val="single" w:color="auto" w:sz="4" w:space="0"/>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基础</w:t>
            </w:r>
          </w:p>
          <w:p>
            <w:pPr>
              <w:pStyle w:val="29"/>
              <w:adjustRightInd w:val="0"/>
              <w:spacing w:before="0" w:beforeAutospacing="0" w:after="0" w:afterAutospacing="0" w:line="300" w:lineRule="exact"/>
              <w:ind w:left="-53" w:leftChars="-25" w:right="-53" w:rightChars="-25"/>
              <w:jc w:val="center"/>
            </w:pPr>
            <w:r>
              <w:rPr>
                <w:rFonts w:hint="eastAsia"/>
              </w:rPr>
              <w:t>管理</w:t>
            </w:r>
          </w:p>
          <w:p>
            <w:pPr>
              <w:pStyle w:val="29"/>
              <w:adjustRightInd w:val="0"/>
              <w:spacing w:before="0" w:beforeAutospacing="0" w:after="0" w:afterAutospacing="0" w:line="300" w:lineRule="exact"/>
              <w:ind w:left="-53" w:leftChars="-25" w:right="-53" w:rightChars="-25"/>
              <w:jc w:val="center"/>
            </w:pPr>
            <w:r>
              <w:rPr>
                <w:rFonts w:hint="eastAsia"/>
                <w:spacing w:val="-14"/>
              </w:rPr>
              <w:t>（30分）</w:t>
            </w:r>
          </w:p>
        </w:tc>
        <w:tc>
          <w:tcPr>
            <w:tcW w:w="419"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公示</w:t>
            </w:r>
          </w:p>
          <w:p>
            <w:pPr>
              <w:pStyle w:val="29"/>
              <w:adjustRightInd w:val="0"/>
              <w:spacing w:before="0" w:beforeAutospacing="0" w:after="0" w:afterAutospacing="0" w:line="300" w:lineRule="exact"/>
              <w:ind w:left="-53" w:leftChars="-25" w:right="-53" w:rightChars="-25"/>
              <w:jc w:val="center"/>
            </w:pPr>
            <w:r>
              <w:rPr>
                <w:rFonts w:hint="eastAsia"/>
              </w:rPr>
              <w:t>管理</w:t>
            </w: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显著位置公示内容（主出入口或宣传栏）：投诉电话、联系信箱；商品房项目公示上年度“代收代付”、公共公益收支情况（有公示照片及台账记录），公共收益单独列账，按约定分配，经授权使用。</w:t>
            </w:r>
          </w:p>
        </w:tc>
        <w:tc>
          <w:tcPr>
            <w:tcW w:w="486"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6分</w:t>
            </w:r>
          </w:p>
        </w:tc>
        <w:tc>
          <w:tcPr>
            <w:tcW w:w="592"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一处不符扣2分，扣完为止</w:t>
            </w:r>
          </w:p>
        </w:tc>
        <w:tc>
          <w:tcPr>
            <w:tcW w:w="362" w:type="dxa"/>
            <w:vMerge w:val="restart"/>
            <w:tcBorders>
              <w:top w:val="nil"/>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rPr>
              <w:t> </w:t>
            </w:r>
          </w:p>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公示公布物业服务与管理每月的工作安排；涉及业主或使用人正常生活的重要物业服务事项，应在主要出入口、各楼单元门内张贴通知，履行告知义务（有公示照片及台账记录）。</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人员</w:t>
            </w:r>
          </w:p>
          <w:p>
            <w:pPr>
              <w:pStyle w:val="29"/>
              <w:adjustRightInd w:val="0"/>
              <w:spacing w:before="0" w:beforeAutospacing="0" w:after="0" w:afterAutospacing="0" w:line="300" w:lineRule="exact"/>
              <w:ind w:left="-53" w:leftChars="-25" w:right="-53" w:rightChars="-25"/>
              <w:jc w:val="center"/>
            </w:pPr>
            <w:r>
              <w:rPr>
                <w:rFonts w:hint="eastAsia"/>
              </w:rPr>
              <w:t>管理</w:t>
            </w: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专业岗位操作人员按规定持有专业岗位证书（包括消防监控人员、电梯维修人员、高低压电工等）。</w:t>
            </w:r>
          </w:p>
        </w:tc>
        <w:tc>
          <w:tcPr>
            <w:tcW w:w="486"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6分</w:t>
            </w:r>
          </w:p>
        </w:tc>
        <w:tc>
          <w:tcPr>
            <w:tcW w:w="592"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一处不符扣2分，扣完为止</w:t>
            </w:r>
          </w:p>
        </w:tc>
        <w:tc>
          <w:tcPr>
            <w:tcW w:w="362" w:type="dxa"/>
            <w:vMerge w:val="restart"/>
            <w:tcBorders>
              <w:top w:val="nil"/>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商品房项目的项目经理为本市项目负责人信用信息档案登记在册人员（有复印件）。</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制度</w:t>
            </w:r>
          </w:p>
          <w:p>
            <w:pPr>
              <w:pStyle w:val="29"/>
              <w:adjustRightInd w:val="0"/>
              <w:spacing w:before="0" w:beforeAutospacing="0" w:after="0" w:afterAutospacing="0" w:line="300" w:lineRule="exact"/>
              <w:ind w:left="-53" w:leftChars="-25" w:right="-53" w:rightChars="-25"/>
              <w:jc w:val="center"/>
            </w:pPr>
            <w:r>
              <w:rPr>
                <w:rFonts w:hint="eastAsia"/>
              </w:rPr>
              <w:t>档案</w:t>
            </w:r>
          </w:p>
          <w:p>
            <w:pPr>
              <w:pStyle w:val="29"/>
              <w:adjustRightInd w:val="0"/>
              <w:spacing w:before="0" w:beforeAutospacing="0" w:after="0" w:afterAutospacing="0" w:line="300" w:lineRule="exact"/>
              <w:ind w:left="-53" w:leftChars="-25" w:right="-53" w:rightChars="-25"/>
              <w:jc w:val="center"/>
            </w:pPr>
            <w:r>
              <w:rPr>
                <w:rFonts w:hint="eastAsia"/>
              </w:rPr>
              <w:t>台账</w:t>
            </w:r>
          </w:p>
          <w:p>
            <w:pPr>
              <w:pStyle w:val="29"/>
              <w:adjustRightInd w:val="0"/>
              <w:spacing w:before="0" w:beforeAutospacing="0" w:after="0" w:afterAutospacing="0" w:line="300" w:lineRule="exact"/>
              <w:ind w:left="-53" w:leftChars="-25" w:right="-53" w:rightChars="-25"/>
              <w:jc w:val="center"/>
            </w:pPr>
            <w:r>
              <w:rPr>
                <w:rFonts w:hint="eastAsia"/>
              </w:rPr>
              <w:t>管理</w:t>
            </w: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spacing w:val="-6"/>
              </w:rPr>
              <w:t>建立共用部位及共用设施设备维修养护、消防安全防范、绿化养护、环境卫生、公共秩序维护等管理制度。</w:t>
            </w:r>
          </w:p>
        </w:tc>
        <w:tc>
          <w:tcPr>
            <w:tcW w:w="486"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12分</w:t>
            </w:r>
          </w:p>
        </w:tc>
        <w:tc>
          <w:tcPr>
            <w:tcW w:w="592"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一处不符扣1分，扣完为止</w:t>
            </w:r>
          </w:p>
        </w:tc>
        <w:tc>
          <w:tcPr>
            <w:tcW w:w="362" w:type="dxa"/>
            <w:vMerge w:val="restart"/>
            <w:tcBorders>
              <w:top w:val="nil"/>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各类设施设备维修养护合同应妥善保管，并在有效期内；各类设施设备维修、保养、检修记录完整。</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档案分类管理，查阅方便；设施设备日常维护、业主信息实现动态管理。</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房屋结构、建筑部件、附属构筑物小修及时，并建立相应档案、台账。</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建立本小区有针对性的突发公共事件应急预案，定期进行演练。</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每年至少1次公开征集物业服务意见，公示整改情况。</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建立装饰装修管理服务制度；按相关规定登记业主装饰装修申请；签订装饰装修管理服务协议；书面告知业主及施工单位装饰装修的禁止行为和注意事项；专人每日巡视检查装修现场，及时劝阻和制止装修违规行为，制止无效的，书面报告业主委员会及有关部门。</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spacing w:val="-6"/>
              </w:rPr>
              <w:t>发现群租房租赁当事人有违反相关法律法规行为的，应当及时予以劝阻、制止、并报告有关部门，建立台账。</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spacing w:val="-6"/>
              </w:rPr>
              <w:t>对住户违反治安、消防、环保等方面法律、法规规定的行为，及时进行劝阻，并向有关行政部门报告。</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积极配合相关部门布置的工作，以及公益性宣传（有台帐、记录）。</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投诉</w:t>
            </w:r>
          </w:p>
          <w:p>
            <w:pPr>
              <w:pStyle w:val="29"/>
              <w:adjustRightInd w:val="0"/>
              <w:spacing w:before="0" w:beforeAutospacing="0" w:after="0" w:afterAutospacing="0" w:line="300" w:lineRule="exact"/>
              <w:ind w:left="-53" w:leftChars="-25" w:right="-53" w:rightChars="-25"/>
              <w:jc w:val="center"/>
            </w:pPr>
            <w:r>
              <w:rPr>
                <w:rFonts w:hint="eastAsia"/>
              </w:rPr>
              <w:t>处理</w:t>
            </w:r>
          </w:p>
        </w:tc>
        <w:tc>
          <w:tcPr>
            <w:tcW w:w="7131"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kern w:val="2"/>
              </w:rPr>
              <w:t>建立物业矛盾、投诉处理台帐；及时协调业主集中反映的物业管理问题，无推脱、推诿现象；无因物业</w:t>
            </w:r>
            <w:r>
              <w:rPr>
                <w:rFonts w:hint="eastAsia"/>
                <w:spacing w:val="-6"/>
                <w:kern w:val="2"/>
              </w:rPr>
              <w:t>管理不到位发生集访或越级上访、同一问题投诉到区级两次以上或被媒体报道产生一定社会影响等情况。</w:t>
            </w:r>
          </w:p>
        </w:tc>
        <w:tc>
          <w:tcPr>
            <w:tcW w:w="486"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6分</w:t>
            </w:r>
          </w:p>
        </w:tc>
        <w:tc>
          <w:tcPr>
            <w:tcW w:w="592"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kern w:val="2"/>
              </w:rPr>
              <w:t>一处不符扣2分，扣完为止</w:t>
            </w:r>
          </w:p>
        </w:tc>
        <w:tc>
          <w:tcPr>
            <w:tcW w:w="362"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restart"/>
            <w:tcBorders>
              <w:top w:val="nil"/>
              <w:left w:val="single" w:color="auto" w:sz="4" w:space="0"/>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设施</w:t>
            </w:r>
          </w:p>
          <w:p>
            <w:pPr>
              <w:pStyle w:val="29"/>
              <w:adjustRightInd w:val="0"/>
              <w:spacing w:before="0" w:beforeAutospacing="0" w:after="0" w:afterAutospacing="0" w:line="300" w:lineRule="exact"/>
              <w:ind w:left="-53" w:leftChars="-25" w:right="-53" w:rightChars="-25"/>
              <w:jc w:val="center"/>
            </w:pPr>
            <w:r>
              <w:rPr>
                <w:rFonts w:hint="eastAsia"/>
              </w:rPr>
              <w:t>设备</w:t>
            </w:r>
          </w:p>
          <w:p>
            <w:pPr>
              <w:pStyle w:val="29"/>
              <w:adjustRightInd w:val="0"/>
              <w:spacing w:before="0" w:beforeAutospacing="0" w:after="0" w:afterAutospacing="0" w:line="300" w:lineRule="exact"/>
              <w:ind w:left="-53" w:leftChars="-25" w:right="-53" w:rightChars="-25"/>
              <w:jc w:val="center"/>
            </w:pPr>
            <w:r>
              <w:rPr>
                <w:rFonts w:hint="eastAsia"/>
                <w:spacing w:val="-14"/>
              </w:rPr>
              <w:t>（30分）</w:t>
            </w:r>
          </w:p>
        </w:tc>
        <w:tc>
          <w:tcPr>
            <w:tcW w:w="419"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公共</w:t>
            </w:r>
          </w:p>
          <w:p>
            <w:pPr>
              <w:pStyle w:val="29"/>
              <w:adjustRightInd w:val="0"/>
              <w:spacing w:before="0" w:beforeAutospacing="0" w:after="0" w:afterAutospacing="0" w:line="300" w:lineRule="exact"/>
              <w:ind w:left="-53" w:leftChars="-25" w:right="-53" w:rightChars="-25"/>
              <w:jc w:val="center"/>
            </w:pPr>
            <w:r>
              <w:rPr>
                <w:rFonts w:hint="eastAsia"/>
              </w:rPr>
              <w:t>部位</w:t>
            </w:r>
          </w:p>
          <w:p>
            <w:pPr>
              <w:pStyle w:val="29"/>
              <w:adjustRightInd w:val="0"/>
              <w:spacing w:before="0" w:beforeAutospacing="0" w:after="0" w:afterAutospacing="0" w:line="300" w:lineRule="exact"/>
              <w:ind w:left="-53" w:leftChars="-25" w:right="-53" w:rightChars="-25"/>
              <w:jc w:val="center"/>
            </w:pPr>
            <w:r>
              <w:rPr>
                <w:rFonts w:hint="eastAsia"/>
              </w:rPr>
              <w:t>管理</w:t>
            </w:r>
          </w:p>
        </w:tc>
        <w:tc>
          <w:tcPr>
            <w:tcW w:w="7131"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kern w:val="2"/>
              </w:rPr>
              <w:t>主出入口设有小区平面示意图（新、次新小区）；区域内交通标志引导指示牌，幢号、单元、房门及配套公建标识规范清晰。</w:t>
            </w:r>
          </w:p>
        </w:tc>
        <w:tc>
          <w:tcPr>
            <w:tcW w:w="486"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10分</w:t>
            </w:r>
          </w:p>
        </w:tc>
        <w:tc>
          <w:tcPr>
            <w:tcW w:w="592"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一处不符扣2分，扣完为止</w:t>
            </w:r>
          </w:p>
        </w:tc>
        <w:tc>
          <w:tcPr>
            <w:tcW w:w="362" w:type="dxa"/>
            <w:vMerge w:val="restart"/>
            <w:tcBorders>
              <w:top w:val="nil"/>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房屋、附属构筑物外立面无破损、脱落；健身、游乐、监控、安防等设施无破损、锈蚀、缺失。</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空调、户外防盗窗、网，晾晒架等安全牢固、整洁，无安全隐患。</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设施</w:t>
            </w:r>
          </w:p>
          <w:p>
            <w:pPr>
              <w:pStyle w:val="29"/>
              <w:adjustRightInd w:val="0"/>
              <w:spacing w:before="0" w:beforeAutospacing="0" w:after="0" w:afterAutospacing="0" w:line="300" w:lineRule="exact"/>
              <w:ind w:left="-53" w:leftChars="-25" w:right="-53" w:rightChars="-25"/>
              <w:jc w:val="center"/>
            </w:pPr>
            <w:r>
              <w:rPr>
                <w:rFonts w:hint="eastAsia"/>
              </w:rPr>
              <w:t>设备</w:t>
            </w:r>
          </w:p>
          <w:p>
            <w:pPr>
              <w:pStyle w:val="29"/>
              <w:adjustRightInd w:val="0"/>
              <w:spacing w:before="0" w:beforeAutospacing="0" w:after="0" w:afterAutospacing="0" w:line="300" w:lineRule="exact"/>
              <w:ind w:left="-53" w:leftChars="-25" w:right="-53" w:rightChars="-25"/>
              <w:jc w:val="center"/>
            </w:pPr>
            <w:r>
              <w:rPr>
                <w:rFonts w:hint="eastAsia"/>
              </w:rPr>
              <w:t>管理</w:t>
            </w: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设施设备专业管理人员配置合理，岗位责任明确；设施设备标志齐全、规范；各类现场记录齐全、规范；各设施设备房整洁、无杂物堆放；电梯、消防、监控安防等有特殊要求的设施设备，应委托专业机构进行维养，并对受托企业进行有效监管，及时处理发现的问题。</w:t>
            </w:r>
          </w:p>
        </w:tc>
        <w:tc>
          <w:tcPr>
            <w:tcW w:w="486"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20分</w:t>
            </w:r>
          </w:p>
        </w:tc>
        <w:tc>
          <w:tcPr>
            <w:tcW w:w="592"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一处不符扣3分，扣完为止</w:t>
            </w:r>
          </w:p>
        </w:tc>
        <w:tc>
          <w:tcPr>
            <w:tcW w:w="362" w:type="dxa"/>
            <w:vMerge w:val="restart"/>
            <w:tcBorders>
              <w:top w:val="nil"/>
              <w:left w:val="nil"/>
              <w:bottom w:val="single" w:color="auto" w:sz="4" w:space="0"/>
              <w:right w:val="single" w:color="auto" w:sz="4" w:space="0"/>
            </w:tcBorders>
          </w:tcPr>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电梯通风、照明情况良好；运行正常、三方通话运行正常；准用（合格）证、年检证明、紧急电话和乘客注意事项置于轿厢醒目位置；轿厢内保持清洁，广告设置有序，无乱贴、乱画。</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监控安防系统运行正常；能按规定时间保存信息备查；安防及消防控制室设专人24 小时值守。</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室内外管线整齐有序；变配电室安全防护用具配置齐全，年检合格。</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配置避雷设施位置平面图；避雷设施定期检查、维护，记录完整。（新、次新小区）</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消防设施运行正常；消防器材配备须符合要求。</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公共照明、应急照明运行正常。</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restart"/>
            <w:tcBorders>
              <w:top w:val="nil"/>
              <w:left w:val="single" w:color="auto" w:sz="4" w:space="0"/>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环境</w:t>
            </w:r>
          </w:p>
          <w:p>
            <w:pPr>
              <w:pStyle w:val="29"/>
              <w:adjustRightInd w:val="0"/>
              <w:spacing w:before="0" w:beforeAutospacing="0" w:after="0" w:afterAutospacing="0" w:line="300" w:lineRule="exact"/>
              <w:ind w:left="-53" w:leftChars="-25" w:right="-53" w:rightChars="-25"/>
              <w:jc w:val="center"/>
            </w:pPr>
            <w:r>
              <w:rPr>
                <w:rFonts w:hint="eastAsia"/>
              </w:rPr>
              <w:t>秩序</w:t>
            </w:r>
          </w:p>
          <w:p>
            <w:pPr>
              <w:pStyle w:val="29"/>
              <w:adjustRightInd w:val="0"/>
              <w:spacing w:before="0" w:beforeAutospacing="0" w:after="0" w:afterAutospacing="0" w:line="300" w:lineRule="exact"/>
              <w:ind w:left="-53" w:leftChars="-25" w:right="-53" w:rightChars="-25"/>
              <w:jc w:val="center"/>
            </w:pPr>
            <w:r>
              <w:rPr>
                <w:rFonts w:hint="eastAsia"/>
                <w:spacing w:val="-14"/>
              </w:rPr>
              <w:t>（30分）</w:t>
            </w:r>
          </w:p>
        </w:tc>
        <w:tc>
          <w:tcPr>
            <w:tcW w:w="419"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现场</w:t>
            </w:r>
          </w:p>
          <w:p>
            <w:pPr>
              <w:pStyle w:val="29"/>
              <w:adjustRightInd w:val="0"/>
              <w:spacing w:before="0" w:beforeAutospacing="0" w:after="0" w:afterAutospacing="0" w:line="300" w:lineRule="exact"/>
              <w:ind w:left="-53" w:leftChars="-25" w:right="-53" w:rightChars="-25"/>
              <w:jc w:val="center"/>
            </w:pPr>
            <w:r>
              <w:rPr>
                <w:rFonts w:hint="eastAsia"/>
              </w:rPr>
              <w:t>环境</w:t>
            </w:r>
          </w:p>
          <w:p>
            <w:pPr>
              <w:pStyle w:val="29"/>
              <w:adjustRightInd w:val="0"/>
              <w:spacing w:before="0" w:beforeAutospacing="0" w:after="0" w:afterAutospacing="0" w:line="300" w:lineRule="exact"/>
              <w:ind w:left="-53" w:leftChars="-25" w:right="-53" w:rightChars="-25"/>
              <w:jc w:val="center"/>
            </w:pPr>
            <w:r>
              <w:rPr>
                <w:rFonts w:hint="eastAsia"/>
              </w:rPr>
              <w:t>及秩</w:t>
            </w:r>
          </w:p>
          <w:p>
            <w:pPr>
              <w:pStyle w:val="29"/>
              <w:adjustRightInd w:val="0"/>
              <w:spacing w:before="0" w:beforeAutospacing="0" w:after="0" w:afterAutospacing="0" w:line="300" w:lineRule="exact"/>
              <w:ind w:left="-53" w:leftChars="-25" w:right="-53" w:rightChars="-25"/>
              <w:jc w:val="center"/>
            </w:pPr>
            <w:r>
              <w:rPr>
                <w:rFonts w:hint="eastAsia"/>
              </w:rPr>
              <w:t>序管</w:t>
            </w:r>
          </w:p>
          <w:p>
            <w:pPr>
              <w:pStyle w:val="29"/>
              <w:adjustRightInd w:val="0"/>
              <w:spacing w:before="0" w:beforeAutospacing="0" w:after="0" w:afterAutospacing="0" w:line="300" w:lineRule="exact"/>
              <w:ind w:left="-53" w:leftChars="-25" w:right="-53" w:rightChars="-25"/>
              <w:jc w:val="center"/>
            </w:pPr>
            <w:r>
              <w:rPr>
                <w:rFonts w:hint="eastAsia"/>
              </w:rPr>
              <w:t>理</w:t>
            </w: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绿化管养（修剪、除草、杀虫）到位；绿化带内无死树枯枝、空秃（大于1㎡）现象，无占（毁）绿种菜、停车、堆放等。</w:t>
            </w:r>
          </w:p>
        </w:tc>
        <w:tc>
          <w:tcPr>
            <w:tcW w:w="486"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30分</w:t>
            </w:r>
          </w:p>
        </w:tc>
        <w:tc>
          <w:tcPr>
            <w:tcW w:w="592" w:type="dxa"/>
            <w:vMerge w:val="restart"/>
            <w:tcBorders>
              <w:top w:val="nil"/>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一处不符扣1～3分，扣完为止</w:t>
            </w:r>
          </w:p>
        </w:tc>
        <w:tc>
          <w:tcPr>
            <w:tcW w:w="362" w:type="dxa"/>
            <w:vMerge w:val="restart"/>
            <w:tcBorders>
              <w:top w:val="nil"/>
              <w:left w:val="nil"/>
              <w:bottom w:val="single" w:color="auto" w:sz="4" w:space="0"/>
              <w:right w:val="single" w:color="auto" w:sz="4" w:space="0"/>
            </w:tcBorders>
            <w:vAlign w:val="center"/>
          </w:tcPr>
          <w:p>
            <w:pPr>
              <w:pStyle w:val="29"/>
              <w:spacing w:before="0" w:beforeAutospacing="0" w:after="0" w:afterAutospacing="0" w:line="300" w:lineRule="exact"/>
              <w:ind w:left="-53" w:leftChars="-25" w:right="-53" w:rightChars="-25"/>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无散落垃圾、杂草丛生，水面无漂浮物；无散养家禽（畜）、杂物堆放、焚烧垃圾（树叶）现象（痕迹）。</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建筑（装潢）垃圾临时堆放点设置明显标志；建筑（装潢）垃圾须袋装化、设围护或覆盖。</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设置安全警示、作业施工警示、温馨提示等物业服务标志；标志无破损。</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环卫设施（公厕、垃圾箱、垃圾房、果壳箱等）无缺失、破损，周边环境整洁无脏乱；垃圾筒、果壳箱不能设置在绿化带内或绿地上（无绿化或植被的除外）；实行垃圾分类收集。</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无违章（规）张贴、涂写、堆放、悬（披）挂、刻画、晾晒现象。</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rPr>
                <w:rFonts w:ascii="宋体"/>
                <w:sz w:val="24"/>
                <w:szCs w:val="24"/>
              </w:rPr>
            </w:pPr>
          </w:p>
        </w:tc>
        <w:tc>
          <w:tcPr>
            <w:tcW w:w="419"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消防通道保持畅通、标志标线清晰醒目；加强小区内机动、非机动车管理，无电动车乱停放和私拉乱接现象。</w:t>
            </w:r>
          </w:p>
        </w:tc>
        <w:tc>
          <w:tcPr>
            <w:tcW w:w="486"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592"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362" w:type="dxa"/>
            <w:vMerge w:val="continue"/>
            <w:tcBorders>
              <w:top w:val="nil"/>
              <w:left w:val="nil"/>
              <w:bottom w:val="single" w:color="auto" w:sz="4" w:space="0"/>
              <w:right w:val="single" w:color="auto" w:sz="4" w:space="0"/>
            </w:tcBorders>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重大事项考核（10分）</w:t>
            </w:r>
          </w:p>
        </w:tc>
        <w:tc>
          <w:tcPr>
            <w:tcW w:w="419"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小区重大事项</w:t>
            </w:r>
          </w:p>
        </w:tc>
        <w:tc>
          <w:tcPr>
            <w:tcW w:w="7131"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pPr>
            <w:r>
              <w:rPr>
                <w:rFonts w:hint="eastAsia"/>
              </w:rPr>
              <w:t>物业企业在项目上出现矛盾纠纷处置不当、疏于管理造成严重后果等13项重大事项。</w:t>
            </w:r>
          </w:p>
        </w:tc>
        <w:tc>
          <w:tcPr>
            <w:tcW w:w="486"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300" w:lineRule="exact"/>
              <w:ind w:left="-53" w:leftChars="-25" w:right="-53" w:rightChars="-25"/>
              <w:jc w:val="center"/>
            </w:pPr>
            <w:r>
              <w:rPr>
                <w:rFonts w:hint="eastAsia"/>
              </w:rPr>
              <w:t>10分</w:t>
            </w:r>
          </w:p>
        </w:tc>
        <w:tc>
          <w:tcPr>
            <w:tcW w:w="592" w:type="dxa"/>
            <w:tcBorders>
              <w:top w:val="single" w:color="auto" w:sz="4" w:space="0"/>
              <w:left w:val="nil"/>
              <w:bottom w:val="single" w:color="auto" w:sz="4" w:space="0"/>
              <w:right w:val="single" w:color="auto" w:sz="4" w:space="0"/>
            </w:tcBorders>
            <w:vAlign w:val="center"/>
          </w:tcPr>
          <w:p>
            <w:pPr>
              <w:pStyle w:val="29"/>
              <w:adjustRightInd w:val="0"/>
              <w:spacing w:before="0" w:beforeAutospacing="0" w:after="0" w:afterAutospacing="0" w:line="260" w:lineRule="exact"/>
              <w:ind w:left="-53" w:leftChars="-25" w:right="-53" w:rightChars="-25"/>
            </w:pPr>
            <w:r>
              <w:rPr>
                <w:rFonts w:hint="eastAsia"/>
              </w:rPr>
              <w:t>出现1次扣10分</w:t>
            </w:r>
          </w:p>
        </w:tc>
        <w:tc>
          <w:tcPr>
            <w:tcW w:w="362" w:type="dxa"/>
            <w:tcBorders>
              <w:top w:val="single" w:color="auto" w:sz="4" w:space="0"/>
              <w:left w:val="nil"/>
              <w:bottom w:val="single" w:color="auto" w:sz="4" w:space="0"/>
              <w:right w:val="single" w:color="auto" w:sz="4" w:space="0"/>
            </w:tcBorders>
          </w:tcPr>
          <w:p>
            <w:pPr>
              <w:pStyle w:val="29"/>
              <w:spacing w:before="0" w:beforeAutospacing="0" w:after="0" w:afterAutospacing="0" w:line="300" w:lineRule="exact"/>
              <w:ind w:left="-53" w:leftChars="-25" w:right="-53" w:rightChars="-25"/>
            </w:pPr>
            <w:r>
              <w:rPr>
                <w:rFonts w:hint="eastAsia"/>
              </w:rPr>
              <w:t> </w:t>
            </w:r>
          </w:p>
        </w:tc>
      </w:tr>
    </w:tbl>
    <w:p>
      <w:pPr>
        <w:pStyle w:val="29"/>
        <w:spacing w:before="0" w:beforeAutospacing="0" w:after="0" w:afterAutospacing="0"/>
        <w:ind w:left="315" w:leftChars="-69" w:right="-147" w:rightChars="-70" w:hanging="460" w:hangingChars="192"/>
      </w:pPr>
      <w:r>
        <w:rPr>
          <w:rFonts w:hint="eastAsia"/>
          <w:bCs/>
          <w:kern w:val="2"/>
        </w:rPr>
        <w:t>注：</w:t>
      </w:r>
      <w:r>
        <w:rPr>
          <w:rFonts w:hint="eastAsia"/>
          <w:kern w:val="2"/>
        </w:rPr>
        <w:t>因客观原因无考核内容的作缺项考核（消防、监控、电梯、变配电间、避雷设施等每项按5分计），自查时发现问题并已采取应急措施、整改措施的，扣分分值可适当减少或不扣分。</w:t>
      </w:r>
    </w:p>
    <w:p>
      <w:pPr>
        <w:pStyle w:val="29"/>
        <w:spacing w:before="0" w:beforeAutospacing="0" w:after="0" w:afterAutospacing="0" w:line="460" w:lineRule="exact"/>
      </w:pPr>
      <w:r>
        <w:rPr>
          <w:rFonts w:hint="eastAsia" w:ascii="仿宋_GB2312" w:hAnsi="仿宋" w:cs="仿宋"/>
          <w:bCs/>
          <w:kern w:val="2"/>
        </w:rPr>
        <w:t xml:space="preserve"> </w:t>
      </w:r>
      <w:r>
        <w:rPr>
          <w:rFonts w:hint="eastAsia"/>
          <w:bCs/>
          <w:kern w:val="2"/>
        </w:rPr>
        <w:t>考核单位：</w:t>
      </w:r>
      <w:r>
        <w:rPr>
          <w:rFonts w:hint="eastAsia" w:ascii="仿宋_GB2312" w:hAnsi="仿宋" w:cs="仿宋"/>
          <w:bCs/>
          <w:kern w:val="2"/>
        </w:rPr>
        <w:t xml:space="preserve">                                   </w:t>
      </w:r>
      <w:r>
        <w:rPr>
          <w:rFonts w:hint="eastAsia"/>
          <w:bCs/>
          <w:kern w:val="2"/>
        </w:rPr>
        <w:t>考核人员：</w:t>
      </w:r>
      <w:r>
        <w:rPr>
          <w:rFonts w:hint="eastAsia" w:ascii="仿宋_GB2312" w:hAnsi="仿宋" w:cs="仿宋"/>
          <w:bCs/>
          <w:kern w:val="2"/>
        </w:rPr>
        <w:t xml:space="preserve">                          </w:t>
      </w:r>
      <w:r>
        <w:rPr>
          <w:rFonts w:hint="eastAsia"/>
          <w:bCs/>
          <w:kern w:val="2"/>
        </w:rPr>
        <w:t>被考核单位（人）签字：</w:t>
      </w:r>
      <w:r>
        <w:rPr>
          <w:rFonts w:hint="eastAsia" w:ascii="仿宋_GB2312" w:hAnsi="仿宋" w:cs="仿宋"/>
          <w:bCs/>
          <w:kern w:val="2"/>
        </w:rPr>
        <w:t xml:space="preserve"> </w:t>
      </w:r>
    </w:p>
    <w:p>
      <w:pPr>
        <w:pStyle w:val="29"/>
        <w:spacing w:before="0" w:beforeAutospacing="0" w:after="0" w:afterAutospacing="0" w:line="460" w:lineRule="exact"/>
      </w:pPr>
      <w:r>
        <w:rPr>
          <w:rFonts w:hint="eastAsia"/>
          <w:bCs/>
          <w:kern w:val="2"/>
        </w:rPr>
        <w:t xml:space="preserve"> </w:t>
      </w:r>
    </w:p>
    <w:p>
      <w:pPr>
        <w:pStyle w:val="29"/>
        <w:spacing w:before="0" w:beforeAutospacing="0" w:after="0" w:afterAutospacing="0" w:line="460" w:lineRule="exact"/>
      </w:pPr>
      <w:r>
        <w:rPr>
          <w:rFonts w:hint="eastAsia"/>
          <w:bCs/>
          <w:kern w:val="2"/>
        </w:rPr>
        <w:t xml:space="preserve"> </w:t>
      </w:r>
    </w:p>
    <w:p>
      <w:pPr>
        <w:pStyle w:val="29"/>
        <w:spacing w:before="0" w:beforeAutospacing="0" w:after="0" w:afterAutospacing="0" w:line="460" w:lineRule="exact"/>
      </w:pPr>
      <w:r>
        <w:rPr>
          <w:rFonts w:hint="eastAsia"/>
          <w:bCs/>
          <w:kern w:val="2"/>
        </w:rPr>
        <w:t xml:space="preserve"> </w:t>
      </w:r>
    </w:p>
    <w:p>
      <w:pPr>
        <w:pStyle w:val="29"/>
        <w:spacing w:before="0" w:beforeAutospacing="0" w:after="0" w:afterAutospacing="0" w:line="460" w:lineRule="exact"/>
      </w:pPr>
      <w:r>
        <w:rPr>
          <w:rFonts w:hint="eastAsia"/>
          <w:bCs/>
          <w:kern w:val="2"/>
        </w:rPr>
        <w:t xml:space="preserve"> </w:t>
      </w:r>
    </w:p>
    <w:p>
      <w:pPr>
        <w:rPr>
          <w:sz w:val="28"/>
          <w:szCs w:val="28"/>
        </w:rPr>
        <w:sectPr>
          <w:pgSz w:w="12242" w:h="15842"/>
          <w:pgMar w:top="1440" w:right="1800" w:bottom="1440" w:left="1800" w:header="851" w:footer="992" w:gutter="0"/>
          <w:cols w:space="720" w:num="1"/>
          <w:docGrid w:type="lines" w:linePitch="312" w:charSpace="0"/>
        </w:sectPr>
      </w:pPr>
    </w:p>
    <w:p>
      <w:pPr>
        <w:pStyle w:val="29"/>
        <w:spacing w:before="0" w:beforeAutospacing="0" w:after="0" w:afterAutospacing="0" w:line="460" w:lineRule="exact"/>
      </w:pPr>
      <w:r>
        <w:rPr>
          <w:rFonts w:hint="eastAsia"/>
          <w:kern w:val="2"/>
          <w:sz w:val="28"/>
          <w:szCs w:val="28"/>
        </w:rPr>
        <w:t>附件2</w:t>
      </w:r>
    </w:p>
    <w:p>
      <w:pPr>
        <w:pStyle w:val="29"/>
        <w:spacing w:before="0" w:beforeAutospacing="0" w:after="0" w:afterAutospacing="0" w:line="460" w:lineRule="exact"/>
      </w:pPr>
      <w:r>
        <w:rPr>
          <w:rFonts w:hint="eastAsia"/>
          <w:kern w:val="2"/>
          <w:sz w:val="28"/>
          <w:szCs w:val="28"/>
        </w:rPr>
        <w:t xml:space="preserve"> </w:t>
      </w:r>
    </w:p>
    <w:p>
      <w:pPr>
        <w:pStyle w:val="29"/>
        <w:spacing w:before="156" w:beforeLines="50" w:beforeAutospacing="0" w:after="156" w:afterLines="50" w:afterAutospacing="0" w:line="640" w:lineRule="exact"/>
        <w:jc w:val="center"/>
      </w:pPr>
      <w:r>
        <w:rPr>
          <w:rFonts w:hint="eastAsia"/>
          <w:kern w:val="2"/>
          <w:sz w:val="44"/>
          <w:szCs w:val="44"/>
        </w:rPr>
        <w:t>春江街道安置小区物业</w:t>
      </w:r>
      <w:r>
        <w:rPr>
          <w:rFonts w:hint="eastAsia" w:cs="仿宋_GB2312"/>
          <w:kern w:val="2"/>
          <w:sz w:val="44"/>
          <w:szCs w:val="44"/>
          <w:u w:val="single"/>
        </w:rPr>
        <w:t xml:space="preserve">    </w:t>
      </w:r>
      <w:r>
        <w:rPr>
          <w:rFonts w:hint="eastAsia"/>
          <w:kern w:val="2"/>
          <w:sz w:val="44"/>
          <w:szCs w:val="44"/>
        </w:rPr>
        <w:t>月考核汇总表</w:t>
      </w:r>
    </w:p>
    <w:p>
      <w:pPr>
        <w:pStyle w:val="29"/>
        <w:spacing w:before="0" w:beforeAutospacing="0" w:after="0" w:afterAutospacing="0" w:line="460" w:lineRule="exact"/>
        <w:ind w:firstLine="5600" w:firstLineChars="1750"/>
      </w:pPr>
      <w:r>
        <w:rPr>
          <w:rFonts w:hint="eastAsia"/>
          <w:kern w:val="2"/>
          <w:sz w:val="32"/>
          <w:szCs w:val="32"/>
        </w:rPr>
        <w:t>时间：</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900"/>
        <w:gridCol w:w="1366"/>
        <w:gridCol w:w="1553"/>
        <w:gridCol w:w="1845"/>
        <w:gridCol w:w="208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Style w:val="35"/>
                <w:rFonts w:hint="eastAsia"/>
                <w:bCs w:val="0"/>
                <w:kern w:val="2"/>
                <w:sz w:val="28"/>
                <w:szCs w:val="28"/>
              </w:rPr>
              <w:t>序号</w:t>
            </w:r>
          </w:p>
        </w:tc>
        <w:tc>
          <w:tcPr>
            <w:tcW w:w="2266" w:type="dxa"/>
            <w:gridSpan w:val="2"/>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Style w:val="35"/>
                <w:rFonts w:hint="eastAsia"/>
                <w:bCs w:val="0"/>
                <w:kern w:val="2"/>
                <w:sz w:val="28"/>
                <w:szCs w:val="28"/>
              </w:rPr>
              <w:t>项  目</w:t>
            </w:r>
          </w:p>
        </w:tc>
        <w:tc>
          <w:tcPr>
            <w:tcW w:w="1553"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Style w:val="35"/>
                <w:rFonts w:hint="eastAsia"/>
                <w:bCs w:val="0"/>
                <w:kern w:val="2"/>
                <w:sz w:val="28"/>
                <w:szCs w:val="28"/>
              </w:rPr>
              <w:t>问题个数</w:t>
            </w:r>
          </w:p>
        </w:tc>
        <w:tc>
          <w:tcPr>
            <w:tcW w:w="1845"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Style w:val="35"/>
                <w:rFonts w:hint="eastAsia"/>
                <w:bCs w:val="0"/>
                <w:kern w:val="2"/>
                <w:sz w:val="28"/>
                <w:szCs w:val="28"/>
              </w:rPr>
              <w:t>未整改到位</w:t>
            </w:r>
          </w:p>
          <w:p>
            <w:pPr>
              <w:pStyle w:val="29"/>
              <w:spacing w:before="0" w:beforeAutospacing="0" w:after="0" w:afterAutospacing="0" w:line="400" w:lineRule="exact"/>
              <w:jc w:val="center"/>
            </w:pPr>
            <w:r>
              <w:rPr>
                <w:rStyle w:val="35"/>
                <w:rFonts w:hint="eastAsia"/>
                <w:bCs w:val="0"/>
                <w:kern w:val="2"/>
                <w:sz w:val="28"/>
                <w:szCs w:val="28"/>
              </w:rPr>
              <w:t>问题数</w:t>
            </w:r>
          </w:p>
        </w:tc>
        <w:tc>
          <w:tcPr>
            <w:tcW w:w="2082"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Style w:val="35"/>
                <w:rFonts w:hint="eastAsia"/>
                <w:bCs w:val="0"/>
                <w:kern w:val="2"/>
                <w:sz w:val="28"/>
                <w:szCs w:val="28"/>
              </w:rPr>
              <w:t>扣款标准</w:t>
            </w:r>
          </w:p>
        </w:tc>
        <w:tc>
          <w:tcPr>
            <w:tcW w:w="1190"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Style w:val="35"/>
                <w:rFonts w:hint="eastAsia"/>
                <w:bCs w:val="0"/>
                <w:kern w:val="2"/>
                <w:sz w:val="28"/>
                <w:szCs w:val="28"/>
              </w:rPr>
              <w:t>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1</w:t>
            </w:r>
          </w:p>
        </w:tc>
        <w:tc>
          <w:tcPr>
            <w:tcW w:w="2266" w:type="dxa"/>
            <w:gridSpan w:val="2"/>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社区基础考核</w:t>
            </w:r>
          </w:p>
        </w:tc>
        <w:tc>
          <w:tcPr>
            <w:tcW w:w="1553"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ind w:firstLine="560" w:firstLineChars="200"/>
            </w:pPr>
            <w:r>
              <w:rPr>
                <w:rFonts w:hint="eastAsia"/>
                <w:kern w:val="2"/>
                <w:sz w:val="28"/>
                <w:szCs w:val="28"/>
              </w:rPr>
              <w:t> </w:t>
            </w:r>
          </w:p>
        </w:tc>
        <w:tc>
          <w:tcPr>
            <w:tcW w:w="1845"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pPr>
            <w:r>
              <w:rPr>
                <w:rFonts w:hint="eastAsia"/>
                <w:kern w:val="2"/>
                <w:sz w:val="28"/>
                <w:szCs w:val="28"/>
              </w:rPr>
              <w:t> </w:t>
            </w:r>
          </w:p>
        </w:tc>
        <w:tc>
          <w:tcPr>
            <w:tcW w:w="2082"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每个问题100元；未整改到位的问题，每个扣300元</w:t>
            </w:r>
          </w:p>
        </w:tc>
        <w:tc>
          <w:tcPr>
            <w:tcW w:w="1190"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jc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2</w:t>
            </w:r>
          </w:p>
        </w:tc>
        <w:tc>
          <w:tcPr>
            <w:tcW w:w="900" w:type="dxa"/>
            <w:vMerge w:val="restart"/>
            <w:tcBorders>
              <w:top w:val="nil"/>
              <w:left w:val="nil"/>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长效</w:t>
            </w:r>
          </w:p>
          <w:p>
            <w:pPr>
              <w:pStyle w:val="29"/>
              <w:spacing w:before="0" w:beforeAutospacing="0" w:after="0" w:afterAutospacing="0" w:line="400" w:lineRule="exact"/>
              <w:jc w:val="center"/>
            </w:pPr>
            <w:r>
              <w:rPr>
                <w:rFonts w:hint="eastAsia"/>
                <w:kern w:val="2"/>
                <w:sz w:val="28"/>
                <w:szCs w:val="28"/>
              </w:rPr>
              <w:t>管理</w:t>
            </w:r>
          </w:p>
          <w:p>
            <w:pPr>
              <w:pStyle w:val="29"/>
              <w:spacing w:before="0" w:beforeAutospacing="0" w:after="0" w:afterAutospacing="0" w:line="400" w:lineRule="exact"/>
              <w:jc w:val="center"/>
            </w:pPr>
            <w:r>
              <w:rPr>
                <w:rFonts w:hint="eastAsia"/>
                <w:kern w:val="2"/>
                <w:sz w:val="28"/>
                <w:szCs w:val="28"/>
              </w:rPr>
              <w:t>考核</w:t>
            </w:r>
          </w:p>
        </w:tc>
        <w:tc>
          <w:tcPr>
            <w:tcW w:w="1366"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街道</w:t>
            </w:r>
          </w:p>
        </w:tc>
        <w:tc>
          <w:tcPr>
            <w:tcW w:w="1553"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ind w:firstLine="560" w:firstLineChars="200"/>
            </w:pPr>
            <w:r>
              <w:rPr>
                <w:rFonts w:hint="eastAsia"/>
                <w:kern w:val="2"/>
                <w:sz w:val="28"/>
                <w:szCs w:val="28"/>
              </w:rPr>
              <w:t> </w:t>
            </w:r>
          </w:p>
        </w:tc>
        <w:tc>
          <w:tcPr>
            <w:tcW w:w="1845"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pPr>
            <w:r>
              <w:rPr>
                <w:rFonts w:hint="eastAsia"/>
                <w:kern w:val="2"/>
                <w:sz w:val="28"/>
                <w:szCs w:val="28"/>
              </w:rPr>
              <w:t> </w:t>
            </w:r>
          </w:p>
        </w:tc>
        <w:tc>
          <w:tcPr>
            <w:tcW w:w="2082"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每个问题100元；未整改到位的问题，每个扣300元</w:t>
            </w:r>
          </w:p>
        </w:tc>
        <w:tc>
          <w:tcPr>
            <w:tcW w:w="1190"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jc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3</w:t>
            </w:r>
          </w:p>
        </w:tc>
        <w:tc>
          <w:tcPr>
            <w:tcW w:w="900" w:type="dxa"/>
            <w:vMerge w:val="continue"/>
            <w:tcBorders>
              <w:top w:val="nil"/>
              <w:left w:val="nil"/>
              <w:bottom w:val="single" w:color="auto" w:sz="4" w:space="0"/>
              <w:right w:val="single" w:color="auto" w:sz="4" w:space="0"/>
            </w:tcBorders>
            <w:vAlign w:val="center"/>
          </w:tcPr>
          <w:p>
            <w:pPr>
              <w:rPr>
                <w:rFonts w:ascii="宋体"/>
                <w:sz w:val="24"/>
                <w:szCs w:val="24"/>
              </w:rPr>
            </w:pPr>
          </w:p>
        </w:tc>
        <w:tc>
          <w:tcPr>
            <w:tcW w:w="1366"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区、市级各类考核</w:t>
            </w:r>
          </w:p>
        </w:tc>
        <w:tc>
          <w:tcPr>
            <w:tcW w:w="1553"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ind w:firstLine="560" w:firstLineChars="200"/>
              <w:jc w:val="center"/>
            </w:pPr>
            <w:r>
              <w:rPr>
                <w:rFonts w:hint="eastAsia"/>
                <w:kern w:val="2"/>
                <w:sz w:val="28"/>
                <w:szCs w:val="28"/>
              </w:rPr>
              <w:t> </w:t>
            </w:r>
          </w:p>
        </w:tc>
        <w:tc>
          <w:tcPr>
            <w:tcW w:w="1845"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pPr>
            <w:r>
              <w:rPr>
                <w:rFonts w:hint="eastAsia"/>
                <w:kern w:val="2"/>
                <w:sz w:val="28"/>
                <w:szCs w:val="28"/>
              </w:rPr>
              <w:t> </w:t>
            </w:r>
          </w:p>
        </w:tc>
        <w:tc>
          <w:tcPr>
            <w:tcW w:w="2082"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每个1000元；未整改到位的，每个问题扣3000元</w:t>
            </w:r>
          </w:p>
        </w:tc>
        <w:tc>
          <w:tcPr>
            <w:tcW w:w="1190"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jc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4</w:t>
            </w:r>
          </w:p>
        </w:tc>
        <w:tc>
          <w:tcPr>
            <w:tcW w:w="2266" w:type="dxa"/>
            <w:gridSpan w:val="2"/>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农村工作局</w:t>
            </w:r>
          </w:p>
          <w:p>
            <w:pPr>
              <w:pStyle w:val="29"/>
              <w:spacing w:before="0" w:beforeAutospacing="0" w:after="0" w:afterAutospacing="0" w:line="400" w:lineRule="exact"/>
              <w:jc w:val="center"/>
            </w:pPr>
            <w:r>
              <w:rPr>
                <w:rFonts w:hint="eastAsia"/>
                <w:kern w:val="2"/>
                <w:sz w:val="28"/>
                <w:szCs w:val="28"/>
              </w:rPr>
              <w:t>专项考核</w:t>
            </w:r>
          </w:p>
        </w:tc>
        <w:tc>
          <w:tcPr>
            <w:tcW w:w="1553"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ind w:firstLine="560" w:firstLineChars="200"/>
              <w:jc w:val="center"/>
            </w:pPr>
            <w:r>
              <w:rPr>
                <w:rFonts w:hint="eastAsia"/>
                <w:kern w:val="2"/>
                <w:sz w:val="28"/>
                <w:szCs w:val="28"/>
              </w:rPr>
              <w:t> </w:t>
            </w:r>
          </w:p>
        </w:tc>
        <w:tc>
          <w:tcPr>
            <w:tcW w:w="1845"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pPr>
            <w:r>
              <w:rPr>
                <w:rFonts w:hint="eastAsia"/>
                <w:kern w:val="2"/>
                <w:sz w:val="28"/>
                <w:szCs w:val="28"/>
              </w:rPr>
              <w:t> </w:t>
            </w:r>
          </w:p>
        </w:tc>
        <w:tc>
          <w:tcPr>
            <w:tcW w:w="2082"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每个问题100元；未整改到位的问题，每个扣300元</w:t>
            </w:r>
          </w:p>
        </w:tc>
        <w:tc>
          <w:tcPr>
            <w:tcW w:w="1190"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jc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7"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5</w:t>
            </w:r>
          </w:p>
        </w:tc>
        <w:tc>
          <w:tcPr>
            <w:tcW w:w="2266" w:type="dxa"/>
            <w:gridSpan w:val="2"/>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重大事项考核</w:t>
            </w:r>
          </w:p>
        </w:tc>
        <w:tc>
          <w:tcPr>
            <w:tcW w:w="1553"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ind w:firstLine="560" w:firstLineChars="200"/>
              <w:jc w:val="center"/>
            </w:pPr>
            <w:r>
              <w:rPr>
                <w:rFonts w:hint="eastAsia"/>
                <w:kern w:val="2"/>
                <w:sz w:val="28"/>
                <w:szCs w:val="28"/>
              </w:rPr>
              <w:t> </w:t>
            </w:r>
          </w:p>
        </w:tc>
        <w:tc>
          <w:tcPr>
            <w:tcW w:w="1845"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pPr>
            <w:r>
              <w:rPr>
                <w:rFonts w:hint="eastAsia"/>
                <w:kern w:val="2"/>
                <w:sz w:val="28"/>
                <w:szCs w:val="28"/>
              </w:rPr>
              <w:t> </w:t>
            </w:r>
          </w:p>
        </w:tc>
        <w:tc>
          <w:tcPr>
            <w:tcW w:w="2082"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根据实际情况扣款</w:t>
            </w:r>
          </w:p>
        </w:tc>
        <w:tc>
          <w:tcPr>
            <w:tcW w:w="1190" w:type="dxa"/>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ind w:firstLine="560" w:firstLineChars="200"/>
              <w:jc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53" w:type="dxa"/>
            <w:gridSpan w:val="3"/>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00" w:lineRule="exact"/>
              <w:jc w:val="center"/>
            </w:pPr>
            <w:r>
              <w:rPr>
                <w:rFonts w:hint="eastAsia"/>
                <w:kern w:val="2"/>
                <w:sz w:val="28"/>
                <w:szCs w:val="28"/>
              </w:rPr>
              <w:t>合计扣款</w:t>
            </w:r>
          </w:p>
        </w:tc>
        <w:tc>
          <w:tcPr>
            <w:tcW w:w="6670" w:type="dxa"/>
            <w:gridSpan w:val="4"/>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00" w:lineRule="exact"/>
              <w:ind w:firstLine="560" w:firstLineChars="200"/>
              <w:jc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3153" w:type="dxa"/>
            <w:gridSpan w:val="3"/>
            <w:tcBorders>
              <w:top w:val="single" w:color="auto" w:sz="4" w:space="0"/>
              <w:left w:val="single" w:color="auto" w:sz="4" w:space="0"/>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物业公司：</w:t>
            </w:r>
          </w:p>
        </w:tc>
        <w:tc>
          <w:tcPr>
            <w:tcW w:w="3398" w:type="dxa"/>
            <w:gridSpan w:val="2"/>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社区：</w:t>
            </w:r>
          </w:p>
        </w:tc>
        <w:tc>
          <w:tcPr>
            <w:tcW w:w="3272" w:type="dxa"/>
            <w:gridSpan w:val="2"/>
            <w:tcBorders>
              <w:top w:val="single" w:color="auto" w:sz="4" w:space="0"/>
              <w:left w:val="nil"/>
              <w:bottom w:val="single" w:color="auto" w:sz="4" w:space="0"/>
              <w:right w:val="single" w:color="auto" w:sz="4" w:space="0"/>
            </w:tcBorders>
          </w:tcPr>
          <w:p>
            <w:pPr>
              <w:pStyle w:val="29"/>
              <w:spacing w:before="0" w:beforeAutospacing="0" w:after="0" w:afterAutospacing="0" w:line="400" w:lineRule="exact"/>
            </w:pPr>
            <w:r>
              <w:rPr>
                <w:rFonts w:hint="eastAsia"/>
                <w:kern w:val="2"/>
                <w:sz w:val="28"/>
                <w:szCs w:val="28"/>
              </w:rPr>
              <w:t>农村工作局：</w:t>
            </w:r>
          </w:p>
        </w:tc>
      </w:tr>
    </w:tbl>
    <w:p>
      <w:pPr>
        <w:pStyle w:val="29"/>
        <w:spacing w:before="0" w:beforeAutospacing="0" w:after="0" w:afterAutospacing="0" w:line="560" w:lineRule="exact"/>
      </w:pPr>
      <w:r>
        <w:rPr>
          <w:rFonts w:hint="eastAsia" w:ascii="黑体" w:eastAsia="黑体" w:cs="黑体"/>
          <w:kern w:val="2"/>
          <w:sz w:val="32"/>
          <w:szCs w:val="32"/>
        </w:rPr>
        <w:t>附件3</w:t>
      </w:r>
    </w:p>
    <w:p>
      <w:pPr>
        <w:pStyle w:val="29"/>
        <w:spacing w:before="0" w:beforeAutospacing="0" w:after="0" w:afterAutospacing="0" w:line="560" w:lineRule="exact"/>
        <w:ind w:firstLine="720" w:firstLineChars="200"/>
        <w:jc w:val="center"/>
        <w:textAlignment w:val="center"/>
      </w:pPr>
      <w:r>
        <w:rPr>
          <w:rFonts w:hint="eastAsia"/>
          <w:kern w:val="2"/>
          <w:sz w:val="36"/>
          <w:szCs w:val="36"/>
        </w:rPr>
        <w:t>春江街道安置小区物业服务满意度测评表</w:t>
      </w:r>
    </w:p>
    <w:p>
      <w:pPr>
        <w:pStyle w:val="29"/>
        <w:spacing w:before="0" w:beforeAutospacing="0" w:after="0" w:afterAutospacing="0" w:line="560" w:lineRule="exact"/>
        <w:textAlignment w:val="center"/>
      </w:pPr>
      <w:r>
        <w:rPr>
          <w:rFonts w:hint="eastAsia"/>
          <w:kern w:val="2"/>
          <w:sz w:val="32"/>
          <w:szCs w:val="32"/>
        </w:rPr>
        <w:t xml:space="preserve">小区名称：        </w:t>
      </w:r>
    </w:p>
    <w:p>
      <w:pPr>
        <w:pStyle w:val="29"/>
        <w:spacing w:before="0" w:beforeAutospacing="0" w:after="0" w:afterAutospacing="0" w:line="560" w:lineRule="exact"/>
        <w:textAlignment w:val="center"/>
      </w:pPr>
      <w:r>
        <w:rPr>
          <w:rFonts w:hint="eastAsia"/>
          <w:kern w:val="2"/>
          <w:sz w:val="32"/>
          <w:szCs w:val="32"/>
        </w:rPr>
        <w:t xml:space="preserve">物业企业名称：           </w:t>
      </w:r>
    </w:p>
    <w:p>
      <w:pPr>
        <w:pStyle w:val="29"/>
        <w:spacing w:before="0" w:beforeAutospacing="0" w:after="156" w:afterLines="50" w:afterAutospacing="0" w:line="560" w:lineRule="exact"/>
        <w:ind w:right="105" w:rightChars="50"/>
        <w:textAlignment w:val="center"/>
      </w:pPr>
      <w:r>
        <w:rPr>
          <w:rFonts w:hint="eastAsia"/>
          <w:kern w:val="2"/>
          <w:sz w:val="32"/>
          <w:szCs w:val="32"/>
        </w:rPr>
        <w:t>考核日期：</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85"/>
        <w:gridCol w:w="2337"/>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480" w:lineRule="exact"/>
              <w:jc w:val="center"/>
              <w:textAlignment w:val="center"/>
            </w:pPr>
            <w:r>
              <w:rPr>
                <w:rFonts w:hint="eastAsia"/>
                <w:kern w:val="2"/>
                <w:sz w:val="28"/>
                <w:szCs w:val="28"/>
              </w:rPr>
              <w:t>得分情况</w:t>
            </w:r>
          </w:p>
          <w:p>
            <w:pPr>
              <w:pStyle w:val="29"/>
              <w:spacing w:before="0" w:beforeAutospacing="0" w:after="0" w:afterAutospacing="0" w:line="480" w:lineRule="exact"/>
              <w:jc w:val="center"/>
              <w:textAlignment w:val="center"/>
            </w:pPr>
            <w:r>
              <w:rPr>
                <w:rFonts w:hint="eastAsia"/>
                <w:kern w:val="2"/>
                <w:sz w:val="28"/>
                <w:szCs w:val="28"/>
              </w:rPr>
              <w:t>测评单位</w:t>
            </w:r>
          </w:p>
        </w:tc>
        <w:tc>
          <w:tcPr>
            <w:tcW w:w="2285"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80" w:lineRule="exact"/>
              <w:jc w:val="center"/>
              <w:textAlignment w:val="center"/>
            </w:pPr>
            <w:r>
              <w:rPr>
                <w:rFonts w:hint="eastAsia"/>
                <w:kern w:val="2"/>
                <w:sz w:val="28"/>
                <w:szCs w:val="28"/>
              </w:rPr>
              <w:t>街道农村工作局</w:t>
            </w:r>
          </w:p>
          <w:p>
            <w:pPr>
              <w:pStyle w:val="29"/>
              <w:spacing w:before="0" w:beforeAutospacing="0" w:after="0" w:afterAutospacing="0" w:line="480" w:lineRule="exact"/>
              <w:jc w:val="center"/>
              <w:textAlignment w:val="center"/>
            </w:pPr>
            <w:r>
              <w:rPr>
                <w:rFonts w:hint="eastAsia"/>
                <w:kern w:val="2"/>
                <w:sz w:val="28"/>
                <w:szCs w:val="28"/>
              </w:rPr>
              <w:t>（20分）</w:t>
            </w:r>
          </w:p>
        </w:tc>
        <w:tc>
          <w:tcPr>
            <w:tcW w:w="2337"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80" w:lineRule="exact"/>
              <w:jc w:val="center"/>
              <w:textAlignment w:val="center"/>
            </w:pPr>
            <w:r>
              <w:rPr>
                <w:rFonts w:hint="eastAsia"/>
                <w:kern w:val="2"/>
                <w:sz w:val="28"/>
                <w:szCs w:val="28"/>
              </w:rPr>
              <w:t>社区居委会</w:t>
            </w:r>
          </w:p>
          <w:p>
            <w:pPr>
              <w:pStyle w:val="29"/>
              <w:spacing w:before="0" w:beforeAutospacing="0" w:after="0" w:afterAutospacing="0" w:line="480" w:lineRule="exact"/>
              <w:jc w:val="center"/>
              <w:textAlignment w:val="center"/>
            </w:pPr>
            <w:r>
              <w:rPr>
                <w:rFonts w:hint="eastAsia"/>
                <w:kern w:val="2"/>
                <w:sz w:val="28"/>
                <w:szCs w:val="28"/>
              </w:rPr>
              <w:t>（30分）</w:t>
            </w:r>
          </w:p>
        </w:tc>
        <w:tc>
          <w:tcPr>
            <w:tcW w:w="3081"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480" w:lineRule="exact"/>
              <w:jc w:val="center"/>
              <w:textAlignment w:val="center"/>
            </w:pPr>
            <w:r>
              <w:rPr>
                <w:rFonts w:hint="eastAsia"/>
                <w:kern w:val="2"/>
                <w:sz w:val="28"/>
                <w:szCs w:val="28"/>
              </w:rPr>
              <w:t>居民代表、楼道组长</w:t>
            </w:r>
          </w:p>
          <w:p>
            <w:pPr>
              <w:pStyle w:val="29"/>
              <w:spacing w:before="0" w:beforeAutospacing="0" w:after="0" w:afterAutospacing="0" w:line="480" w:lineRule="exact"/>
              <w:jc w:val="center"/>
              <w:textAlignment w:val="center"/>
            </w:pPr>
            <w:r>
              <w:rPr>
                <w:rFonts w:hint="eastAsia"/>
                <w:kern w:val="2"/>
                <w:sz w:val="28"/>
                <w:szCs w:val="28"/>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560" w:lineRule="exact"/>
              <w:jc w:val="center"/>
              <w:textAlignment w:val="center"/>
            </w:pPr>
            <w:r>
              <w:rPr>
                <w:rFonts w:hint="eastAsia"/>
                <w:kern w:val="2"/>
                <w:sz w:val="28"/>
                <w:szCs w:val="28"/>
              </w:rPr>
              <w:t>评价赋分</w:t>
            </w:r>
          </w:p>
        </w:tc>
        <w:tc>
          <w:tcPr>
            <w:tcW w:w="2285"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560" w:lineRule="exact"/>
              <w:jc w:val="center"/>
              <w:textAlignment w:val="center"/>
            </w:pPr>
            <w:r>
              <w:rPr>
                <w:rFonts w:hint="eastAsia"/>
                <w:kern w:val="2"/>
                <w:sz w:val="28"/>
                <w:szCs w:val="28"/>
              </w:rPr>
              <w:t> </w:t>
            </w:r>
          </w:p>
        </w:tc>
        <w:tc>
          <w:tcPr>
            <w:tcW w:w="2337"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560" w:lineRule="exact"/>
              <w:jc w:val="center"/>
              <w:textAlignment w:val="center"/>
            </w:pPr>
            <w:r>
              <w:rPr>
                <w:rFonts w:hint="eastAsia"/>
                <w:kern w:val="2"/>
                <w:sz w:val="28"/>
                <w:szCs w:val="28"/>
              </w:rPr>
              <w:t> </w:t>
            </w:r>
          </w:p>
        </w:tc>
        <w:tc>
          <w:tcPr>
            <w:tcW w:w="3081"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560" w:lineRule="exact"/>
              <w:jc w:val="center"/>
              <w:textAlignment w:val="center"/>
            </w:pPr>
            <w:r>
              <w:rPr>
                <w:rFonts w:hint="eastAsia"/>
                <w:kern w:val="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560" w:lineRule="exact"/>
              <w:jc w:val="center"/>
              <w:textAlignment w:val="center"/>
            </w:pPr>
            <w:r>
              <w:rPr>
                <w:rFonts w:hint="eastAsia"/>
                <w:kern w:val="2"/>
                <w:sz w:val="28"/>
                <w:szCs w:val="28"/>
              </w:rPr>
              <w:t>总得分</w:t>
            </w:r>
          </w:p>
        </w:tc>
        <w:tc>
          <w:tcPr>
            <w:tcW w:w="7703" w:type="dxa"/>
            <w:gridSpan w:val="3"/>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560" w:lineRule="exact"/>
              <w:jc w:val="center"/>
              <w:textAlignment w:val="center"/>
            </w:pPr>
            <w:r>
              <w:rPr>
                <w:rFonts w:hint="eastAsia"/>
                <w:kern w:val="2"/>
                <w:sz w:val="28"/>
                <w:szCs w:val="28"/>
              </w:rPr>
              <w:t> </w:t>
            </w:r>
          </w:p>
        </w:tc>
      </w:tr>
    </w:tbl>
    <w:p>
      <w:pPr>
        <w:pStyle w:val="29"/>
        <w:spacing w:before="0" w:beforeAutospacing="0" w:after="0" w:afterAutospacing="0" w:line="560" w:lineRule="exact"/>
      </w:pPr>
      <w:r>
        <w:rPr>
          <w:rFonts w:hint="eastAsia"/>
          <w:kern w:val="2"/>
          <w:sz w:val="28"/>
          <w:szCs w:val="28"/>
        </w:rPr>
        <w:t xml:space="preserve"> </w:t>
      </w:r>
    </w:p>
    <w:p>
      <w:pPr>
        <w:pStyle w:val="29"/>
        <w:spacing w:before="0" w:beforeAutospacing="0" w:after="0" w:afterAutospacing="0" w:line="560" w:lineRule="exact"/>
        <w:ind w:left="-424" w:leftChars="-202" w:firstLine="425" w:firstLineChars="152"/>
      </w:pPr>
      <w:r>
        <w:rPr>
          <w:rFonts w:hint="eastAsia"/>
          <w:kern w:val="2"/>
          <w:sz w:val="28"/>
          <w:szCs w:val="28"/>
        </w:rPr>
        <w:t>注：1．本表为请各测评人员根据小区的物业服务情况，客观公正的进行评价，并赋分。</w:t>
      </w:r>
    </w:p>
    <w:p>
      <w:pPr>
        <w:pStyle w:val="29"/>
        <w:spacing w:before="0" w:beforeAutospacing="0" w:after="0" w:afterAutospacing="0" w:line="560" w:lineRule="exact"/>
        <w:ind w:left="-424" w:leftChars="-202" w:firstLine="425" w:firstLineChars="152"/>
      </w:pPr>
      <w:r>
        <w:rPr>
          <w:rFonts w:hint="eastAsia"/>
          <w:kern w:val="2"/>
          <w:sz w:val="28"/>
          <w:szCs w:val="28"/>
        </w:rPr>
        <w:t>2．评价人员选择、评价汇总等工作，由各社区组织落实，居民代表、楼道长一栏得分取均分。</w:t>
      </w:r>
    </w:p>
    <w:p>
      <w:pPr>
        <w:pStyle w:val="29"/>
        <w:spacing w:before="0" w:beforeAutospacing="0" w:after="0" w:afterAutospacing="0" w:line="560" w:lineRule="exact"/>
        <w:ind w:firstLine="640" w:firstLineChars="200"/>
        <w:textAlignment w:val="center"/>
      </w:pPr>
      <w:r>
        <w:rPr>
          <w:rFonts w:hint="eastAsia" w:ascii="仿宋" w:hAnsi="仿宋" w:eastAsia="仿宋" w:cs="仿宋"/>
          <w:kern w:val="2"/>
          <w:sz w:val="32"/>
          <w:szCs w:val="32"/>
        </w:rPr>
        <w:t xml:space="preserve"> </w:t>
      </w:r>
    </w:p>
    <w:p>
      <w:pPr>
        <w:pStyle w:val="29"/>
        <w:spacing w:before="210" w:beforeAutospacing="0" w:after="120" w:afterAutospacing="0"/>
        <w:ind w:left="420" w:firstLine="640"/>
      </w:pPr>
      <w:r>
        <w:rPr>
          <w:rFonts w:hint="eastAsia" w:ascii="仿宋" w:hAnsi="仿宋" w:eastAsia="仿宋" w:cs="仿宋"/>
          <w:kern w:val="2"/>
          <w:sz w:val="32"/>
          <w:szCs w:val="32"/>
        </w:rPr>
        <w:t xml:space="preserve"> </w:t>
      </w:r>
    </w:p>
    <w:p>
      <w:pPr>
        <w:pStyle w:val="29"/>
        <w:spacing w:before="210" w:beforeAutospacing="0" w:after="120" w:afterAutospacing="0"/>
        <w:ind w:left="420" w:firstLine="640"/>
      </w:pPr>
      <w:r>
        <w:rPr>
          <w:rFonts w:hint="eastAsia" w:ascii="仿宋" w:hAnsi="仿宋" w:eastAsia="仿宋" w:cs="仿宋"/>
          <w:kern w:val="2"/>
          <w:sz w:val="32"/>
          <w:szCs w:val="32"/>
        </w:rPr>
        <w:t xml:space="preserve"> </w:t>
      </w:r>
    </w:p>
    <w:p>
      <w:pPr>
        <w:pStyle w:val="29"/>
        <w:spacing w:before="210" w:beforeAutospacing="0" w:after="120" w:afterAutospacing="0"/>
        <w:ind w:left="420" w:firstLine="640"/>
      </w:pPr>
      <w:r>
        <w:rPr>
          <w:rFonts w:hint="eastAsia" w:ascii="仿宋" w:hAnsi="仿宋" w:eastAsia="仿宋" w:cs="仿宋"/>
          <w:kern w:val="2"/>
          <w:sz w:val="32"/>
          <w:szCs w:val="32"/>
        </w:rPr>
        <w:t xml:space="preserve"> </w:t>
      </w:r>
    </w:p>
    <w:p>
      <w:pPr>
        <w:pStyle w:val="29"/>
        <w:spacing w:before="210" w:beforeAutospacing="0" w:after="120" w:afterAutospacing="0"/>
        <w:ind w:left="420" w:firstLine="640"/>
      </w:pPr>
      <w:r>
        <w:rPr>
          <w:rFonts w:hint="eastAsia" w:ascii="仿宋" w:hAnsi="仿宋" w:eastAsia="仿宋" w:cs="仿宋"/>
          <w:kern w:val="2"/>
          <w:sz w:val="32"/>
          <w:szCs w:val="32"/>
        </w:rPr>
        <w:t xml:space="preserve"> </w:t>
      </w:r>
    </w:p>
    <w:p>
      <w:pPr>
        <w:pStyle w:val="29"/>
        <w:spacing w:before="210" w:beforeAutospacing="0" w:after="120" w:afterAutospacing="0"/>
        <w:ind w:left="420" w:firstLine="640"/>
      </w:pPr>
      <w:r>
        <w:rPr>
          <w:rFonts w:hint="eastAsia" w:ascii="仿宋" w:hAnsi="仿宋" w:eastAsia="仿宋" w:cs="仿宋"/>
          <w:kern w:val="2"/>
          <w:sz w:val="32"/>
          <w:szCs w:val="32"/>
        </w:rPr>
        <w:br w:type="page"/>
      </w:r>
      <w:r>
        <w:rPr>
          <w:rFonts w:hint="eastAsia" w:ascii="仿宋" w:hAnsi="仿宋" w:eastAsia="仿宋" w:cs="仿宋"/>
          <w:kern w:val="2"/>
          <w:sz w:val="32"/>
          <w:szCs w:val="32"/>
        </w:rPr>
        <w:t xml:space="preserve"> </w:t>
      </w:r>
    </w:p>
    <w:p>
      <w:pPr>
        <w:pStyle w:val="29"/>
        <w:spacing w:before="0" w:beforeAutospacing="0" w:after="0" w:afterAutospacing="0" w:line="560" w:lineRule="exact"/>
      </w:pPr>
      <w:r>
        <w:rPr>
          <w:rFonts w:hint="eastAsia" w:ascii="黑体" w:eastAsia="黑体" w:cs="黑体"/>
          <w:kern w:val="2"/>
          <w:sz w:val="32"/>
          <w:szCs w:val="32"/>
        </w:rPr>
        <w:t>附件4</w:t>
      </w:r>
    </w:p>
    <w:p>
      <w:pPr>
        <w:pStyle w:val="29"/>
        <w:spacing w:before="0" w:beforeAutospacing="0" w:after="312" w:afterLines="100" w:afterAutospacing="0" w:line="640" w:lineRule="exact"/>
        <w:jc w:val="center"/>
      </w:pPr>
      <w:r>
        <w:rPr>
          <w:rFonts w:hint="eastAsia"/>
          <w:kern w:val="2"/>
          <w:sz w:val="36"/>
          <w:szCs w:val="36"/>
        </w:rPr>
        <w:t>春江街道安置小区物业服务</w:t>
      </w:r>
      <w:r>
        <w:rPr>
          <w:rFonts w:hint="eastAsia"/>
          <w:kern w:val="2"/>
          <w:sz w:val="36"/>
          <w:szCs w:val="36"/>
          <w:u w:val="single"/>
        </w:rPr>
        <w:t xml:space="preserve">    </w:t>
      </w:r>
      <w:r>
        <w:rPr>
          <w:rFonts w:hint="eastAsia"/>
          <w:kern w:val="2"/>
          <w:sz w:val="36"/>
          <w:szCs w:val="36"/>
        </w:rPr>
        <w:t>年度评定单</w:t>
      </w:r>
    </w:p>
    <w:p>
      <w:pPr>
        <w:pStyle w:val="29"/>
        <w:spacing w:before="0" w:beforeAutospacing="0" w:after="0" w:afterAutospacing="0"/>
        <w:ind w:firstLine="720" w:firstLineChars="200"/>
        <w:jc w:val="center"/>
      </w:pPr>
      <w:r>
        <w:rPr>
          <w:rFonts w:hint="eastAsia" w:hAnsi="Times New Roman"/>
          <w:kern w:val="2"/>
          <w:sz w:val="36"/>
          <w:szCs w:val="36"/>
        </w:rPr>
        <w:t xml:space="preserve">                   </w:t>
      </w:r>
      <w:r>
        <w:rPr>
          <w:rFonts w:hint="eastAsia"/>
          <w:kern w:val="2"/>
          <w:sz w:val="32"/>
          <w:szCs w:val="32"/>
        </w:rPr>
        <w:t>时间：</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2807"/>
        <w:gridCol w:w="2167"/>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240" w:lineRule="atLeast"/>
            </w:pPr>
            <w:r>
              <w:rPr>
                <w:rFonts w:hint="eastAsia"/>
                <w:kern w:val="2"/>
                <w:sz w:val="32"/>
                <w:szCs w:val="32"/>
              </w:rPr>
              <w:t>社区：</w:t>
            </w:r>
          </w:p>
        </w:tc>
        <w:tc>
          <w:tcPr>
            <w:tcW w:w="2807"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240" w:lineRule="atLeast"/>
            </w:pPr>
            <w:r>
              <w:rPr>
                <w:rFonts w:hint="eastAsia"/>
                <w:kern w:val="2"/>
                <w:sz w:val="32"/>
                <w:szCs w:val="32"/>
              </w:rPr>
              <w:t>物业服务企业：</w:t>
            </w:r>
          </w:p>
        </w:tc>
        <w:tc>
          <w:tcPr>
            <w:tcW w:w="2167"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240" w:lineRule="atLeast"/>
            </w:pPr>
            <w:r>
              <w:rPr>
                <w:rFonts w:hint="eastAsia"/>
                <w:kern w:val="2"/>
                <w:sz w:val="32"/>
                <w:szCs w:val="32"/>
              </w:rPr>
              <w:t>管理小区：</w:t>
            </w:r>
          </w:p>
        </w:tc>
        <w:tc>
          <w:tcPr>
            <w:tcW w:w="2202" w:type="dxa"/>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240" w:lineRule="atLeast"/>
            </w:pPr>
            <w:r>
              <w:rPr>
                <w:rFonts w:hint="eastAsia"/>
                <w:kern w:val="2"/>
                <w:sz w:val="32"/>
                <w:szCs w:val="32"/>
              </w:rPr>
              <w:t>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240" w:lineRule="atLeast"/>
              <w:jc w:val="center"/>
            </w:pPr>
            <w:r>
              <w:rPr>
                <w:rFonts w:hint="eastAsia"/>
                <w:kern w:val="2"/>
                <w:sz w:val="32"/>
                <w:szCs w:val="32"/>
              </w:rPr>
              <w:t>物业服务</w:t>
            </w:r>
          </w:p>
          <w:p>
            <w:pPr>
              <w:pStyle w:val="29"/>
              <w:spacing w:before="0" w:beforeAutospacing="0" w:after="0" w:afterAutospacing="0" w:line="240" w:lineRule="atLeast"/>
              <w:jc w:val="center"/>
            </w:pPr>
            <w:r>
              <w:rPr>
                <w:rFonts w:hint="eastAsia"/>
                <w:kern w:val="2"/>
                <w:sz w:val="32"/>
                <w:szCs w:val="32"/>
              </w:rPr>
              <w:t>年度总结</w:t>
            </w:r>
          </w:p>
          <w:p>
            <w:pPr>
              <w:pStyle w:val="29"/>
              <w:spacing w:before="0" w:beforeAutospacing="0" w:after="0" w:afterAutospacing="0" w:line="240" w:lineRule="atLeast"/>
              <w:jc w:val="center"/>
            </w:pPr>
            <w:r>
              <w:rPr>
                <w:rFonts w:hint="eastAsia"/>
                <w:kern w:val="2"/>
                <w:sz w:val="32"/>
                <w:szCs w:val="32"/>
              </w:rPr>
              <w:t>（xxx年）</w:t>
            </w:r>
          </w:p>
        </w:tc>
        <w:tc>
          <w:tcPr>
            <w:tcW w:w="7176" w:type="dxa"/>
            <w:gridSpan w:val="3"/>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240" w:lineRule="atLeast"/>
              <w:ind w:firstLine="640" w:firstLineChars="200"/>
              <w:jc w:val="center"/>
            </w:pPr>
            <w:r>
              <w:rPr>
                <w:rFonts w:hint="eastAsia"/>
                <w:kern w:val="2"/>
                <w:sz w:val="32"/>
                <w:szCs w:val="32"/>
              </w:rPr>
              <w:t>（附页）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240" w:lineRule="atLeast"/>
              <w:jc w:val="center"/>
            </w:pPr>
            <w:r>
              <w:rPr>
                <w:rFonts w:hint="eastAsia"/>
                <w:kern w:val="2"/>
                <w:sz w:val="32"/>
                <w:szCs w:val="32"/>
              </w:rPr>
              <w:t>社区评定</w:t>
            </w:r>
          </w:p>
          <w:p>
            <w:pPr>
              <w:pStyle w:val="29"/>
              <w:spacing w:before="0" w:beforeAutospacing="0" w:after="0" w:afterAutospacing="0" w:line="240" w:lineRule="atLeast"/>
              <w:jc w:val="center"/>
            </w:pPr>
            <w:r>
              <w:rPr>
                <w:rFonts w:hint="eastAsia"/>
                <w:kern w:val="2"/>
                <w:sz w:val="32"/>
                <w:szCs w:val="32"/>
              </w:rPr>
              <w:t>意见</w:t>
            </w:r>
          </w:p>
        </w:tc>
        <w:tc>
          <w:tcPr>
            <w:tcW w:w="7176" w:type="dxa"/>
            <w:gridSpan w:val="3"/>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签字：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629" w:type="dxa"/>
            <w:tcBorders>
              <w:top w:val="single" w:color="auto" w:sz="4" w:space="0"/>
              <w:left w:val="single" w:color="auto" w:sz="4" w:space="0"/>
              <w:bottom w:val="single" w:color="auto" w:sz="4" w:space="0"/>
              <w:right w:val="single" w:color="auto" w:sz="4" w:space="0"/>
            </w:tcBorders>
            <w:vAlign w:val="center"/>
          </w:tcPr>
          <w:p>
            <w:pPr>
              <w:pStyle w:val="29"/>
              <w:spacing w:before="0" w:beforeAutospacing="0" w:after="0" w:afterAutospacing="0" w:line="240" w:lineRule="atLeast"/>
              <w:jc w:val="center"/>
            </w:pPr>
            <w:r>
              <w:rPr>
                <w:rFonts w:hint="eastAsia"/>
                <w:kern w:val="2"/>
                <w:sz w:val="32"/>
                <w:szCs w:val="32"/>
              </w:rPr>
              <w:t>主管部门</w:t>
            </w:r>
          </w:p>
          <w:p>
            <w:pPr>
              <w:pStyle w:val="29"/>
              <w:spacing w:before="0" w:beforeAutospacing="0" w:after="0" w:afterAutospacing="0" w:line="240" w:lineRule="atLeast"/>
              <w:jc w:val="center"/>
            </w:pPr>
            <w:r>
              <w:rPr>
                <w:rFonts w:hint="eastAsia"/>
                <w:kern w:val="2"/>
                <w:sz w:val="32"/>
                <w:szCs w:val="32"/>
              </w:rPr>
              <w:t>评定意见</w:t>
            </w:r>
          </w:p>
        </w:tc>
        <w:tc>
          <w:tcPr>
            <w:tcW w:w="7176" w:type="dxa"/>
            <w:gridSpan w:val="3"/>
            <w:tcBorders>
              <w:top w:val="single" w:color="auto" w:sz="4" w:space="0"/>
              <w:left w:val="nil"/>
              <w:bottom w:val="single" w:color="auto" w:sz="4" w:space="0"/>
              <w:right w:val="single" w:color="auto" w:sz="4" w:space="0"/>
            </w:tcBorders>
            <w:vAlign w:val="center"/>
          </w:tcPr>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 </w:t>
            </w:r>
          </w:p>
          <w:p>
            <w:pPr>
              <w:pStyle w:val="29"/>
              <w:spacing w:before="0" w:beforeAutospacing="0" w:after="0" w:afterAutospacing="0" w:line="240" w:lineRule="atLeast"/>
              <w:ind w:firstLine="640" w:firstLineChars="200"/>
              <w:jc w:val="center"/>
            </w:pPr>
            <w:r>
              <w:rPr>
                <w:rFonts w:hint="eastAsia"/>
                <w:kern w:val="2"/>
                <w:sz w:val="32"/>
                <w:szCs w:val="32"/>
              </w:rPr>
              <w:t>签字：         盖章</w:t>
            </w:r>
          </w:p>
        </w:tc>
      </w:tr>
    </w:tbl>
    <w:p>
      <w:pPr>
        <w:snapToGrid w:val="0"/>
        <w:spacing w:line="276" w:lineRule="auto"/>
        <w:jc w:val="left"/>
        <w:rPr>
          <w:rFonts w:ascii="宋体" w:hAnsi="宋体" w:eastAsia="宋体" w:cs="宋体"/>
          <w:spacing w:val="2"/>
          <w:sz w:val="24"/>
          <w:szCs w:val="24"/>
        </w:rPr>
      </w:pPr>
    </w:p>
    <w:p>
      <w:pPr>
        <w:widowControl/>
        <w:jc w:val="left"/>
        <w:sectPr>
          <w:pgSz w:w="11906" w:h="16838"/>
          <w:pgMar w:top="1440" w:right="1800" w:bottom="1440" w:left="1800" w:header="851" w:footer="992" w:gutter="0"/>
          <w:cols w:space="720" w:num="1"/>
          <w:docGrid w:type="lines" w:linePitch="312" w:charSpace="0"/>
        </w:sectPr>
      </w:pPr>
    </w:p>
    <w:p>
      <w:pPr>
        <w:pStyle w:val="122"/>
      </w:pPr>
      <w:bookmarkStart w:id="47" w:name="_Toc55147050"/>
      <w:r>
        <w:rPr>
          <w:rFonts w:hint="eastAsia"/>
        </w:rPr>
        <w:t>四．合同条款及格式</w:t>
      </w:r>
    </w:p>
    <w:p>
      <w:pPr>
        <w:spacing w:line="480" w:lineRule="auto"/>
        <w:rPr>
          <w:rFonts w:ascii="黑体" w:hAnsi="黑体" w:eastAsia="黑体"/>
          <w:sz w:val="28"/>
          <w:szCs w:val="28"/>
          <w:u w:val="single"/>
        </w:rPr>
      </w:pPr>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rFonts w:ascii="仿宋" w:hAnsi="仿宋" w:eastAsia="仿宋"/>
          <w:sz w:val="30"/>
          <w:szCs w:val="30"/>
        </w:rPr>
      </w:pPr>
      <w:r>
        <w:rPr>
          <w:rFonts w:hint="eastAsia" w:ascii="仿宋" w:hAnsi="仿宋" w:eastAsia="仿宋"/>
          <w:sz w:val="30"/>
          <w:szCs w:val="30"/>
        </w:rPr>
        <w:t xml:space="preserve">参考格式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rPr>
      </w:pPr>
      <w:r>
        <w:rPr>
          <w:rFonts w:hint="eastAsia" w:ascii="黑体" w:hAnsi="黑体" w:eastAsia="黑体"/>
          <w:sz w:val="32"/>
          <w:szCs w:val="28"/>
        </w:rPr>
        <w:t>项目名称：</w:t>
      </w:r>
      <w:r>
        <w:rPr>
          <w:rFonts w:hint="eastAsia" w:ascii="黑体" w:hAnsi="黑体" w:eastAsia="黑体"/>
          <w:sz w:val="32"/>
          <w:szCs w:val="28"/>
          <w:u w:val="single"/>
        </w:rPr>
        <w:t xml:space="preserve">                                   </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     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签订地：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840" w:firstLineChars="300"/>
        <w:rPr>
          <w:rFonts w:ascii="黑体" w:hAnsi="黑体" w:eastAsia="黑体"/>
          <w:sz w:val="28"/>
        </w:rPr>
      </w:pPr>
      <w:r>
        <w:rPr>
          <w:rFonts w:hint="eastAsia" w:ascii="黑体" w:hAnsi="黑体" w:eastAsia="黑体"/>
          <w:sz w:val="28"/>
        </w:rPr>
        <w:t>签订日期：</w:t>
      </w:r>
      <w:r>
        <w:rPr>
          <w:rFonts w:hint="eastAsia" w:ascii="黑体" w:hAnsi="黑体" w:eastAsia="黑体"/>
          <w:sz w:val="28"/>
          <w:u w:val="single"/>
        </w:rPr>
        <w:t xml:space="preserve">               </w:t>
      </w:r>
      <w:r>
        <w:rPr>
          <w:rFonts w:hint="eastAsia" w:ascii="黑体" w:hAnsi="黑体" w:eastAsia="黑体"/>
          <w:sz w:val="28"/>
        </w:rPr>
        <w:t>年</w:t>
      </w:r>
      <w:r>
        <w:rPr>
          <w:rFonts w:hint="eastAsia" w:ascii="黑体" w:hAnsi="黑体" w:eastAsia="黑体"/>
          <w:sz w:val="28"/>
          <w:u w:val="single"/>
        </w:rPr>
        <w:t xml:space="preserve">       </w:t>
      </w:r>
      <w:r>
        <w:rPr>
          <w:rFonts w:hint="eastAsia" w:ascii="黑体" w:hAnsi="黑体" w:eastAsia="黑体"/>
          <w:sz w:val="28"/>
        </w:rPr>
        <w:t>月</w:t>
      </w:r>
      <w:r>
        <w:rPr>
          <w:rFonts w:hint="eastAsia" w:ascii="黑体" w:hAnsi="黑体" w:eastAsia="黑体"/>
          <w:sz w:val="28"/>
          <w:u w:val="single"/>
        </w:rPr>
        <w:t xml:space="preserve">       </w:t>
      </w:r>
      <w:r>
        <w:rPr>
          <w:rFonts w:hint="eastAsia" w:ascii="黑体" w:hAnsi="黑体" w:eastAsia="黑体"/>
          <w:sz w:val="28"/>
        </w:rPr>
        <w:t>日</w:t>
      </w:r>
    </w:p>
    <w:p>
      <w:pPr>
        <w:spacing w:before="120" w:line="240" w:lineRule="atLeast"/>
        <w:rPr>
          <w:rFonts w:ascii="仿宋" w:hAnsi="仿宋" w:eastAsia="仿宋"/>
          <w:sz w:val="32"/>
          <w:szCs w:val="32"/>
        </w:rPr>
        <w:sectPr>
          <w:pgSz w:w="11906" w:h="16838"/>
          <w:pgMar w:top="1100" w:right="1474" w:bottom="1276" w:left="1588" w:header="426" w:footer="337" w:gutter="0"/>
          <w:cols w:space="425" w:num="1"/>
          <w:docGrid w:type="lines" w:linePitch="312" w:charSpace="0"/>
        </w:sectPr>
      </w:pPr>
    </w:p>
    <w:p>
      <w:pPr>
        <w:widowControl/>
        <w:spacing w:line="560" w:lineRule="exact"/>
        <w:ind w:firstLine="480" w:firstLineChars="200"/>
        <w:jc w:val="left"/>
        <w:rPr>
          <w:rFonts w:ascii="黑体" w:hAnsi="黑体" w:eastAsia="黑体"/>
          <w:sz w:val="28"/>
          <w:szCs w:val="24"/>
        </w:rPr>
      </w:pP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（采购人名称）   </w:t>
      </w:r>
      <w:r>
        <w:rPr>
          <w:rFonts w:hint="eastAsia" w:ascii="宋体" w:hAnsi="宋体" w:eastAsia="宋体"/>
          <w:sz w:val="24"/>
          <w:szCs w:val="24"/>
        </w:rPr>
        <w:t>以</w:t>
      </w:r>
      <w:r>
        <w:rPr>
          <w:rFonts w:hint="eastAsia" w:ascii="宋体" w:hAnsi="宋体" w:eastAsia="宋体"/>
          <w:sz w:val="24"/>
          <w:szCs w:val="24"/>
          <w:u w:val="single"/>
        </w:rPr>
        <w:t xml:space="preserve">   （政府采购方式）  </w:t>
      </w:r>
      <w:r>
        <w:rPr>
          <w:rFonts w:hint="eastAsia" w:ascii="宋体" w:hAnsi="宋体" w:eastAsia="宋体"/>
          <w:sz w:val="24"/>
          <w:szCs w:val="24"/>
        </w:rPr>
        <w:t>对</w:t>
      </w:r>
      <w:r>
        <w:rPr>
          <w:rFonts w:hint="eastAsia" w:ascii="宋体" w:hAnsi="宋体" w:eastAsia="宋体"/>
          <w:sz w:val="24"/>
          <w:szCs w:val="24"/>
          <w:u w:val="single"/>
        </w:rPr>
        <w:t xml:space="preserve">   （同前页项目名称）   </w:t>
      </w:r>
      <w:r>
        <w:rPr>
          <w:rFonts w:hint="eastAsia" w:ascii="宋体" w:hAnsi="宋体" w:eastAsia="宋体"/>
          <w:sz w:val="24"/>
          <w:szCs w:val="24"/>
        </w:rPr>
        <w:t>项目进行了采购。经评定，</w:t>
      </w:r>
      <w:r>
        <w:rPr>
          <w:rFonts w:hint="eastAsia" w:ascii="宋体" w:hAnsi="宋体" w:eastAsia="宋体"/>
          <w:sz w:val="24"/>
          <w:szCs w:val="24"/>
          <w:u w:val="single"/>
        </w:rPr>
        <w:t xml:space="preserve">   （中标供应商名称） </w:t>
      </w:r>
      <w:r>
        <w:rPr>
          <w:rFonts w:hint="eastAsia" w:ascii="宋体" w:hAnsi="宋体" w:eastAsia="宋体"/>
          <w:sz w:val="24"/>
          <w:szCs w:val="24"/>
        </w:rPr>
        <w:t>为该项目中标供应商。现于中标通知书发出之日起三十日内，按照采购文件确定的事项签订本合同。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根据《中华人民共和国民法典》、《中华人民共和国政府采购法》等相关法律法规之规定，按照平等、自愿、公平和诚实信用的原则，经</w:t>
      </w:r>
      <w:r>
        <w:rPr>
          <w:rFonts w:hint="eastAsia" w:ascii="宋体" w:hAnsi="宋体" w:eastAsia="宋体"/>
          <w:sz w:val="24"/>
          <w:szCs w:val="24"/>
          <w:u w:val="single"/>
        </w:rPr>
        <w:t xml:space="preserve">   （采购人名称）   </w:t>
      </w:r>
      <w:r>
        <w:rPr>
          <w:rFonts w:hint="eastAsia" w:ascii="宋体" w:hAnsi="宋体" w:eastAsia="宋体"/>
          <w:sz w:val="24"/>
          <w:szCs w:val="24"/>
        </w:rPr>
        <w:t>(以下简称：甲方)和</w:t>
      </w:r>
      <w:r>
        <w:rPr>
          <w:rFonts w:hint="eastAsia" w:ascii="宋体" w:hAnsi="宋体" w:eastAsia="宋体"/>
          <w:sz w:val="24"/>
          <w:szCs w:val="24"/>
          <w:u w:val="single"/>
        </w:rPr>
        <w:t xml:space="preserve">   （中标供应商名称）   </w:t>
      </w:r>
      <w:r>
        <w:rPr>
          <w:rFonts w:hint="eastAsia" w:ascii="宋体" w:hAnsi="宋体" w:eastAsia="宋体"/>
          <w:sz w:val="24"/>
          <w:szCs w:val="24"/>
        </w:rPr>
        <w:t>(以下简称：乙方)协商一致，约定以下合同条款，以兹共同遵守、全面履行。</w:t>
      </w:r>
    </w:p>
    <w:p>
      <w:pPr>
        <w:spacing w:line="360" w:lineRule="auto"/>
        <w:ind w:firstLine="482" w:firstLineChars="200"/>
        <w:rPr>
          <w:b/>
          <w:sz w:val="24"/>
          <w:szCs w:val="24"/>
        </w:rPr>
      </w:pPr>
      <w:bookmarkStart w:id="48" w:name="_Toc60748165"/>
      <w:r>
        <w:rPr>
          <w:rFonts w:hint="eastAsia"/>
          <w:b/>
          <w:sz w:val="24"/>
          <w:szCs w:val="24"/>
        </w:rPr>
        <w:t>一、合同组成部分</w:t>
      </w:r>
      <w:bookmarkEnd w:id="48"/>
    </w:p>
    <w:p>
      <w:pPr>
        <w:spacing w:line="560" w:lineRule="exact"/>
        <w:ind w:firstLine="480" w:firstLineChars="200"/>
        <w:rPr>
          <w:rFonts w:ascii="宋体" w:hAnsi="宋体" w:eastAsia="宋体"/>
          <w:sz w:val="24"/>
          <w:szCs w:val="24"/>
        </w:rPr>
      </w:pPr>
      <w:r>
        <w:rPr>
          <w:rFonts w:hint="eastAsia" w:ascii="宋体" w:hAnsi="宋体" w:eastAsia="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1.本合同及其补充合同、变更协议；</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2.中标通知书；</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3.投标文件（含澄清或者说明文件）；</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4.招标文件（含澄清或者修改文件）；</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5.其他相关采购文件。</w:t>
      </w:r>
    </w:p>
    <w:p>
      <w:pPr>
        <w:spacing w:line="560" w:lineRule="exact"/>
        <w:ind w:firstLine="480" w:firstLineChars="200"/>
        <w:rPr>
          <w:rFonts w:ascii="宋体" w:hAnsi="宋体" w:eastAsia="宋体"/>
          <w:sz w:val="24"/>
          <w:szCs w:val="24"/>
        </w:rPr>
      </w:pPr>
      <w:r>
        <w:rPr>
          <w:rFonts w:hint="eastAsia" w:asciiTheme="majorEastAsia" w:hAnsiTheme="majorEastAsia" w:eastAsiaTheme="majorEastAsia"/>
          <w:sz w:val="24"/>
          <w:szCs w:val="24"/>
        </w:rPr>
        <w:t>双方有关项目的洽商、变更等书面协议或文件视为本合同的组成部分。</w:t>
      </w:r>
    </w:p>
    <w:p>
      <w:pPr>
        <w:spacing w:line="360" w:lineRule="auto"/>
        <w:ind w:firstLine="482" w:firstLineChars="200"/>
        <w:rPr>
          <w:b/>
          <w:sz w:val="24"/>
          <w:szCs w:val="24"/>
        </w:rPr>
      </w:pPr>
      <w:bookmarkStart w:id="49" w:name="_Toc60748166"/>
      <w:r>
        <w:rPr>
          <w:rFonts w:hint="eastAsia"/>
          <w:b/>
          <w:sz w:val="24"/>
          <w:szCs w:val="24"/>
        </w:rPr>
        <w:t>二、合同标的</w:t>
      </w:r>
      <w:bookmarkEnd w:id="49"/>
      <w:r>
        <w:rPr>
          <w:rFonts w:hint="eastAsia"/>
          <w:b/>
          <w:sz w:val="24"/>
          <w:szCs w:val="24"/>
        </w:rPr>
        <w:t>内容</w:t>
      </w:r>
    </w:p>
    <w:p>
      <w:pPr>
        <w:tabs>
          <w:tab w:val="left" w:pos="9030"/>
        </w:tabs>
        <w:snapToGrid w:val="0"/>
        <w:spacing w:line="560" w:lineRule="exact"/>
        <w:ind w:firstLine="480" w:firstLineChars="200"/>
        <w:rPr>
          <w:rFonts w:asciiTheme="majorEastAsia" w:hAnsiTheme="majorEastAsia" w:eastAsiaTheme="majorEastAsia"/>
          <w:sz w:val="24"/>
          <w:szCs w:val="24"/>
          <w:u w:val="single"/>
        </w:rPr>
      </w:pPr>
      <w:bookmarkStart w:id="50" w:name="_Toc60748167"/>
      <w:r>
        <w:rPr>
          <w:rFonts w:hint="eastAsia" w:asciiTheme="majorEastAsia" w:hAnsiTheme="majorEastAsia" w:eastAsiaTheme="majorEastAsia"/>
          <w:sz w:val="24"/>
          <w:szCs w:val="24"/>
        </w:rPr>
        <w:t>1.项目名称：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r>
        <w:rPr>
          <w:rFonts w:asciiTheme="majorEastAsia" w:hAnsiTheme="majorEastAsia" w:eastAsiaTheme="majorEastAsia"/>
          <w:sz w:val="24"/>
          <w:szCs w:val="24"/>
        </w:rPr>
        <w:tab/>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2.坐落位置：</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3.服务范围：</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4.服务期限：</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w:t>
      </w:r>
    </w:p>
    <w:p>
      <w:pPr>
        <w:spacing w:line="360" w:lineRule="auto"/>
        <w:ind w:firstLine="482" w:firstLineChars="200"/>
        <w:rPr>
          <w:b/>
          <w:sz w:val="24"/>
          <w:szCs w:val="24"/>
        </w:rPr>
      </w:pPr>
      <w:r>
        <w:rPr>
          <w:rFonts w:hint="eastAsia"/>
          <w:b/>
          <w:sz w:val="24"/>
          <w:szCs w:val="24"/>
        </w:rPr>
        <w:t>三、合同价款</w:t>
      </w:r>
      <w:bookmarkEnd w:id="50"/>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本合同总价为：￥</w:t>
      </w:r>
      <w:r>
        <w:rPr>
          <w:rFonts w:hint="eastAsia" w:ascii="宋体" w:hAnsi="宋体" w:eastAsia="宋体"/>
          <w:sz w:val="24"/>
          <w:szCs w:val="24"/>
          <w:u w:val="single"/>
        </w:rPr>
        <w:t xml:space="preserve">           </w:t>
      </w:r>
      <w:r>
        <w:rPr>
          <w:rFonts w:hint="eastAsia" w:ascii="宋体" w:hAnsi="宋体" w:eastAsia="宋体"/>
          <w:sz w:val="24"/>
          <w:szCs w:val="24"/>
        </w:rPr>
        <w:t>元（大写：</w:t>
      </w:r>
      <w:r>
        <w:rPr>
          <w:rFonts w:hint="eastAsia" w:ascii="宋体" w:hAnsi="宋体" w:eastAsia="宋体"/>
          <w:sz w:val="24"/>
          <w:szCs w:val="24"/>
          <w:u w:val="single"/>
        </w:rPr>
        <w:t xml:space="preserve">                 </w:t>
      </w:r>
      <w:r>
        <w:rPr>
          <w:rFonts w:hint="eastAsia" w:ascii="宋体" w:hAnsi="宋体" w:eastAsia="宋体"/>
          <w:sz w:val="24"/>
          <w:szCs w:val="24"/>
        </w:rPr>
        <w:t>元人民币）。</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分项价格：</w:t>
      </w:r>
    </w:p>
    <w:tbl>
      <w:tblPr>
        <w:tblStyle w:val="3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32"/>
              <w:spacing w:line="560" w:lineRule="exact"/>
              <w:jc w:val="center"/>
              <w:rPr>
                <w:rFonts w:hAnsi="宋体"/>
                <w:color w:val="000000"/>
                <w:kern w:val="2"/>
                <w:sz w:val="24"/>
                <w:szCs w:val="24"/>
              </w:rPr>
            </w:pPr>
            <w:r>
              <w:rPr>
                <w:rFonts w:hint="eastAsia" w:hAnsi="宋体"/>
                <w:color w:val="000000"/>
                <w:kern w:val="2"/>
                <w:sz w:val="24"/>
                <w:szCs w:val="24"/>
              </w:rPr>
              <w:t>序号</w:t>
            </w:r>
          </w:p>
        </w:tc>
        <w:tc>
          <w:tcPr>
            <w:tcW w:w="340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r>
              <w:rPr>
                <w:rFonts w:hint="eastAsia" w:hAnsi="宋体"/>
                <w:color w:val="000000"/>
                <w:kern w:val="2"/>
                <w:sz w:val="24"/>
                <w:szCs w:val="24"/>
              </w:rPr>
              <w:t>分项名称</w:t>
            </w:r>
          </w:p>
        </w:tc>
        <w:tc>
          <w:tcPr>
            <w:tcW w:w="2552" w:type="dxa"/>
            <w:tcBorders>
              <w:top w:val="single" w:color="auto" w:sz="4" w:space="0"/>
              <w:left w:val="nil"/>
              <w:bottom w:val="single" w:color="auto" w:sz="4" w:space="0"/>
              <w:right w:val="single" w:color="auto" w:sz="4" w:space="0"/>
            </w:tcBorders>
            <w:vAlign w:val="center"/>
          </w:tcPr>
          <w:p>
            <w:pPr>
              <w:pStyle w:val="132"/>
              <w:spacing w:line="560" w:lineRule="exact"/>
              <w:jc w:val="center"/>
              <w:rPr>
                <w:rFonts w:hAnsi="宋体"/>
                <w:color w:val="000000"/>
                <w:kern w:val="2"/>
                <w:sz w:val="24"/>
                <w:szCs w:val="24"/>
              </w:rPr>
            </w:pPr>
            <w:r>
              <w:rPr>
                <w:rFonts w:hint="eastAsia" w:hAnsi="宋体"/>
                <w:color w:val="000000"/>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340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255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340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255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340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255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340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c>
          <w:tcPr>
            <w:tcW w:w="255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r>
              <w:rPr>
                <w:rFonts w:hint="eastAsia" w:hAnsi="宋体"/>
                <w:color w:val="000000"/>
                <w:kern w:val="2"/>
                <w:sz w:val="24"/>
                <w:szCs w:val="24"/>
              </w:rPr>
              <w:t>总价</w:t>
            </w:r>
          </w:p>
        </w:tc>
        <w:tc>
          <w:tcPr>
            <w:tcW w:w="2552" w:type="dxa"/>
            <w:tcBorders>
              <w:top w:val="single" w:color="auto" w:sz="4" w:space="0"/>
              <w:left w:val="nil"/>
              <w:bottom w:val="single" w:color="auto" w:sz="4" w:space="0"/>
              <w:right w:val="single" w:color="auto" w:sz="4" w:space="0"/>
            </w:tcBorders>
            <w:vAlign w:val="center"/>
          </w:tcPr>
          <w:p>
            <w:pPr>
              <w:pStyle w:val="132"/>
              <w:spacing w:line="560" w:lineRule="exact"/>
              <w:ind w:firstLine="200"/>
              <w:jc w:val="center"/>
              <w:rPr>
                <w:rFonts w:hAnsi="宋体"/>
                <w:color w:val="000000"/>
                <w:kern w:val="2"/>
                <w:sz w:val="24"/>
                <w:szCs w:val="24"/>
              </w:rPr>
            </w:pPr>
          </w:p>
        </w:tc>
      </w:tr>
    </w:tbl>
    <w:p>
      <w:pPr>
        <w:spacing w:line="360" w:lineRule="auto"/>
        <w:ind w:firstLine="482" w:firstLineChars="200"/>
        <w:rPr>
          <w:rFonts w:ascii="宋体" w:hAnsi="宋体" w:eastAsia="宋体"/>
          <w:b/>
          <w:bCs/>
          <w:sz w:val="24"/>
          <w:szCs w:val="24"/>
        </w:rPr>
      </w:pPr>
      <w:bookmarkStart w:id="51" w:name="_Toc60748168"/>
      <w:r>
        <w:rPr>
          <w:rFonts w:hint="eastAsia" w:ascii="宋体" w:hAnsi="宋体" w:eastAsia="宋体"/>
          <w:b/>
          <w:bCs/>
          <w:sz w:val="24"/>
          <w:szCs w:val="24"/>
        </w:rPr>
        <w:t>四、 付款方式和发票开具方式</w:t>
      </w:r>
      <w:bookmarkEnd w:id="51"/>
    </w:p>
    <w:p>
      <w:pPr>
        <w:spacing w:line="560" w:lineRule="exact"/>
        <w:ind w:firstLine="480" w:firstLineChars="200"/>
        <w:rPr>
          <w:rFonts w:ascii="宋体" w:hAnsi="宋体" w:eastAsia="宋体"/>
          <w:sz w:val="24"/>
          <w:szCs w:val="24"/>
        </w:rPr>
      </w:pPr>
      <w:r>
        <w:rPr>
          <w:rFonts w:hint="eastAsia" w:ascii="宋体" w:hAnsi="宋体" w:eastAsia="宋体"/>
          <w:sz w:val="24"/>
          <w:szCs w:val="24"/>
        </w:rPr>
        <w:t>1.付款方式：</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2.发票开具方式：</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2" w:firstLineChars="200"/>
        <w:rPr>
          <w:rFonts w:ascii="宋体" w:hAnsi="宋体" w:eastAsia="宋体"/>
          <w:b/>
          <w:bCs/>
          <w:sz w:val="24"/>
          <w:szCs w:val="24"/>
        </w:rPr>
      </w:pPr>
      <w:bookmarkStart w:id="52" w:name="_Toc60748169"/>
      <w:r>
        <w:rPr>
          <w:rFonts w:hint="eastAsia" w:ascii="宋体" w:hAnsi="宋体" w:eastAsia="宋体"/>
          <w:b/>
          <w:bCs/>
          <w:sz w:val="24"/>
          <w:szCs w:val="24"/>
        </w:rPr>
        <w:t>五、履行期限、地点和方式</w:t>
      </w:r>
      <w:bookmarkEnd w:id="52"/>
    </w:p>
    <w:p>
      <w:pPr>
        <w:spacing w:line="560" w:lineRule="exact"/>
        <w:ind w:firstLine="480" w:firstLineChars="200"/>
        <w:rPr>
          <w:rFonts w:ascii="宋体" w:hAnsi="宋体" w:eastAsia="宋体"/>
          <w:sz w:val="24"/>
          <w:szCs w:val="24"/>
          <w:u w:val="single"/>
        </w:rPr>
      </w:pPr>
      <w:r>
        <w:rPr>
          <w:rFonts w:hint="eastAsia" w:ascii="宋体" w:hAnsi="宋体" w:eastAsia="宋体"/>
          <w:sz w:val="24"/>
          <w:szCs w:val="24"/>
        </w:rPr>
        <w:t>1.履行期限：</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2.履行地点：</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3.履行方式：</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六、</w:t>
      </w:r>
      <w:bookmarkStart w:id="53" w:name="_Toc60748170"/>
      <w:r>
        <w:rPr>
          <w:rFonts w:hint="eastAsia" w:ascii="宋体" w:hAnsi="宋体" w:eastAsia="宋体"/>
          <w:b/>
          <w:bCs/>
          <w:sz w:val="24"/>
          <w:szCs w:val="24"/>
        </w:rPr>
        <w:t>服务管理考核</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1.岗位出勤情况考核</w:t>
      </w:r>
    </w:p>
    <w:p>
      <w:pPr>
        <w:snapToGrid w:val="0"/>
        <w:spacing w:line="560" w:lineRule="exact"/>
        <w:ind w:firstLine="480" w:firstLineChars="200"/>
        <w:rPr>
          <w:rFonts w:asciiTheme="majorEastAsia" w:hAnsiTheme="majorEastAsia" w:eastAsiaTheme="majorEastAsia"/>
          <w:sz w:val="24"/>
          <w:szCs w:val="24"/>
          <w:u w:val="single"/>
        </w:rPr>
      </w:pPr>
      <w:r>
        <w:rPr>
          <w:rFonts w:asciiTheme="majorEastAsia" w:hAnsiTheme="majorEastAsia" w:eastAsiaTheme="majorEastAsia"/>
          <w:sz w:val="24"/>
          <w:szCs w:val="24"/>
          <w:u w:val="single"/>
        </w:rPr>
        <w:t xml:space="preserve">                                                                </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2.服务质量考核</w:t>
      </w:r>
    </w:p>
    <w:p>
      <w:pPr>
        <w:snapToGrid w:val="0"/>
        <w:spacing w:line="560" w:lineRule="exact"/>
        <w:ind w:firstLine="480" w:firstLineChars="200"/>
        <w:rPr>
          <w:rFonts w:asciiTheme="majorEastAsia" w:hAnsiTheme="majorEastAsia" w:eastAsiaTheme="majorEastAsia"/>
          <w:sz w:val="24"/>
          <w:szCs w:val="24"/>
          <w:u w:val="single"/>
        </w:rPr>
      </w:pPr>
      <w:r>
        <w:rPr>
          <w:rFonts w:asciiTheme="majorEastAsia" w:hAnsiTheme="majorEastAsia" w:eastAsiaTheme="majorEastAsia"/>
          <w:sz w:val="24"/>
          <w:szCs w:val="24"/>
          <w:u w:val="single"/>
        </w:rPr>
        <w:t xml:space="preserve">                                                                </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3.服务满意度考核</w:t>
      </w:r>
    </w:p>
    <w:p>
      <w:pPr>
        <w:snapToGrid w:val="0"/>
        <w:spacing w:line="560" w:lineRule="exact"/>
        <w:ind w:firstLine="480" w:firstLineChars="200"/>
        <w:rPr>
          <w:rFonts w:asciiTheme="majorEastAsia" w:hAnsiTheme="majorEastAsia" w:eastAsiaTheme="majorEastAsia"/>
          <w:sz w:val="24"/>
          <w:szCs w:val="24"/>
          <w:u w:val="single"/>
        </w:rPr>
      </w:pPr>
      <w:r>
        <w:rPr>
          <w:rFonts w:asciiTheme="majorEastAsia" w:hAnsiTheme="majorEastAsia" w:eastAsiaTheme="majorEastAsia"/>
          <w:sz w:val="24"/>
          <w:szCs w:val="24"/>
          <w:u w:val="single"/>
        </w:rPr>
        <w:t xml:space="preserve">                                                                </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七、保密要求</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1. </w:t>
      </w:r>
      <w:r>
        <w:rPr>
          <w:rFonts w:asciiTheme="majorEastAsia" w:hAnsiTheme="majorEastAsia" w:eastAsiaTheme="majorEastAsia"/>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2. </w:t>
      </w:r>
      <w:r>
        <w:rPr>
          <w:rFonts w:asciiTheme="majorEastAsia" w:hAnsiTheme="majorEastAsia" w:eastAsiaTheme="majorEastAsia"/>
          <w:sz w:val="24"/>
          <w:szCs w:val="24"/>
        </w:rPr>
        <w:t>乙方在履行合同过程中所获得或接触到的任何</w:t>
      </w:r>
      <w:r>
        <w:rPr>
          <w:rFonts w:hint="eastAsia" w:asciiTheme="majorEastAsia" w:hAnsiTheme="majorEastAsia" w:eastAsiaTheme="majorEastAsia"/>
          <w:sz w:val="24"/>
          <w:szCs w:val="24"/>
        </w:rPr>
        <w:t>内部数据资料，未经甲方同意，不得向第三方透露。</w:t>
      </w:r>
    </w:p>
    <w:p>
      <w:pPr>
        <w:snapToGrid w:val="0"/>
        <w:spacing w:line="56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 </w:t>
      </w:r>
      <w:r>
        <w:rPr>
          <w:rFonts w:asciiTheme="majorEastAsia" w:hAnsiTheme="majorEastAsia" w:eastAsiaTheme="majorEastAsia"/>
          <w:sz w:val="24"/>
          <w:szCs w:val="24"/>
        </w:rPr>
        <w:t>乙方</w:t>
      </w:r>
      <w:r>
        <w:rPr>
          <w:rFonts w:hint="eastAsia" w:asciiTheme="majorEastAsia" w:hAnsiTheme="majorEastAsia" w:eastAsiaTheme="majorEastAsia"/>
          <w:sz w:val="24"/>
          <w:szCs w:val="24"/>
        </w:rPr>
        <w:t>实施项目的一切程序都应符合国家安全、保密的有关规定和标准。</w:t>
      </w:r>
    </w:p>
    <w:p>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八、甲方权利与义务</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（一）甲方权利： </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 有权向乙方询问工作进展情况及相关的内容。</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 有权阐述对具体问题的意见和建议。</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 当甲方认定乙方人员不按合同履行其职责，或与第三人串通给甲方造成经济损失的，甲方有权要求更换人员，直至终止合同并要求乙方承担相应的赔偿责任。</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4. </w:t>
      </w:r>
      <w:r>
        <w:rPr>
          <w:rFonts w:hint="eastAsia" w:cs="仿宋" w:asciiTheme="majorEastAsia" w:hAnsiTheme="majorEastAsia" w:eastAsiaTheme="majorEastAsia"/>
          <w:sz w:val="24"/>
          <w:szCs w:val="24"/>
          <w:u w:val="single"/>
        </w:rPr>
        <w:t xml:space="preserve">                                              </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（二）甲方义务： </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 负责与本项目有关的第三方的协调，提供开展服务工作的外部条件。</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 向乙方提供与本项目有关的资料。</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3. </w:t>
      </w:r>
      <w:r>
        <w:rPr>
          <w:rFonts w:hint="eastAsia" w:cs="仿宋" w:asciiTheme="majorEastAsia" w:hAnsiTheme="majorEastAsia" w:eastAsiaTheme="majorEastAsia"/>
          <w:sz w:val="24"/>
          <w:szCs w:val="24"/>
          <w:u w:val="single"/>
        </w:rPr>
        <w:t xml:space="preserve">                                              </w:t>
      </w:r>
    </w:p>
    <w:p>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九、乙方权利与义务</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一、乙方权利：</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 乙方在本项目服务过程中，如甲方提供的资料不明确时可向甲方提出书面报告。</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2. </w:t>
      </w:r>
      <w:r>
        <w:rPr>
          <w:rFonts w:hint="eastAsia" w:cs="仿宋" w:asciiTheme="majorEastAsia" w:hAnsiTheme="majorEastAsia" w:eastAsiaTheme="majorEastAsia"/>
          <w:sz w:val="24"/>
          <w:szCs w:val="24"/>
          <w:u w:val="single"/>
        </w:rPr>
        <w:t xml:space="preserve">                                              </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二、乙方义务：</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 应按照</w:t>
      </w:r>
      <w:r>
        <w:rPr>
          <w:rFonts w:hint="eastAsia" w:cs="仿宋" w:asciiTheme="majorEastAsia" w:hAnsiTheme="majorEastAsia" w:eastAsiaTheme="majorEastAsia"/>
          <w:sz w:val="24"/>
          <w:szCs w:val="24"/>
        </w:rPr>
        <w:softHyphen/>
      </w:r>
      <w:r>
        <w:rPr>
          <w:rFonts w:hint="eastAsia" w:cs="仿宋" w:asciiTheme="majorEastAsia" w:hAnsiTheme="majorEastAsia" w:eastAsiaTheme="majorEastAsia"/>
          <w:sz w:val="24"/>
          <w:szCs w:val="24"/>
        </w:rPr>
        <w:t>本项目招标文件、乙方投标文件要求按期完成本项目工作。</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 负责组织项目的实施，保证工作质量满足相关验收相关标准。</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 乙方不得擅自部分或全部转让其应履行的合同义务。</w:t>
      </w:r>
    </w:p>
    <w:p>
      <w:pPr>
        <w:snapToGrid w:val="0"/>
        <w:spacing w:line="560" w:lineRule="exact"/>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4. </w:t>
      </w:r>
      <w:r>
        <w:rPr>
          <w:rFonts w:hint="eastAsia" w:cs="仿宋" w:asciiTheme="majorEastAsia" w:hAnsiTheme="majorEastAsia" w:eastAsiaTheme="majorEastAsia"/>
          <w:sz w:val="24"/>
          <w:szCs w:val="24"/>
          <w:u w:val="single"/>
        </w:rPr>
        <w:t xml:space="preserve">                                              </w:t>
      </w:r>
    </w:p>
    <w:p>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 违约责任</w:t>
      </w:r>
      <w:bookmarkEnd w:id="53"/>
    </w:p>
    <w:p>
      <w:pPr>
        <w:spacing w:line="560" w:lineRule="exact"/>
        <w:ind w:firstLine="480" w:firstLineChars="200"/>
        <w:rPr>
          <w:rFonts w:ascii="宋体" w:hAnsi="宋体" w:eastAsia="宋体"/>
          <w:sz w:val="24"/>
          <w:szCs w:val="24"/>
        </w:rPr>
      </w:pPr>
      <w:r>
        <w:rPr>
          <w:rFonts w:hint="eastAsia" w:ascii="宋体" w:hAnsi="宋体" w:eastAsia="宋体"/>
          <w:sz w:val="24"/>
          <w:szCs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sz w:val="24"/>
          <w:szCs w:val="24"/>
          <w:u w:val="single"/>
        </w:rPr>
        <w:t xml:space="preserve">    </w:t>
      </w:r>
      <w:r>
        <w:rPr>
          <w:rFonts w:hint="eastAsia" w:ascii="宋体" w:hAnsi="宋体" w:eastAsia="宋体"/>
          <w:sz w:val="24"/>
          <w:szCs w:val="24"/>
        </w:rPr>
        <w:t>%计算，最高限额为本合同总价的</w:t>
      </w:r>
      <w:r>
        <w:rPr>
          <w:rFonts w:hint="eastAsia" w:ascii="宋体" w:hAnsi="宋体" w:eastAsia="宋体"/>
          <w:sz w:val="24"/>
          <w:szCs w:val="24"/>
          <w:u w:val="single"/>
        </w:rPr>
        <w:t xml:space="preserve">     </w:t>
      </w:r>
      <w:r>
        <w:rPr>
          <w:rFonts w:hint="eastAsia" w:ascii="宋体" w:hAnsi="宋体" w:eastAsia="宋体"/>
          <w:sz w:val="24"/>
          <w:szCs w:val="24"/>
        </w:rPr>
        <w:t>%；迟延履行的违约金计算数额达到前述最高限额之日起，甲方有权在要求乙方支付违约金的同时，书面通知乙方解除本合同；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2.除不可抗力外，如果甲方没有按照本合同约定的付款方式付款，那么乙方可要求甲方支付违约金，违约金按每迟延付款一日的应付而未付款的</w:t>
      </w:r>
      <w:r>
        <w:rPr>
          <w:rFonts w:hint="eastAsia" w:ascii="宋体" w:hAnsi="宋体" w:eastAsia="宋体"/>
          <w:sz w:val="24"/>
          <w:szCs w:val="24"/>
          <w:u w:val="single"/>
        </w:rPr>
        <w:t xml:space="preserve">    </w:t>
      </w:r>
      <w:r>
        <w:rPr>
          <w:rFonts w:hint="eastAsia" w:ascii="宋体" w:hAnsi="宋体" w:eastAsia="宋体"/>
          <w:sz w:val="24"/>
          <w:szCs w:val="24"/>
        </w:rPr>
        <w:t>%计算，最高限额为本合同总价的</w:t>
      </w:r>
      <w:r>
        <w:rPr>
          <w:rFonts w:hint="eastAsia" w:ascii="宋体" w:hAnsi="宋体" w:eastAsia="宋体"/>
          <w:sz w:val="24"/>
          <w:szCs w:val="24"/>
          <w:u w:val="single"/>
        </w:rPr>
        <w:t xml:space="preserve">     </w:t>
      </w:r>
      <w:r>
        <w:rPr>
          <w:rFonts w:hint="eastAsia" w:ascii="宋体" w:hAnsi="宋体" w:eastAsia="宋体"/>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Theme="majorEastAsia" w:hAnsiTheme="majorEastAsia" w:eastAsiaTheme="majorEastAsia"/>
          <w:b/>
          <w:bCs/>
          <w:sz w:val="24"/>
          <w:szCs w:val="24"/>
        </w:rPr>
      </w:pPr>
      <w:bookmarkStart w:id="54" w:name="_Toc60748171"/>
      <w:r>
        <w:rPr>
          <w:rFonts w:hint="eastAsia" w:asciiTheme="majorEastAsia" w:hAnsiTheme="majorEastAsia" w:eastAsiaTheme="majorEastAsia"/>
          <w:b/>
          <w:bCs/>
          <w:sz w:val="24"/>
          <w:szCs w:val="24"/>
        </w:rPr>
        <w:t>十一、 合同争议的解决</w:t>
      </w:r>
      <w:bookmarkEnd w:id="54"/>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本合同履行过程中发生的任何争议，双方当事人均可通过和解或者调解解决；不愿和解、调解或者和解、调解不成的，可以选择下列第</w:t>
      </w:r>
      <w:r>
        <w:rPr>
          <w:rFonts w:hint="eastAsia" w:ascii="宋体" w:hAnsi="宋体" w:eastAsia="宋体"/>
          <w:sz w:val="24"/>
          <w:szCs w:val="24"/>
          <w:u w:val="single"/>
        </w:rPr>
        <w:t xml:space="preserve">    </w:t>
      </w:r>
      <w:r>
        <w:rPr>
          <w:rFonts w:hint="eastAsia" w:ascii="宋体" w:hAnsi="宋体" w:eastAsia="宋体"/>
          <w:sz w:val="24"/>
          <w:szCs w:val="24"/>
        </w:rPr>
        <w:t>种方式解决：</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1.将争议提交</w:t>
      </w:r>
      <w:r>
        <w:rPr>
          <w:rFonts w:hint="eastAsia" w:ascii="宋体" w:hAnsi="宋体" w:eastAsia="宋体"/>
          <w:sz w:val="24"/>
          <w:szCs w:val="24"/>
          <w:u w:val="single"/>
        </w:rPr>
        <w:t xml:space="preserve">              </w:t>
      </w:r>
      <w:r>
        <w:rPr>
          <w:rFonts w:hint="eastAsia" w:ascii="宋体" w:hAnsi="宋体" w:eastAsia="宋体"/>
          <w:sz w:val="24"/>
          <w:szCs w:val="24"/>
        </w:rPr>
        <w:t>仲裁委员会依申请仲裁时其现行有效的仲裁规则裁决；</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2.向</w:t>
      </w:r>
      <w:r>
        <w:rPr>
          <w:rFonts w:hint="eastAsia" w:ascii="宋体" w:hAnsi="宋体" w:eastAsia="宋体"/>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sz w:val="24"/>
          <w:szCs w:val="24"/>
        </w:rPr>
        <w:t>人民法院起诉。</w:t>
      </w:r>
    </w:p>
    <w:p>
      <w:pPr>
        <w:spacing w:line="360" w:lineRule="auto"/>
        <w:ind w:firstLine="482" w:firstLineChars="200"/>
        <w:rPr>
          <w:rFonts w:asciiTheme="majorEastAsia" w:hAnsiTheme="majorEastAsia" w:eastAsiaTheme="majorEastAsia"/>
          <w:b/>
          <w:bCs/>
          <w:sz w:val="24"/>
          <w:szCs w:val="24"/>
        </w:rPr>
      </w:pPr>
      <w:bookmarkStart w:id="55" w:name="_Toc60748172"/>
      <w:r>
        <w:rPr>
          <w:rFonts w:hint="eastAsia" w:asciiTheme="majorEastAsia" w:hAnsiTheme="majorEastAsia" w:eastAsiaTheme="majorEastAsia"/>
          <w:b/>
          <w:bCs/>
          <w:sz w:val="24"/>
          <w:szCs w:val="24"/>
        </w:rPr>
        <w:t>十二、合同生效</w:t>
      </w:r>
      <w:bookmarkEnd w:id="55"/>
    </w:p>
    <w:p>
      <w:pPr>
        <w:spacing w:line="560" w:lineRule="exact"/>
        <w:ind w:firstLine="480" w:firstLineChars="200"/>
        <w:rPr>
          <w:rFonts w:ascii="宋体" w:hAnsi="宋体" w:eastAsia="宋体"/>
          <w:b/>
          <w:bCs/>
          <w:sz w:val="24"/>
          <w:szCs w:val="24"/>
        </w:rPr>
      </w:pPr>
      <w:r>
        <w:rPr>
          <w:rFonts w:hint="eastAsia" w:ascii="宋体" w:hAnsi="宋体" w:eastAsia="宋体"/>
          <w:sz w:val="24"/>
          <w:szCs w:val="24"/>
        </w:rPr>
        <w:t>本合同自双方当事人盖章或者签字时生效。</w:t>
      </w:r>
    </w:p>
    <w:p>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十三、其他</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本合同一式叁份，具有同等法律效力，甲方、乙方、代理采购机构各执壹份。</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 xml:space="preserve">本合同执行期间如遇不可抗力，致使合同无法履行时，双方应按有关法律规定及时协商处理。 </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本合同应按照中华人民共和国的现行法律进行解释，条款中如与国家规定、条例有抵触的，则该条款无效并按国家规定和条例执行，合同的其它条款继续有效。</w:t>
      </w:r>
    </w:p>
    <w:p>
      <w:pPr>
        <w:autoSpaceDE w:val="0"/>
        <w:autoSpaceDN w:val="0"/>
        <w:adjustRightInd w:val="0"/>
        <w:spacing w:line="560" w:lineRule="exact"/>
        <w:rPr>
          <w:rFonts w:ascii="宋体" w:hAnsi="宋体" w:eastAsia="宋体"/>
          <w:sz w:val="24"/>
          <w:szCs w:val="24"/>
        </w:rPr>
      </w:pP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甲方（采购人）（盖章）：                          乙方（中标供应商）（盖章）：</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法定代表人：                                    法定代表人：</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代理人：                                        代理人：</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电  话：                                        电  话：</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开户银行：                                      开户银行：</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账  号：                                        账  号：</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单位地址：                                      单位地址：</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日  期：                                        日  期：</w:t>
      </w:r>
    </w:p>
    <w:p>
      <w:pPr>
        <w:widowControl/>
        <w:spacing w:line="480" w:lineRule="auto"/>
        <w:jc w:val="left"/>
        <w:rPr>
          <w:rFonts w:asciiTheme="minorEastAsia" w:hAnsiTheme="minorEastAsia"/>
          <w:sz w:val="24"/>
          <w:szCs w:val="24"/>
        </w:rPr>
      </w:pP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合同备案</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代理机构（盖章）：</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日期：</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地址：</w:t>
      </w:r>
    </w:p>
    <w:p>
      <w:pPr>
        <w:widowControl/>
        <w:spacing w:line="480" w:lineRule="auto"/>
        <w:jc w:val="left"/>
        <w:rPr>
          <w:rFonts w:asciiTheme="minorEastAsia" w:hAnsiTheme="minorEastAsia"/>
          <w:sz w:val="24"/>
          <w:szCs w:val="24"/>
        </w:rPr>
      </w:pPr>
      <w:r>
        <w:rPr>
          <w:rFonts w:hint="eastAsia" w:asciiTheme="minorEastAsia" w:hAnsiTheme="minorEastAsia"/>
          <w:sz w:val="24"/>
          <w:szCs w:val="24"/>
        </w:rPr>
        <w:t>电话：</w:t>
      </w:r>
    </w:p>
    <w:p>
      <w:pPr>
        <w:widowControl/>
        <w:spacing w:line="360" w:lineRule="auto"/>
        <w:jc w:val="left"/>
        <w:rPr>
          <w:rFonts w:cs="Times New Roman" w:asciiTheme="minorEastAsia" w:hAnsiTheme="minorEastAsia"/>
          <w:bCs/>
          <w:kern w:val="0"/>
          <w:sz w:val="24"/>
          <w:szCs w:val="24"/>
        </w:rPr>
      </w:pPr>
      <w:r>
        <w:rPr>
          <w:rFonts w:asciiTheme="minorEastAsia" w:hAnsiTheme="minorEastAsia"/>
          <w:sz w:val="24"/>
          <w:szCs w:val="24"/>
        </w:rPr>
        <w:t> </w:t>
      </w:r>
    </w:p>
    <w:p>
      <w:pPr>
        <w:pStyle w:val="126"/>
        <w:spacing w:line="560" w:lineRule="exact"/>
        <w:ind w:firstLine="200"/>
        <w:jc w:val="center"/>
        <w:rPr>
          <w:rFonts w:hAnsi="宋体" w:eastAsia="宋体"/>
          <w:b/>
          <w:bCs/>
          <w:szCs w:val="24"/>
        </w:rPr>
      </w:pPr>
    </w:p>
    <w:p>
      <w:pPr>
        <w:rPr>
          <w:rFonts w:hAnsi="宋体" w:eastAsia="宋体"/>
          <w:b/>
          <w:bCs/>
          <w:szCs w:val="24"/>
        </w:rPr>
      </w:pPr>
      <w:r>
        <w:rPr>
          <w:rFonts w:hint="eastAsia" w:hAnsi="宋体" w:eastAsia="宋体"/>
          <w:b/>
          <w:bCs/>
          <w:szCs w:val="24"/>
        </w:rPr>
        <w:br w:type="page"/>
      </w:r>
    </w:p>
    <w:p>
      <w:pPr>
        <w:pStyle w:val="121"/>
      </w:pPr>
      <w:bookmarkStart w:id="56" w:name="_Toc68089995"/>
      <w:r>
        <w:rPr>
          <w:rFonts w:hint="eastAsia"/>
        </w:rPr>
        <w:t>第二部分 合同一般条款</w:t>
      </w:r>
      <w:bookmarkEnd w:id="56"/>
    </w:p>
    <w:p>
      <w:pPr>
        <w:spacing w:line="360" w:lineRule="auto"/>
        <w:ind w:firstLine="482" w:firstLineChars="200"/>
        <w:rPr>
          <w:rFonts w:asciiTheme="majorEastAsia" w:hAnsiTheme="majorEastAsia" w:eastAsiaTheme="majorEastAsia"/>
          <w:b/>
          <w:bCs/>
          <w:sz w:val="24"/>
          <w:szCs w:val="24"/>
        </w:rPr>
      </w:pPr>
      <w:bookmarkStart w:id="57" w:name="_Toc60748173"/>
      <w:r>
        <w:rPr>
          <w:rFonts w:hint="eastAsia" w:asciiTheme="majorEastAsia" w:hAnsiTheme="majorEastAsia" w:eastAsiaTheme="majorEastAsia"/>
          <w:b/>
          <w:bCs/>
          <w:sz w:val="24"/>
          <w:szCs w:val="24"/>
        </w:rPr>
        <w:t>一、定义</w:t>
      </w:r>
      <w:bookmarkEnd w:id="57"/>
    </w:p>
    <w:p>
      <w:pPr>
        <w:spacing w:line="560" w:lineRule="exact"/>
        <w:ind w:firstLine="480" w:firstLineChars="200"/>
        <w:rPr>
          <w:rFonts w:ascii="宋体" w:hAnsi="宋体" w:eastAsia="宋体"/>
          <w:sz w:val="24"/>
          <w:szCs w:val="24"/>
        </w:rPr>
      </w:pPr>
      <w:r>
        <w:rPr>
          <w:rFonts w:hint="eastAsia" w:ascii="宋体" w:hAnsi="宋体" w:eastAsia="宋体"/>
          <w:sz w:val="24"/>
          <w:szCs w:val="24"/>
        </w:rPr>
        <w:t>本合同中的下列词语应按以下内容进行解释：</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1.“合同”系指采购人和中标供应商签订的载明双方当事人所达成的协议，并包括所有的附件、附录和构成合同的其他文件。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2.“合同价”系指根据合同约定，中标供应商在完全履行合同义务后，采购人应支付给中标供应商的价格。</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4.“甲方”系指与中标供应商签署合同的采购人；采购人委托采购代理机构代表其与乙方签订合同的，采购人的授权委托书作为合同附件。</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6.“现场”系指合同约定提供服务的地点。</w:t>
      </w:r>
    </w:p>
    <w:p>
      <w:pPr>
        <w:spacing w:line="360" w:lineRule="auto"/>
        <w:ind w:firstLine="482" w:firstLineChars="200"/>
        <w:rPr>
          <w:rFonts w:asciiTheme="majorEastAsia" w:hAnsiTheme="majorEastAsia" w:eastAsiaTheme="majorEastAsia"/>
          <w:b/>
          <w:bCs/>
          <w:sz w:val="24"/>
          <w:szCs w:val="24"/>
        </w:rPr>
      </w:pPr>
      <w:bookmarkStart w:id="58" w:name="_Toc60748174"/>
      <w:r>
        <w:rPr>
          <w:rFonts w:hint="eastAsia" w:asciiTheme="majorEastAsia" w:hAnsiTheme="majorEastAsia" w:eastAsiaTheme="majorEastAsia"/>
          <w:b/>
          <w:bCs/>
          <w:sz w:val="24"/>
          <w:szCs w:val="24"/>
        </w:rPr>
        <w:t>二、 技术规范</w:t>
      </w:r>
      <w:bookmarkEnd w:id="58"/>
    </w:p>
    <w:p>
      <w:pPr>
        <w:spacing w:line="560" w:lineRule="exact"/>
        <w:ind w:firstLine="480" w:firstLineChars="200"/>
        <w:rPr>
          <w:rFonts w:ascii="宋体" w:hAnsi="宋体" w:eastAsia="宋体"/>
          <w:sz w:val="24"/>
          <w:szCs w:val="24"/>
        </w:rPr>
      </w:pPr>
      <w:r>
        <w:rPr>
          <w:rFonts w:hint="eastAsia" w:ascii="宋体" w:hAnsi="宋体" w:eastAsia="宋体"/>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rPr>
          <w:rFonts w:asciiTheme="majorEastAsia" w:hAnsiTheme="majorEastAsia" w:eastAsiaTheme="majorEastAsia"/>
          <w:b/>
          <w:bCs/>
          <w:sz w:val="24"/>
          <w:szCs w:val="24"/>
        </w:rPr>
      </w:pPr>
      <w:bookmarkStart w:id="59" w:name="_Toc60748175"/>
      <w:r>
        <w:rPr>
          <w:rFonts w:hint="eastAsia" w:asciiTheme="majorEastAsia" w:hAnsiTheme="majorEastAsia" w:eastAsiaTheme="majorEastAsia"/>
          <w:b/>
          <w:bCs/>
          <w:sz w:val="24"/>
          <w:szCs w:val="24"/>
        </w:rPr>
        <w:t>三、 知识产权</w:t>
      </w:r>
      <w:bookmarkEnd w:id="59"/>
    </w:p>
    <w:p>
      <w:pPr>
        <w:spacing w:line="560" w:lineRule="exact"/>
        <w:ind w:firstLine="480" w:firstLineChars="200"/>
        <w:rPr>
          <w:rFonts w:ascii="宋体" w:hAnsi="宋体" w:eastAsia="宋体"/>
          <w:sz w:val="24"/>
          <w:szCs w:val="24"/>
        </w:rPr>
      </w:pPr>
      <w:r>
        <w:rPr>
          <w:rFonts w:hint="eastAsia" w:ascii="宋体" w:hAnsi="宋体" w:eastAsia="宋体"/>
          <w:sz w:val="24"/>
          <w:szCs w:val="24"/>
        </w:rPr>
        <w:t>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2.合同涉及技术成果的归属和收益的分成办法的，详见</w:t>
      </w:r>
      <w:r>
        <w:rPr>
          <w:rFonts w:hint="eastAsia" w:ascii="宋体" w:hAnsi="宋体" w:eastAsia="宋体"/>
          <w:b/>
          <w:bCs/>
          <w:iCs/>
          <w:sz w:val="24"/>
          <w:szCs w:val="24"/>
          <w:u w:val="single"/>
        </w:rPr>
        <w:t>合同专用条款</w:t>
      </w:r>
      <w:r>
        <w:rPr>
          <w:rFonts w:hint="eastAsia" w:ascii="宋体" w:hAnsi="宋体" w:eastAsia="宋体"/>
          <w:sz w:val="24"/>
          <w:szCs w:val="24"/>
        </w:rPr>
        <w:t>。</w:t>
      </w:r>
    </w:p>
    <w:p>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四、 履约检查和问题反馈</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2.合同履行期间，甲方有权将履行过程中出现的问题反馈给乙方，双方当事人应以书面形式约定需要完善和改进的内容。</w:t>
      </w:r>
    </w:p>
    <w:p>
      <w:pPr>
        <w:spacing w:line="360" w:lineRule="auto"/>
        <w:ind w:firstLine="482" w:firstLineChars="200"/>
        <w:rPr>
          <w:rFonts w:asciiTheme="majorEastAsia" w:hAnsiTheme="majorEastAsia" w:eastAsiaTheme="majorEastAsia"/>
          <w:b/>
          <w:bCs/>
          <w:sz w:val="24"/>
          <w:szCs w:val="24"/>
        </w:rPr>
      </w:pPr>
      <w:bookmarkStart w:id="60" w:name="_Toc60748176"/>
      <w:r>
        <w:rPr>
          <w:rFonts w:hint="eastAsia" w:asciiTheme="majorEastAsia" w:hAnsiTheme="majorEastAsia" w:eastAsiaTheme="majorEastAsia"/>
          <w:b/>
          <w:bCs/>
          <w:sz w:val="24"/>
          <w:szCs w:val="24"/>
        </w:rPr>
        <w:t>五、 结算方式和付款条件</w:t>
      </w:r>
      <w:bookmarkEnd w:id="60"/>
    </w:p>
    <w:p>
      <w:pPr>
        <w:spacing w:line="560" w:lineRule="exact"/>
        <w:ind w:firstLine="480" w:firstLineChars="200"/>
        <w:rPr>
          <w:rFonts w:ascii="宋体" w:hAnsi="宋体" w:eastAsia="宋体"/>
          <w:sz w:val="24"/>
          <w:szCs w:val="24"/>
        </w:rPr>
      </w:pPr>
      <w:r>
        <w:rPr>
          <w:rFonts w:hint="eastAsia" w:ascii="宋体" w:hAnsi="宋体" w:eastAsia="宋体"/>
          <w:sz w:val="24"/>
          <w:szCs w:val="24"/>
        </w:rPr>
        <w:t>详见</w:t>
      </w:r>
      <w:r>
        <w:rPr>
          <w:rFonts w:hint="eastAsia" w:ascii="宋体" w:hAnsi="宋体" w:eastAsia="宋体"/>
          <w:b/>
          <w:bCs/>
          <w:iCs/>
          <w:sz w:val="24"/>
          <w:szCs w:val="24"/>
          <w:u w:val="single"/>
        </w:rPr>
        <w:t>合同专用条款</w:t>
      </w:r>
      <w:r>
        <w:rPr>
          <w:rFonts w:hint="eastAsia" w:ascii="宋体" w:hAnsi="宋体" w:eastAsia="宋体"/>
          <w:sz w:val="24"/>
          <w:szCs w:val="24"/>
        </w:rPr>
        <w:t>。</w:t>
      </w:r>
    </w:p>
    <w:p>
      <w:pPr>
        <w:spacing w:line="360" w:lineRule="auto"/>
        <w:ind w:firstLine="482" w:firstLineChars="200"/>
        <w:rPr>
          <w:rFonts w:asciiTheme="majorEastAsia" w:hAnsiTheme="majorEastAsia" w:eastAsiaTheme="majorEastAsia"/>
          <w:b/>
          <w:bCs/>
          <w:sz w:val="24"/>
          <w:szCs w:val="24"/>
        </w:rPr>
      </w:pPr>
      <w:bookmarkStart w:id="61" w:name="_Toc60748177"/>
      <w:r>
        <w:rPr>
          <w:rFonts w:hint="eastAsia" w:asciiTheme="majorEastAsia" w:hAnsiTheme="majorEastAsia" w:eastAsiaTheme="majorEastAsia"/>
          <w:b/>
          <w:bCs/>
          <w:sz w:val="24"/>
          <w:szCs w:val="24"/>
        </w:rPr>
        <w:t>六、技术资料和保密义务</w:t>
      </w:r>
      <w:bookmarkEnd w:id="61"/>
    </w:p>
    <w:p>
      <w:pPr>
        <w:spacing w:line="560" w:lineRule="exact"/>
        <w:ind w:firstLine="480" w:firstLineChars="200"/>
        <w:rPr>
          <w:rFonts w:ascii="宋体" w:hAnsi="宋体" w:eastAsia="宋体"/>
          <w:sz w:val="24"/>
          <w:szCs w:val="24"/>
        </w:rPr>
      </w:pPr>
      <w:r>
        <w:rPr>
          <w:rFonts w:hint="eastAsia" w:ascii="宋体" w:hAnsi="宋体" w:eastAsia="宋体"/>
          <w:sz w:val="24"/>
          <w:szCs w:val="24"/>
        </w:rPr>
        <w:t>1.乙方有权依据合同约定和项目需要，向甲方了解有关情况，调阅有关资料等，甲方应予积极配合；</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2.乙方有义务妥善保管和保护由甲方提供的前款信息和资料等；</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rPr>
          <w:rFonts w:asciiTheme="majorEastAsia" w:hAnsiTheme="majorEastAsia" w:eastAsiaTheme="majorEastAsia"/>
          <w:b/>
          <w:bCs/>
          <w:sz w:val="24"/>
          <w:szCs w:val="24"/>
        </w:rPr>
      </w:pPr>
      <w:bookmarkStart w:id="62" w:name="_Toc60748178"/>
      <w:r>
        <w:rPr>
          <w:rFonts w:hint="eastAsia" w:asciiTheme="majorEastAsia" w:hAnsiTheme="majorEastAsia" w:eastAsiaTheme="majorEastAsia"/>
          <w:b/>
          <w:bCs/>
          <w:sz w:val="24"/>
          <w:szCs w:val="24"/>
        </w:rPr>
        <w:t>七、质量保证</w:t>
      </w:r>
      <w:bookmarkEnd w:id="62"/>
    </w:p>
    <w:p>
      <w:pPr>
        <w:spacing w:line="560" w:lineRule="exact"/>
        <w:ind w:firstLine="480" w:firstLineChars="200"/>
        <w:rPr>
          <w:rFonts w:ascii="宋体" w:hAnsi="宋体" w:eastAsia="宋体"/>
          <w:sz w:val="24"/>
          <w:szCs w:val="24"/>
        </w:rPr>
      </w:pPr>
      <w:r>
        <w:rPr>
          <w:rFonts w:hint="eastAsia" w:ascii="宋体" w:hAnsi="宋体" w:eastAsia="宋体"/>
          <w:sz w:val="24"/>
          <w:szCs w:val="24"/>
        </w:rPr>
        <w:t>1.乙方应建立和完善履行合同的内部质量保证体系，并提供相关内部规章制度给甲方，以便甲方进行监督检查；</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2.乙方应保证履行合同的人员数量和素质、软件和硬件设备的配置、场地、环境和设施等满足全面履行合同的要求，并应接受甲方的监督检查。</w:t>
      </w:r>
    </w:p>
    <w:p>
      <w:pPr>
        <w:spacing w:line="360" w:lineRule="auto"/>
        <w:ind w:firstLine="482" w:firstLineChars="200"/>
        <w:rPr>
          <w:rFonts w:asciiTheme="majorEastAsia" w:hAnsiTheme="majorEastAsia" w:eastAsiaTheme="majorEastAsia"/>
          <w:b/>
          <w:bCs/>
          <w:sz w:val="24"/>
          <w:szCs w:val="24"/>
        </w:rPr>
      </w:pPr>
      <w:bookmarkStart w:id="63" w:name="_Toc60748179"/>
      <w:r>
        <w:rPr>
          <w:rFonts w:hint="eastAsia" w:asciiTheme="majorEastAsia" w:hAnsiTheme="majorEastAsia" w:eastAsiaTheme="majorEastAsia"/>
          <w:b/>
          <w:bCs/>
          <w:sz w:val="24"/>
          <w:szCs w:val="24"/>
        </w:rPr>
        <w:t>八、延迟履行</w:t>
      </w:r>
      <w:bookmarkEnd w:id="63"/>
    </w:p>
    <w:p>
      <w:pPr>
        <w:spacing w:line="560" w:lineRule="exact"/>
        <w:ind w:firstLine="480" w:firstLineChars="200"/>
        <w:rPr>
          <w:rFonts w:ascii="宋体" w:hAnsi="宋体" w:eastAsia="宋体"/>
          <w:sz w:val="24"/>
          <w:szCs w:val="24"/>
        </w:rPr>
      </w:pPr>
      <w:r>
        <w:rPr>
          <w:rFonts w:hint="eastAsia" w:ascii="宋体" w:hAnsi="宋体" w:eastAsia="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rPr>
          <w:rFonts w:asciiTheme="majorEastAsia" w:hAnsiTheme="majorEastAsia" w:eastAsiaTheme="majorEastAsia"/>
          <w:b/>
          <w:bCs/>
          <w:sz w:val="24"/>
          <w:szCs w:val="24"/>
        </w:rPr>
      </w:pPr>
      <w:bookmarkStart w:id="64" w:name="_Toc60748180"/>
      <w:r>
        <w:rPr>
          <w:rFonts w:hint="eastAsia" w:asciiTheme="majorEastAsia" w:hAnsiTheme="majorEastAsia" w:eastAsiaTheme="majorEastAsia"/>
          <w:b/>
          <w:bCs/>
          <w:sz w:val="24"/>
          <w:szCs w:val="24"/>
        </w:rPr>
        <w:t>九、合同变更</w:t>
      </w:r>
      <w:bookmarkEnd w:id="64"/>
    </w:p>
    <w:p>
      <w:pPr>
        <w:spacing w:line="560" w:lineRule="exact"/>
        <w:ind w:firstLine="480" w:firstLineChars="200"/>
        <w:rPr>
          <w:rFonts w:ascii="宋体" w:hAnsi="宋体" w:eastAsia="宋体"/>
          <w:sz w:val="24"/>
          <w:szCs w:val="24"/>
        </w:rPr>
      </w:pPr>
      <w:r>
        <w:rPr>
          <w:rFonts w:hint="eastAsia" w:ascii="宋体" w:hAnsi="宋体" w:eastAsia="宋体"/>
          <w:sz w:val="24"/>
          <w:szCs w:val="24"/>
        </w:rPr>
        <w:t>1.双方当事人协商一致，可以签订书面补充合同的形式变更合同，但不得违背采购文件确定的事项，且如果系追加与合同标的相同的服务的，那么所有补充合同的采购金额不得超过原合同价的10%；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rPr>
          <w:rFonts w:asciiTheme="majorEastAsia" w:hAnsiTheme="majorEastAsia" w:eastAsiaTheme="majorEastAsia"/>
          <w:b/>
          <w:bCs/>
          <w:sz w:val="24"/>
          <w:szCs w:val="24"/>
        </w:rPr>
      </w:pPr>
      <w:bookmarkStart w:id="65" w:name="_Toc60748181"/>
      <w:r>
        <w:rPr>
          <w:rFonts w:hint="eastAsia" w:asciiTheme="majorEastAsia" w:hAnsiTheme="majorEastAsia" w:eastAsiaTheme="majorEastAsia"/>
          <w:b/>
          <w:bCs/>
          <w:sz w:val="24"/>
          <w:szCs w:val="24"/>
        </w:rPr>
        <w:t>十、合同转让和分包</w:t>
      </w:r>
      <w:bookmarkEnd w:id="65"/>
    </w:p>
    <w:p>
      <w:pPr>
        <w:spacing w:line="560" w:lineRule="exact"/>
        <w:ind w:firstLine="480" w:firstLineChars="200"/>
        <w:rPr>
          <w:rFonts w:ascii="宋体" w:hAnsi="宋体" w:eastAsia="宋体"/>
          <w:sz w:val="24"/>
          <w:szCs w:val="24"/>
        </w:rPr>
      </w:pPr>
      <w:r>
        <w:rPr>
          <w:rFonts w:hint="eastAsia" w:ascii="宋体" w:hAnsi="宋体" w:eastAsia="宋体"/>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rPr>
          <w:rFonts w:asciiTheme="majorEastAsia" w:hAnsiTheme="majorEastAsia" w:eastAsiaTheme="majorEastAsia"/>
          <w:b/>
          <w:bCs/>
          <w:sz w:val="24"/>
          <w:szCs w:val="24"/>
        </w:rPr>
      </w:pPr>
      <w:bookmarkStart w:id="66" w:name="_Toc60748182"/>
      <w:r>
        <w:rPr>
          <w:rFonts w:hint="eastAsia" w:asciiTheme="majorEastAsia" w:hAnsiTheme="majorEastAsia" w:eastAsiaTheme="majorEastAsia"/>
          <w:b/>
          <w:bCs/>
          <w:sz w:val="24"/>
          <w:szCs w:val="24"/>
        </w:rPr>
        <w:t>十一、不可抗力</w:t>
      </w:r>
      <w:bookmarkEnd w:id="66"/>
    </w:p>
    <w:p>
      <w:pPr>
        <w:spacing w:line="560" w:lineRule="exact"/>
        <w:ind w:firstLine="480" w:firstLineChars="200"/>
        <w:rPr>
          <w:rFonts w:ascii="宋体" w:hAnsi="宋体" w:eastAsia="宋体"/>
          <w:sz w:val="24"/>
          <w:szCs w:val="24"/>
        </w:rPr>
      </w:pPr>
      <w:r>
        <w:rPr>
          <w:rFonts w:hint="eastAsia" w:ascii="宋体" w:hAnsi="宋体" w:eastAsia="宋体"/>
          <w:sz w:val="24"/>
          <w:szCs w:val="24"/>
        </w:rPr>
        <w:t>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2.因不可抗力致使不能实现合同目的的，当事人可以解除合同；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3.因不可抗力致使合同有变更必要的，双方当事人应在</w:t>
      </w:r>
      <w:r>
        <w:rPr>
          <w:rFonts w:hint="eastAsia" w:ascii="宋体" w:hAnsi="宋体" w:eastAsia="宋体"/>
          <w:b/>
          <w:bCs/>
          <w:iCs/>
          <w:sz w:val="24"/>
          <w:szCs w:val="24"/>
          <w:u w:val="single"/>
        </w:rPr>
        <w:t>合同专用条款</w:t>
      </w:r>
      <w:r>
        <w:rPr>
          <w:rFonts w:hint="eastAsia" w:ascii="宋体" w:hAnsi="宋体" w:eastAsia="宋体"/>
          <w:sz w:val="24"/>
          <w:szCs w:val="24"/>
        </w:rPr>
        <w:t>约定时间内以书面形式变更合同；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4.受不可抗力影响的一方在不可抗力发生后，应在</w:t>
      </w:r>
      <w:r>
        <w:rPr>
          <w:rFonts w:hint="eastAsia" w:ascii="宋体" w:hAnsi="宋体" w:eastAsia="宋体"/>
          <w:b/>
          <w:bCs/>
          <w:iCs/>
          <w:sz w:val="24"/>
          <w:szCs w:val="24"/>
          <w:u w:val="single"/>
        </w:rPr>
        <w:t>合同专用条款</w:t>
      </w:r>
      <w:r>
        <w:rPr>
          <w:rFonts w:hint="eastAsia" w:ascii="宋体" w:hAnsi="宋体" w:eastAsia="宋体"/>
          <w:sz w:val="24"/>
          <w:szCs w:val="24"/>
        </w:rPr>
        <w:t>约定时间内以书面形式通知对方当事人，并在</w:t>
      </w:r>
      <w:r>
        <w:rPr>
          <w:rFonts w:hint="eastAsia" w:ascii="宋体" w:hAnsi="宋体" w:eastAsia="宋体"/>
          <w:b/>
          <w:bCs/>
          <w:iCs/>
          <w:sz w:val="24"/>
          <w:szCs w:val="24"/>
          <w:u w:val="single"/>
        </w:rPr>
        <w:t>合同专用条款</w:t>
      </w:r>
      <w:r>
        <w:rPr>
          <w:rFonts w:hint="eastAsia" w:ascii="宋体" w:hAnsi="宋体" w:eastAsia="宋体"/>
          <w:sz w:val="24"/>
          <w:szCs w:val="24"/>
        </w:rPr>
        <w:t>约定时间内，将有关部门出具的证明文件送达对方当事人。</w:t>
      </w:r>
    </w:p>
    <w:p>
      <w:pPr>
        <w:spacing w:line="360" w:lineRule="auto"/>
        <w:ind w:firstLine="482" w:firstLineChars="200"/>
        <w:rPr>
          <w:rFonts w:asciiTheme="majorEastAsia" w:hAnsiTheme="majorEastAsia" w:eastAsiaTheme="majorEastAsia"/>
          <w:b/>
          <w:bCs/>
          <w:sz w:val="24"/>
          <w:szCs w:val="24"/>
        </w:rPr>
      </w:pPr>
      <w:bookmarkStart w:id="67" w:name="_Toc60748183"/>
      <w:r>
        <w:rPr>
          <w:rFonts w:hint="eastAsia" w:asciiTheme="majorEastAsia" w:hAnsiTheme="majorEastAsia" w:eastAsiaTheme="majorEastAsia"/>
          <w:b/>
          <w:bCs/>
          <w:sz w:val="24"/>
          <w:szCs w:val="24"/>
        </w:rPr>
        <w:t>十二、 税费</w:t>
      </w:r>
      <w:bookmarkEnd w:id="67"/>
    </w:p>
    <w:p>
      <w:pPr>
        <w:spacing w:line="560" w:lineRule="exact"/>
        <w:ind w:firstLine="480" w:firstLineChars="200"/>
        <w:rPr>
          <w:rFonts w:ascii="宋体" w:hAnsi="宋体" w:eastAsia="宋体"/>
          <w:sz w:val="24"/>
          <w:szCs w:val="24"/>
        </w:rPr>
      </w:pPr>
      <w:r>
        <w:rPr>
          <w:rFonts w:hint="eastAsia" w:ascii="宋体" w:hAnsi="宋体" w:eastAsia="宋体"/>
          <w:sz w:val="24"/>
          <w:szCs w:val="24"/>
        </w:rPr>
        <w:t>与合同有关的一切税费，均按照中华人民共和国法律的相关规定缴纳。</w:t>
      </w:r>
    </w:p>
    <w:p>
      <w:pPr>
        <w:spacing w:line="360" w:lineRule="auto"/>
        <w:ind w:firstLine="482" w:firstLineChars="200"/>
        <w:rPr>
          <w:rFonts w:asciiTheme="majorEastAsia" w:hAnsiTheme="majorEastAsia" w:eastAsiaTheme="majorEastAsia"/>
          <w:b/>
          <w:bCs/>
          <w:sz w:val="24"/>
          <w:szCs w:val="24"/>
        </w:rPr>
      </w:pPr>
      <w:bookmarkStart w:id="68" w:name="_Toc60748184"/>
      <w:r>
        <w:rPr>
          <w:rFonts w:hint="eastAsia" w:asciiTheme="majorEastAsia" w:hAnsiTheme="majorEastAsia" w:eastAsiaTheme="majorEastAsia"/>
          <w:b/>
          <w:bCs/>
          <w:sz w:val="24"/>
          <w:szCs w:val="24"/>
        </w:rPr>
        <w:t>十三、乙方破产</w:t>
      </w:r>
      <w:bookmarkEnd w:id="68"/>
    </w:p>
    <w:p>
      <w:pPr>
        <w:spacing w:line="560" w:lineRule="exact"/>
        <w:ind w:firstLine="480" w:firstLineChars="200"/>
        <w:rPr>
          <w:rFonts w:ascii="宋体" w:hAnsi="宋体" w:eastAsia="宋体"/>
          <w:sz w:val="24"/>
          <w:szCs w:val="24"/>
        </w:rPr>
      </w:pPr>
      <w:r>
        <w:rPr>
          <w:rFonts w:hint="eastAsia" w:ascii="宋体" w:hAnsi="宋体" w:eastAsia="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Theme="majorEastAsia" w:hAnsiTheme="majorEastAsia" w:eastAsiaTheme="majorEastAsia"/>
          <w:b/>
          <w:bCs/>
          <w:sz w:val="24"/>
          <w:szCs w:val="24"/>
        </w:rPr>
      </w:pPr>
      <w:bookmarkStart w:id="69" w:name="_Toc60748185"/>
      <w:r>
        <w:rPr>
          <w:rFonts w:hint="eastAsia" w:asciiTheme="majorEastAsia" w:hAnsiTheme="majorEastAsia" w:eastAsiaTheme="majorEastAsia"/>
          <w:b/>
          <w:bCs/>
          <w:sz w:val="24"/>
          <w:szCs w:val="24"/>
        </w:rPr>
        <w:t>十四、合同中止、终止</w:t>
      </w:r>
      <w:bookmarkEnd w:id="69"/>
    </w:p>
    <w:p>
      <w:pPr>
        <w:spacing w:line="560" w:lineRule="exact"/>
        <w:ind w:firstLine="480" w:firstLineChars="200"/>
        <w:rPr>
          <w:rFonts w:ascii="宋体" w:hAnsi="宋体" w:eastAsia="宋体"/>
          <w:sz w:val="24"/>
          <w:szCs w:val="24"/>
        </w:rPr>
      </w:pPr>
      <w:r>
        <w:rPr>
          <w:rFonts w:hint="eastAsia" w:ascii="宋体" w:hAnsi="宋体" w:eastAsia="宋体"/>
          <w:sz w:val="24"/>
          <w:szCs w:val="24"/>
        </w:rPr>
        <w:t>1.双方当事人不得擅自中止或者终止合同；</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Theme="majorEastAsia" w:hAnsiTheme="majorEastAsia" w:eastAsiaTheme="majorEastAsia"/>
          <w:b/>
          <w:bCs/>
          <w:sz w:val="24"/>
          <w:szCs w:val="24"/>
        </w:rPr>
      </w:pPr>
      <w:bookmarkStart w:id="70" w:name="_Toc60748186"/>
      <w:r>
        <w:rPr>
          <w:rFonts w:hint="eastAsia" w:asciiTheme="majorEastAsia" w:hAnsiTheme="majorEastAsia" w:eastAsiaTheme="majorEastAsia"/>
          <w:b/>
          <w:bCs/>
          <w:sz w:val="24"/>
          <w:szCs w:val="24"/>
        </w:rPr>
        <w:t>十五、检验和验收</w:t>
      </w:r>
      <w:bookmarkEnd w:id="70"/>
    </w:p>
    <w:p>
      <w:pPr>
        <w:spacing w:line="560" w:lineRule="exact"/>
        <w:ind w:firstLine="480" w:firstLineChars="200"/>
        <w:rPr>
          <w:rFonts w:ascii="宋体" w:hAnsi="宋体" w:eastAsia="宋体"/>
          <w:sz w:val="24"/>
          <w:szCs w:val="24"/>
        </w:rPr>
      </w:pPr>
      <w:r>
        <w:rPr>
          <w:rFonts w:hint="eastAsia" w:ascii="宋体" w:hAnsi="宋体" w:eastAsia="宋体"/>
          <w:sz w:val="24"/>
          <w:szCs w:val="24"/>
        </w:rPr>
        <w:t>1.乙方按照</w:t>
      </w:r>
      <w:r>
        <w:rPr>
          <w:rFonts w:hint="eastAsia" w:ascii="宋体" w:hAnsi="宋体" w:eastAsia="宋体"/>
          <w:b/>
          <w:bCs/>
          <w:iCs/>
          <w:sz w:val="24"/>
          <w:szCs w:val="24"/>
          <w:u w:val="single"/>
        </w:rPr>
        <w:t>合同专用条款</w:t>
      </w:r>
      <w:r>
        <w:rPr>
          <w:rFonts w:hint="eastAsia" w:ascii="宋体" w:hAnsi="宋体" w:eastAsia="宋体"/>
          <w:sz w:val="24"/>
          <w:szCs w:val="24"/>
        </w:rPr>
        <w:t>的约定，定期提交服务报告，甲方按照</w:t>
      </w:r>
      <w:r>
        <w:rPr>
          <w:rFonts w:hint="eastAsia" w:ascii="宋体" w:hAnsi="宋体" w:eastAsia="宋体"/>
          <w:b/>
          <w:bCs/>
          <w:iCs/>
          <w:sz w:val="24"/>
          <w:szCs w:val="24"/>
          <w:u w:val="single"/>
        </w:rPr>
        <w:t>合同专用条款</w:t>
      </w:r>
      <w:r>
        <w:rPr>
          <w:rFonts w:hint="eastAsia" w:ascii="宋体" w:hAnsi="宋体" w:eastAsia="宋体"/>
          <w:sz w:val="24"/>
          <w:szCs w:val="24"/>
        </w:rPr>
        <w:t>的约定进行定期验收；</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3.检验和验收标准、程序等具体内容以及前述验收书的效力详见</w:t>
      </w:r>
      <w:r>
        <w:rPr>
          <w:rFonts w:hint="eastAsia" w:ascii="宋体" w:hAnsi="宋体" w:eastAsia="宋体"/>
          <w:b/>
          <w:bCs/>
          <w:iCs/>
          <w:sz w:val="24"/>
          <w:szCs w:val="24"/>
          <w:u w:val="single"/>
        </w:rPr>
        <w:t>合同专用条款</w:t>
      </w:r>
      <w:r>
        <w:rPr>
          <w:rFonts w:hint="eastAsia" w:ascii="宋体" w:hAnsi="宋体" w:eastAsia="宋体"/>
          <w:iCs/>
          <w:sz w:val="24"/>
          <w:szCs w:val="24"/>
        </w:rPr>
        <w:t>。</w:t>
      </w:r>
    </w:p>
    <w:p>
      <w:pPr>
        <w:spacing w:line="360" w:lineRule="auto"/>
        <w:ind w:firstLine="482" w:firstLineChars="200"/>
        <w:rPr>
          <w:rFonts w:asciiTheme="majorEastAsia" w:hAnsiTheme="majorEastAsia" w:eastAsiaTheme="majorEastAsia"/>
          <w:b/>
          <w:bCs/>
          <w:sz w:val="24"/>
          <w:szCs w:val="24"/>
        </w:rPr>
      </w:pPr>
      <w:bookmarkStart w:id="71" w:name="_Toc60748187"/>
      <w:r>
        <w:rPr>
          <w:rFonts w:hint="eastAsia" w:asciiTheme="majorEastAsia" w:hAnsiTheme="majorEastAsia" w:eastAsiaTheme="majorEastAsia"/>
          <w:b/>
          <w:bCs/>
          <w:sz w:val="24"/>
          <w:szCs w:val="24"/>
        </w:rPr>
        <w:t>十六、通知和送达</w:t>
      </w:r>
      <w:bookmarkEnd w:id="71"/>
    </w:p>
    <w:p>
      <w:pPr>
        <w:spacing w:line="560" w:lineRule="exact"/>
        <w:ind w:firstLine="480" w:firstLineChars="200"/>
        <w:rPr>
          <w:rFonts w:ascii="宋体" w:hAnsi="宋体" w:eastAsia="宋体"/>
          <w:sz w:val="24"/>
          <w:szCs w:val="24"/>
        </w:rPr>
      </w:pPr>
      <w:r>
        <w:rPr>
          <w:rFonts w:hint="eastAsia" w:ascii="宋体" w:hAnsi="宋体" w:eastAsia="宋体"/>
          <w:sz w:val="24"/>
          <w:szCs w:val="24"/>
        </w:rPr>
        <w:t>1.任何一方因履行合同而以合同第一部分尾部所列明的</w:t>
      </w:r>
      <w:r>
        <w:rPr>
          <w:rFonts w:hint="eastAsia" w:ascii="宋体" w:hAnsi="宋体" w:eastAsia="宋体"/>
          <w:sz w:val="24"/>
          <w:szCs w:val="24"/>
          <w:u w:val="single"/>
        </w:rPr>
        <w:t xml:space="preserve">          </w:t>
      </w:r>
      <w:r>
        <w:rPr>
          <w:rFonts w:hint="eastAsia" w:ascii="宋体" w:hAnsi="宋体" w:eastAsia="宋体"/>
          <w:sz w:val="24"/>
          <w:szCs w:val="24"/>
        </w:rPr>
        <w:t>发出的所有通知、文件、材料，均视为已向对方当事人送达；任何一方变更上述送达方式或者地址的，应于</w:t>
      </w:r>
      <w:r>
        <w:rPr>
          <w:rFonts w:hint="eastAsia" w:ascii="宋体" w:hAnsi="宋体" w:eastAsia="宋体"/>
          <w:sz w:val="24"/>
          <w:szCs w:val="24"/>
          <w:u w:val="single"/>
        </w:rPr>
        <w:t xml:space="preserve">   </w:t>
      </w:r>
      <w:r>
        <w:rPr>
          <w:rFonts w:hint="eastAsia" w:ascii="宋体" w:hAnsi="宋体" w:eastAsia="宋体"/>
          <w:sz w:val="24"/>
          <w:szCs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rPr>
          <w:rFonts w:asciiTheme="majorEastAsia" w:hAnsiTheme="majorEastAsia" w:eastAsiaTheme="majorEastAsia"/>
          <w:b/>
          <w:bCs/>
          <w:sz w:val="24"/>
          <w:szCs w:val="24"/>
        </w:rPr>
      </w:pPr>
      <w:bookmarkStart w:id="72" w:name="_Toc60748188"/>
      <w:r>
        <w:rPr>
          <w:rFonts w:hint="eastAsia" w:asciiTheme="majorEastAsia" w:hAnsiTheme="majorEastAsia" w:eastAsiaTheme="majorEastAsia"/>
          <w:b/>
          <w:bCs/>
          <w:sz w:val="24"/>
          <w:szCs w:val="24"/>
        </w:rPr>
        <w:t>十七、合同使用的文字和适用的法律</w:t>
      </w:r>
      <w:bookmarkEnd w:id="72"/>
    </w:p>
    <w:p>
      <w:pPr>
        <w:spacing w:line="560" w:lineRule="exact"/>
        <w:ind w:firstLine="480" w:firstLineChars="200"/>
        <w:rPr>
          <w:rFonts w:ascii="宋体" w:hAnsi="宋体" w:eastAsia="宋体"/>
          <w:sz w:val="24"/>
          <w:szCs w:val="24"/>
        </w:rPr>
      </w:pPr>
      <w:r>
        <w:rPr>
          <w:rFonts w:hint="eastAsia" w:ascii="宋体" w:hAnsi="宋体" w:eastAsia="宋体"/>
          <w:sz w:val="24"/>
          <w:szCs w:val="24"/>
        </w:rPr>
        <w:t>1.合同使用汉语书就、变更和解释；</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2.合同适用中华人民共和国法律。</w:t>
      </w:r>
    </w:p>
    <w:p>
      <w:pPr>
        <w:spacing w:line="360" w:lineRule="auto"/>
        <w:ind w:firstLine="482" w:firstLineChars="200"/>
        <w:rPr>
          <w:rFonts w:asciiTheme="majorEastAsia" w:hAnsiTheme="majorEastAsia" w:eastAsiaTheme="majorEastAsia"/>
          <w:b/>
          <w:bCs/>
          <w:sz w:val="24"/>
          <w:szCs w:val="24"/>
        </w:rPr>
      </w:pPr>
      <w:bookmarkStart w:id="73" w:name="_Toc60748189"/>
      <w:r>
        <w:rPr>
          <w:rFonts w:hint="eastAsia" w:asciiTheme="majorEastAsia" w:hAnsiTheme="majorEastAsia" w:eastAsiaTheme="majorEastAsia"/>
          <w:b/>
          <w:bCs/>
          <w:sz w:val="24"/>
          <w:szCs w:val="24"/>
        </w:rPr>
        <w:t>十八、履约保证金</w:t>
      </w:r>
      <w:bookmarkEnd w:id="73"/>
    </w:p>
    <w:p>
      <w:pPr>
        <w:spacing w:line="560" w:lineRule="exact"/>
        <w:ind w:firstLine="480" w:firstLineChars="200"/>
        <w:rPr>
          <w:rFonts w:ascii="宋体" w:hAnsi="宋体" w:eastAsia="宋体"/>
          <w:sz w:val="24"/>
          <w:szCs w:val="24"/>
        </w:rPr>
      </w:pPr>
      <w:r>
        <w:rPr>
          <w:rFonts w:hint="eastAsia" w:ascii="宋体" w:hAnsi="宋体" w:eastAsia="宋体"/>
          <w:sz w:val="24"/>
          <w:szCs w:val="24"/>
        </w:rPr>
        <w:t>1.采购文件要求乙方提交履约保证金的，乙方应按</w:t>
      </w:r>
      <w:r>
        <w:rPr>
          <w:rFonts w:hint="eastAsia" w:ascii="宋体" w:hAnsi="宋体" w:eastAsia="宋体"/>
          <w:b/>
          <w:bCs/>
          <w:iCs/>
          <w:sz w:val="24"/>
          <w:szCs w:val="24"/>
          <w:u w:val="single"/>
        </w:rPr>
        <w:t>合同专用条款</w:t>
      </w:r>
      <w:r>
        <w:rPr>
          <w:rFonts w:hint="eastAsia" w:ascii="宋体" w:hAnsi="宋体" w:eastAsia="宋体"/>
          <w:sz w:val="24"/>
          <w:szCs w:val="24"/>
        </w:rPr>
        <w:t>约定的方式，以支票、汇票、本票或者金融机构、担保机构出具的保函等非现金形式，提交不超过合同价10%的履约保证金；</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2.履约保证金在</w:t>
      </w:r>
      <w:r>
        <w:rPr>
          <w:rFonts w:hint="eastAsia" w:ascii="宋体" w:hAnsi="宋体" w:eastAsia="宋体"/>
          <w:b/>
          <w:bCs/>
          <w:iCs/>
          <w:sz w:val="24"/>
          <w:szCs w:val="24"/>
          <w:u w:val="single"/>
        </w:rPr>
        <w:t>合同专用条款</w:t>
      </w:r>
      <w:r>
        <w:rPr>
          <w:rFonts w:hint="eastAsia" w:ascii="宋体" w:hAnsi="宋体" w:eastAsia="宋体"/>
          <w:sz w:val="24"/>
          <w:szCs w:val="24"/>
        </w:rPr>
        <w:t>约定期间内不予退还或者应完全有效，前述约定期间届满之日起</w:t>
      </w:r>
      <w:r>
        <w:rPr>
          <w:rFonts w:hint="eastAsia" w:ascii="宋体" w:hAnsi="宋体" w:eastAsia="宋体"/>
          <w:sz w:val="24"/>
          <w:szCs w:val="24"/>
          <w:u w:val="single"/>
        </w:rPr>
        <w:t xml:space="preserve">    </w:t>
      </w:r>
      <w:r>
        <w:rPr>
          <w:rFonts w:hint="eastAsia" w:ascii="宋体" w:hAnsi="宋体" w:eastAsia="宋体"/>
          <w:sz w:val="24"/>
          <w:szCs w:val="24"/>
        </w:rPr>
        <w:t>个工作日内，甲方应将履约保证金退还乙方；</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2" w:firstLineChars="200"/>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十九、 合同份数</w:t>
      </w:r>
    </w:p>
    <w:p>
      <w:pPr>
        <w:spacing w:line="560" w:lineRule="exact"/>
        <w:ind w:firstLine="480" w:firstLineChars="200"/>
        <w:rPr>
          <w:rFonts w:ascii="宋体" w:hAnsi="宋体" w:eastAsia="宋体"/>
          <w:sz w:val="24"/>
          <w:szCs w:val="24"/>
        </w:rPr>
      </w:pPr>
      <w:r>
        <w:rPr>
          <w:rFonts w:hint="eastAsia" w:ascii="宋体" w:hAnsi="宋体" w:eastAsia="宋体"/>
          <w:sz w:val="24"/>
          <w:szCs w:val="24"/>
        </w:rPr>
        <w:t>合同份数按</w:t>
      </w:r>
      <w:r>
        <w:rPr>
          <w:rFonts w:hint="eastAsia" w:ascii="宋体" w:hAnsi="宋体" w:eastAsia="宋体"/>
          <w:b/>
          <w:bCs/>
          <w:iCs/>
          <w:sz w:val="24"/>
          <w:szCs w:val="24"/>
          <w:u w:val="single"/>
        </w:rPr>
        <w:t>合同专用条款</w:t>
      </w:r>
      <w:r>
        <w:rPr>
          <w:rFonts w:hint="eastAsia" w:ascii="宋体" w:hAnsi="宋体" w:eastAsia="宋体"/>
          <w:sz w:val="24"/>
          <w:szCs w:val="24"/>
        </w:rPr>
        <w:t>规定，每份均具有同等法律效力。</w:t>
      </w:r>
    </w:p>
    <w:p>
      <w:pPr>
        <w:pStyle w:val="121"/>
      </w:pPr>
      <w:r>
        <w:rPr>
          <w:rFonts w:hint="eastAsia" w:hAnsi="宋体" w:eastAsia="宋体"/>
          <w:szCs w:val="24"/>
        </w:rPr>
        <w:br w:type="page"/>
      </w:r>
      <w:bookmarkStart w:id="74" w:name="_Toc68089996"/>
      <w:r>
        <w:rPr>
          <w:rFonts w:hint="eastAsia"/>
        </w:rPr>
        <w:t>第三部分  合同专用条款</w:t>
      </w:r>
      <w:bookmarkEnd w:id="74"/>
    </w:p>
    <w:p>
      <w:pPr>
        <w:spacing w:line="560" w:lineRule="exact"/>
        <w:ind w:firstLine="480" w:firstLineChars="200"/>
        <w:rPr>
          <w:rFonts w:ascii="宋体" w:hAnsi="宋体" w:eastAsia="宋体"/>
          <w:sz w:val="24"/>
          <w:szCs w:val="24"/>
        </w:rPr>
      </w:pPr>
      <w:r>
        <w:rPr>
          <w:rFonts w:hint="eastAsia" w:ascii="宋体" w:hAnsi="宋体" w:eastAsia="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856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4"/>
        <w:gridCol w:w="7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jc w:val="center"/>
              <w:rPr>
                <w:rFonts w:ascii="宋体" w:hAnsi="宋体" w:eastAsia="宋体"/>
                <w:b/>
                <w:bCs/>
                <w:sz w:val="24"/>
                <w:szCs w:val="24"/>
              </w:rPr>
            </w:pPr>
            <w:r>
              <w:rPr>
                <w:rFonts w:hint="eastAsia" w:ascii="宋体" w:hAnsi="宋体" w:eastAsia="宋体"/>
                <w:b/>
                <w:bCs/>
                <w:sz w:val="24"/>
                <w:szCs w:val="24"/>
              </w:rPr>
              <w:t>条款号</w:t>
            </w:r>
          </w:p>
        </w:tc>
        <w:tc>
          <w:tcPr>
            <w:tcW w:w="7622" w:type="dxa"/>
            <w:tcBorders>
              <w:top w:val="single" w:color="auto" w:sz="6" w:space="0"/>
              <w:left w:val="nil"/>
              <w:bottom w:val="single" w:color="auto" w:sz="6" w:space="0"/>
              <w:right w:val="single" w:color="auto" w:sz="6" w:space="0"/>
            </w:tcBorders>
            <w:vAlign w:val="center"/>
          </w:tcPr>
          <w:p>
            <w:pPr>
              <w:spacing w:line="560" w:lineRule="exact"/>
              <w:jc w:val="center"/>
              <w:rPr>
                <w:rFonts w:ascii="宋体" w:hAnsi="宋体" w:eastAsia="宋体"/>
                <w:b/>
                <w:bCs/>
                <w:sz w:val="24"/>
                <w:szCs w:val="24"/>
              </w:rPr>
            </w:pPr>
            <w:r>
              <w:rPr>
                <w:rFonts w:hint="eastAsia" w:ascii="宋体" w:hAnsi="宋体" w:eastAsia="宋体"/>
                <w:b/>
                <w:bCs/>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2"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9"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 w:hRule="atLeast"/>
        </w:trPr>
        <w:tc>
          <w:tcPr>
            <w:tcW w:w="944"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宋体" w:hAnsi="宋体" w:eastAsia="宋体"/>
                <w:sz w:val="24"/>
                <w:szCs w:val="24"/>
              </w:rPr>
            </w:pPr>
          </w:p>
        </w:tc>
        <w:tc>
          <w:tcPr>
            <w:tcW w:w="7622" w:type="dxa"/>
            <w:tcBorders>
              <w:top w:val="single" w:color="auto" w:sz="6" w:space="0"/>
              <w:left w:val="nil"/>
              <w:bottom w:val="single" w:color="auto" w:sz="6" w:space="0"/>
              <w:right w:val="single" w:color="auto" w:sz="6" w:space="0"/>
            </w:tcBorders>
            <w:vAlign w:val="center"/>
          </w:tcPr>
          <w:p>
            <w:pPr>
              <w:spacing w:line="560" w:lineRule="exact"/>
              <w:rPr>
                <w:rFonts w:ascii="宋体" w:hAnsi="宋体" w:eastAsia="宋体"/>
                <w:sz w:val="24"/>
                <w:szCs w:val="24"/>
              </w:rPr>
            </w:pPr>
          </w:p>
        </w:tc>
      </w:tr>
    </w:tbl>
    <w:p>
      <w:pPr>
        <w:widowControl/>
        <w:spacing w:line="360" w:lineRule="auto"/>
        <w:jc w:val="left"/>
        <w:rPr>
          <w:rFonts w:asciiTheme="minorEastAsia" w:hAnsiTheme="minorEastAsia"/>
          <w:sz w:val="24"/>
          <w:szCs w:val="24"/>
        </w:rPr>
      </w:pPr>
    </w:p>
    <w:p>
      <w:pPr>
        <w:widowControl/>
        <w:jc w:val="left"/>
        <w:rPr>
          <w:rFonts w:ascii="宋体" w:hAnsi="宋体" w:eastAsia="宋体" w:cs="宋体"/>
          <w:b/>
          <w:bCs/>
          <w:sz w:val="44"/>
          <w:szCs w:val="44"/>
        </w:rPr>
      </w:pPr>
    </w:p>
    <w:p>
      <w:pPr>
        <w:widowControl/>
        <w:spacing w:line="480" w:lineRule="auto"/>
        <w:jc w:val="center"/>
        <w:rPr>
          <w:rFonts w:ascii="宋体" w:hAnsi="宋体" w:eastAsia="宋体" w:cs="宋体"/>
          <w:b/>
          <w:bCs/>
          <w:sz w:val="44"/>
          <w:szCs w:val="44"/>
        </w:rPr>
      </w:pPr>
    </w:p>
    <w:p>
      <w:pPr>
        <w:widowControl/>
        <w:jc w:val="left"/>
        <w:rPr>
          <w:rFonts w:ascii="宋体" w:hAnsi="宋体" w:eastAsia="宋体" w:cs="宋体"/>
          <w:kern w:val="0"/>
          <w:sz w:val="32"/>
          <w:szCs w:val="32"/>
        </w:rPr>
        <w:sectPr>
          <w:pgSz w:w="12240" w:h="15840"/>
          <w:pgMar w:top="1440" w:right="1800" w:bottom="1440" w:left="1800" w:header="720" w:footer="720" w:gutter="0"/>
          <w:cols w:space="720" w:num="1"/>
        </w:sectPr>
      </w:pPr>
    </w:p>
    <w:p>
      <w:pPr>
        <w:pStyle w:val="122"/>
      </w:pPr>
      <w:bookmarkStart w:id="75" w:name="_Toc70403689"/>
      <w:r>
        <w:rPr>
          <w:rFonts w:hint="eastAsia"/>
        </w:rPr>
        <w:t>五.</w:t>
      </w:r>
      <w:r>
        <w:t xml:space="preserve"> </w:t>
      </w:r>
      <w:bookmarkEnd w:id="47"/>
      <w:r>
        <w:rPr>
          <w:rFonts w:hint="eastAsia"/>
        </w:rPr>
        <w:t>评分标准</w:t>
      </w:r>
      <w:bookmarkEnd w:id="75"/>
    </w:p>
    <w:p>
      <w:pPr>
        <w:tabs>
          <w:tab w:val="left" w:pos="945"/>
          <w:tab w:val="left" w:pos="1155"/>
        </w:tabs>
        <w:spacing w:line="360" w:lineRule="auto"/>
        <w:ind w:firstLine="566" w:firstLineChars="236"/>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采用低价优先法计算，即满足比选文件要求且投标价格最低的投标报价为投标基准价，其价格分为满分。其他供应商的价格分统一按照下列公式计算：</w:t>
      </w:r>
    </w:p>
    <w:p>
      <w:pPr>
        <w:tabs>
          <w:tab w:val="left" w:pos="945"/>
          <w:tab w:val="left" w:pos="1155"/>
        </w:tabs>
        <w:spacing w:line="360" w:lineRule="auto"/>
        <w:ind w:firstLine="566" w:firstLineChars="236"/>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报价得分</w:t>
      </w:r>
      <w:r>
        <w:rPr>
          <w:rFonts w:ascii="宋体" w:hAnsi="宋体"/>
          <w:bCs/>
          <w:color w:val="000000" w:themeColor="text1"/>
          <w:sz w:val="24"/>
          <w:szCs w:val="24"/>
          <w14:textFill>
            <w14:solidFill>
              <w14:schemeClr w14:val="tx1"/>
            </w14:solidFill>
          </w14:textFill>
        </w:rPr>
        <w:t>=(投标</w:t>
      </w:r>
      <w:r>
        <w:rPr>
          <w:rFonts w:hint="eastAsia" w:ascii="宋体" w:hAnsi="宋体"/>
          <w:bCs/>
          <w:color w:val="000000" w:themeColor="text1"/>
          <w:sz w:val="24"/>
          <w:szCs w:val="24"/>
          <w14:textFill>
            <w14:solidFill>
              <w14:schemeClr w14:val="tx1"/>
            </w14:solidFill>
          </w14:textFill>
        </w:rPr>
        <w:t>基准价／最后投标报价</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×价格权值×</w:t>
      </w:r>
      <w:r>
        <w:rPr>
          <w:rFonts w:ascii="宋体" w:hAnsi="宋体"/>
          <w:bCs/>
          <w:color w:val="000000" w:themeColor="text1"/>
          <w:sz w:val="24"/>
          <w:szCs w:val="24"/>
          <w14:textFill>
            <w14:solidFill>
              <w14:schemeClr w14:val="tx1"/>
            </w14:solidFill>
          </w14:textFill>
        </w:rPr>
        <w:t>100％</w:t>
      </w:r>
      <w:r>
        <w:rPr>
          <w:rFonts w:hint="eastAsia" w:ascii="宋体" w:hAnsi="宋体"/>
          <w:bCs/>
          <w:color w:val="000000" w:themeColor="text1"/>
          <w:sz w:val="24"/>
          <w:szCs w:val="24"/>
          <w14:textFill>
            <w14:solidFill>
              <w14:schemeClr w14:val="tx1"/>
            </w14:solidFill>
          </w14:textFill>
        </w:rPr>
        <w:t>。</w:t>
      </w:r>
    </w:p>
    <w:tbl>
      <w:tblPr>
        <w:tblStyle w:val="137"/>
        <w:tblW w:w="9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5168"/>
        <w:gridCol w:w="900"/>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评分因素</w:t>
            </w:r>
          </w:p>
        </w:tc>
        <w:tc>
          <w:tcPr>
            <w:tcW w:w="5168"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评分标准</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分值</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评审材料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6"/>
                <w:sz w:val="21"/>
                <w:szCs w:val="21"/>
              </w:rPr>
              <w:t>1.1</w:t>
            </w:r>
          </w:p>
        </w:tc>
        <w:tc>
          <w:tcPr>
            <w:tcW w:w="5168" w:type="dxa"/>
            <w:vAlign w:val="center"/>
          </w:tcPr>
          <w:p>
            <w:pPr>
              <w:autoSpaceDE w:val="0"/>
              <w:autoSpaceDN w:val="0"/>
              <w:spacing w:line="360" w:lineRule="auto"/>
              <w:ind w:right="70"/>
              <w:jc w:val="both"/>
              <w:rPr>
                <w:rFonts w:ascii="宋体" w:hAnsi="宋体" w:eastAsia="宋体" w:cs="宋体"/>
                <w:sz w:val="21"/>
                <w:szCs w:val="21"/>
              </w:rPr>
            </w:pPr>
            <w:r>
              <w:rPr>
                <w:rFonts w:ascii="宋体" w:hAnsi="宋体" w:eastAsia="宋体" w:cs="宋体"/>
                <w:spacing w:val="-1"/>
                <w:sz w:val="21"/>
                <w:szCs w:val="21"/>
              </w:rPr>
              <w:t>采用低价优先法计算，即满足招标文件要求且投标价格最低的投标报价为评标基准价，其价</w:t>
            </w:r>
            <w:r>
              <w:rPr>
                <w:rFonts w:ascii="宋体" w:hAnsi="宋体" w:eastAsia="宋体" w:cs="宋体"/>
                <w:sz w:val="21"/>
                <w:szCs w:val="21"/>
              </w:rPr>
              <w:t>格分为满分。其他投标人的价格分统一按照下</w:t>
            </w:r>
            <w:r>
              <w:rPr>
                <w:rFonts w:ascii="宋体" w:hAnsi="宋体" w:eastAsia="宋体" w:cs="宋体"/>
                <w:spacing w:val="1"/>
                <w:sz w:val="21"/>
                <w:szCs w:val="21"/>
              </w:rPr>
              <w:t>列公式计算：投标报价得分等于评标基准价/</w:t>
            </w:r>
            <w:r>
              <w:rPr>
                <w:rFonts w:ascii="宋体" w:hAnsi="宋体" w:eastAsia="宋体" w:cs="宋体"/>
                <w:spacing w:val="-1"/>
                <w:sz w:val="21"/>
                <w:szCs w:val="21"/>
              </w:rPr>
              <w:t>投标报价×价格权值×100%</w:t>
            </w:r>
          </w:p>
        </w:tc>
        <w:tc>
          <w:tcPr>
            <w:tcW w:w="900" w:type="dxa"/>
            <w:vAlign w:val="center"/>
          </w:tcPr>
          <w:p>
            <w:pPr>
              <w:autoSpaceDE w:val="0"/>
              <w:autoSpaceDN w:val="0"/>
              <w:spacing w:line="360" w:lineRule="auto"/>
              <w:jc w:val="center"/>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15</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541" w:type="dxa"/>
            <w:gridSpan w:val="4"/>
          </w:tcPr>
          <w:p>
            <w:pPr>
              <w:autoSpaceDE w:val="0"/>
              <w:autoSpaceDN w:val="0"/>
              <w:spacing w:line="360" w:lineRule="auto"/>
              <w:jc w:val="center"/>
              <w:rPr>
                <w:rFonts w:hint="eastAsia" w:ascii="宋体" w:hAnsi="宋体" w:eastAsia="宋体" w:cs="宋体"/>
                <w:sz w:val="21"/>
                <w:szCs w:val="21"/>
              </w:rPr>
            </w:pPr>
            <w:r>
              <w:rPr>
                <w:rFonts w:ascii="宋体" w:hAnsi="宋体" w:eastAsia="宋体" w:cs="宋体"/>
                <w:spacing w:val="-3"/>
                <w:sz w:val="21"/>
                <w:szCs w:val="21"/>
              </w:rPr>
              <w:t>主观分</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50</w:t>
            </w:r>
            <w:r>
              <w:rPr>
                <w:rFonts w:hint="eastAsia" w:ascii="宋体" w:hAnsi="宋体" w:eastAsia="宋体" w:cs="宋体"/>
                <w:spacing w:val="-3"/>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2.1</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z w:val="21"/>
                <w:szCs w:val="21"/>
              </w:rPr>
              <w:t>组织架构：投标人针对拟成立的项目组织构</w:t>
            </w:r>
            <w:r>
              <w:rPr>
                <w:rFonts w:ascii="宋体" w:hAnsi="宋体" w:eastAsia="宋体" w:cs="宋体"/>
                <w:spacing w:val="-1"/>
                <w:sz w:val="21"/>
                <w:szCs w:val="21"/>
              </w:rPr>
              <w:t>架、项目组织规章制度、各岗位分工及岗位职</w:t>
            </w:r>
            <w:r>
              <w:rPr>
                <w:rFonts w:ascii="宋体" w:hAnsi="宋体" w:eastAsia="宋体" w:cs="宋体"/>
                <w:sz w:val="21"/>
                <w:szCs w:val="21"/>
              </w:rPr>
              <w:t>责、人员考勤体系等方面可行、科学、完整的</w:t>
            </w:r>
            <w:r>
              <w:rPr>
                <w:rFonts w:hint="eastAsia" w:ascii="宋体" w:hAnsi="宋体" w:eastAsia="宋体" w:cs="宋体"/>
                <w:spacing w:val="8"/>
                <w:sz w:val="21"/>
                <w:szCs w:val="21"/>
                <w:lang w:val="en-US" w:eastAsia="zh-CN"/>
              </w:rPr>
              <w:t>5</w:t>
            </w:r>
            <w:r>
              <w:rPr>
                <w:rFonts w:ascii="宋体" w:hAnsi="宋体" w:eastAsia="宋体" w:cs="宋体"/>
                <w:spacing w:val="8"/>
                <w:sz w:val="21"/>
                <w:szCs w:val="21"/>
              </w:rPr>
              <w:t>分，描述基本完整可行的得</w:t>
            </w:r>
            <w:r>
              <w:rPr>
                <w:rFonts w:hint="eastAsia" w:ascii="宋体" w:hAnsi="宋体" w:eastAsia="宋体" w:cs="宋体"/>
                <w:spacing w:val="8"/>
                <w:sz w:val="21"/>
                <w:szCs w:val="21"/>
                <w:lang w:val="en-US" w:eastAsia="zh-CN"/>
              </w:rPr>
              <w:t>3</w:t>
            </w:r>
            <w:r>
              <w:rPr>
                <w:rFonts w:ascii="宋体" w:hAnsi="宋体" w:eastAsia="宋体" w:cs="宋体"/>
                <w:spacing w:val="8"/>
                <w:sz w:val="21"/>
                <w:szCs w:val="21"/>
              </w:rPr>
              <w:t>分，针对</w:t>
            </w:r>
            <w:r>
              <w:rPr>
                <w:rFonts w:ascii="宋体" w:hAnsi="宋体" w:eastAsia="宋体" w:cs="宋体"/>
                <w:spacing w:val="7"/>
                <w:sz w:val="21"/>
                <w:szCs w:val="21"/>
              </w:rPr>
              <w:t>性</w:t>
            </w:r>
            <w:r>
              <w:rPr>
                <w:rFonts w:ascii="宋体" w:hAnsi="宋体" w:eastAsia="宋体" w:cs="宋体"/>
                <w:spacing w:val="5"/>
                <w:sz w:val="21"/>
                <w:szCs w:val="21"/>
              </w:rPr>
              <w:t>欠缺、描述一般的得</w:t>
            </w:r>
            <w:r>
              <w:rPr>
                <w:rFonts w:hint="eastAsia" w:ascii="宋体" w:hAnsi="宋体" w:eastAsia="宋体" w:cs="宋体"/>
                <w:spacing w:val="5"/>
                <w:sz w:val="21"/>
                <w:szCs w:val="21"/>
                <w:lang w:val="en-US" w:eastAsia="zh-CN"/>
              </w:rPr>
              <w:t>2</w:t>
            </w:r>
            <w:r>
              <w:rPr>
                <w:rFonts w:ascii="宋体" w:hAnsi="宋体" w:eastAsia="宋体" w:cs="宋体"/>
                <w:spacing w:val="5"/>
                <w:sz w:val="21"/>
                <w:szCs w:val="21"/>
              </w:rPr>
              <w:t>分，无不得分。</w:t>
            </w:r>
          </w:p>
        </w:tc>
        <w:tc>
          <w:tcPr>
            <w:tcW w:w="900" w:type="dxa"/>
            <w:vAlign w:val="center"/>
          </w:tcPr>
          <w:p>
            <w:pPr>
              <w:autoSpaceDE w:val="0"/>
              <w:autoSpaceDN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1"/>
                <w:sz w:val="21"/>
                <w:szCs w:val="21"/>
              </w:rPr>
              <w:t>组织框架方案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2.2</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z w:val="21"/>
                <w:szCs w:val="21"/>
              </w:rPr>
              <w:t>实施方案：投标人物业总体服务方案的科学</w:t>
            </w:r>
            <w:r>
              <w:rPr>
                <w:rFonts w:ascii="宋体" w:hAnsi="宋体" w:eastAsia="宋体" w:cs="宋体"/>
                <w:spacing w:val="4"/>
                <w:sz w:val="21"/>
                <w:szCs w:val="21"/>
              </w:rPr>
              <w:t>性、有效性、合理性，各项描述齐全的</w:t>
            </w:r>
            <w:r>
              <w:rPr>
                <w:rFonts w:hint="eastAsia" w:ascii="宋体" w:hAnsi="宋体" w:eastAsia="宋体" w:cs="宋体"/>
                <w:spacing w:val="4"/>
                <w:sz w:val="21"/>
                <w:szCs w:val="21"/>
                <w:lang w:val="en-US" w:eastAsia="zh-CN"/>
              </w:rPr>
              <w:t>7</w:t>
            </w:r>
            <w:r>
              <w:rPr>
                <w:rFonts w:ascii="宋体" w:hAnsi="宋体" w:eastAsia="宋体" w:cs="宋体"/>
                <w:spacing w:val="4"/>
                <w:sz w:val="21"/>
                <w:szCs w:val="21"/>
              </w:rPr>
              <w:t>分，描述基本完整可行的得</w:t>
            </w:r>
            <w:r>
              <w:rPr>
                <w:rFonts w:hint="eastAsia" w:ascii="宋体" w:hAnsi="宋体" w:eastAsia="宋体" w:cs="宋体"/>
                <w:spacing w:val="4"/>
                <w:sz w:val="21"/>
                <w:szCs w:val="21"/>
                <w:lang w:val="en-US" w:eastAsia="zh-CN"/>
              </w:rPr>
              <w:t>5</w:t>
            </w:r>
            <w:r>
              <w:rPr>
                <w:rFonts w:ascii="宋体" w:hAnsi="宋体" w:eastAsia="宋体" w:cs="宋体"/>
                <w:spacing w:val="4"/>
                <w:sz w:val="21"/>
                <w:szCs w:val="21"/>
              </w:rPr>
              <w:t>分，针对性欠缺、</w:t>
            </w:r>
            <w:r>
              <w:rPr>
                <w:rFonts w:ascii="宋体" w:hAnsi="宋体" w:eastAsia="宋体" w:cs="宋体"/>
                <w:spacing w:val="6"/>
                <w:sz w:val="21"/>
                <w:szCs w:val="21"/>
              </w:rPr>
              <w:t>描述一般的得</w:t>
            </w:r>
            <w:r>
              <w:rPr>
                <w:rFonts w:hint="eastAsia" w:ascii="宋体" w:hAnsi="宋体" w:eastAsia="宋体" w:cs="宋体"/>
                <w:spacing w:val="6"/>
                <w:sz w:val="21"/>
                <w:szCs w:val="21"/>
                <w:lang w:val="en-US" w:eastAsia="zh-CN"/>
              </w:rPr>
              <w:t>3</w:t>
            </w:r>
            <w:r>
              <w:rPr>
                <w:rFonts w:ascii="宋体" w:hAnsi="宋体" w:eastAsia="宋体" w:cs="宋体"/>
                <w:spacing w:val="6"/>
                <w:sz w:val="21"/>
                <w:szCs w:val="21"/>
              </w:rPr>
              <w:t>分，无不得分。</w:t>
            </w:r>
          </w:p>
        </w:tc>
        <w:tc>
          <w:tcPr>
            <w:tcW w:w="900" w:type="dxa"/>
            <w:vAlign w:val="center"/>
          </w:tcPr>
          <w:p>
            <w:pPr>
              <w:autoSpaceDE w:val="0"/>
              <w:autoSpaceDN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2.3</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3"/>
                <w:sz w:val="21"/>
                <w:szCs w:val="21"/>
              </w:rPr>
              <w:t>环境服务方案及保障措施各项描述齐全的</w:t>
            </w:r>
            <w:r>
              <w:rPr>
                <w:rFonts w:hint="eastAsia" w:ascii="宋体" w:hAnsi="宋体" w:eastAsia="宋体" w:cs="宋体"/>
                <w:spacing w:val="3"/>
                <w:sz w:val="21"/>
                <w:szCs w:val="21"/>
                <w:lang w:val="en-US" w:eastAsia="zh-CN"/>
              </w:rPr>
              <w:t>6</w:t>
            </w:r>
            <w:r>
              <w:rPr>
                <w:rFonts w:ascii="宋体" w:hAnsi="宋体" w:eastAsia="宋体" w:cs="宋体"/>
                <w:spacing w:val="8"/>
                <w:sz w:val="21"/>
                <w:szCs w:val="21"/>
              </w:rPr>
              <w:t>分，描述基本完整可行的得</w:t>
            </w:r>
            <w:r>
              <w:rPr>
                <w:rFonts w:hint="eastAsia" w:ascii="宋体" w:hAnsi="宋体" w:eastAsia="宋体" w:cs="宋体"/>
                <w:spacing w:val="8"/>
                <w:sz w:val="21"/>
                <w:szCs w:val="21"/>
                <w:lang w:val="en-US" w:eastAsia="zh-CN"/>
              </w:rPr>
              <w:t>4</w:t>
            </w:r>
            <w:r>
              <w:rPr>
                <w:rFonts w:ascii="宋体" w:hAnsi="宋体" w:eastAsia="宋体" w:cs="宋体"/>
                <w:spacing w:val="8"/>
                <w:sz w:val="21"/>
                <w:szCs w:val="21"/>
              </w:rPr>
              <w:t>分，针对性欠缺、</w:t>
            </w:r>
            <w:r>
              <w:rPr>
                <w:rFonts w:ascii="宋体" w:hAnsi="宋体" w:eastAsia="宋体" w:cs="宋体"/>
                <w:spacing w:val="11"/>
                <w:sz w:val="21"/>
                <w:szCs w:val="21"/>
              </w:rPr>
              <w:t>描述一般的得</w:t>
            </w:r>
            <w:r>
              <w:rPr>
                <w:rFonts w:hint="eastAsia" w:ascii="宋体" w:hAnsi="宋体" w:eastAsia="宋体" w:cs="宋体"/>
                <w:spacing w:val="11"/>
                <w:sz w:val="21"/>
                <w:szCs w:val="21"/>
                <w:lang w:val="en-US" w:eastAsia="zh-CN"/>
              </w:rPr>
              <w:t>2</w:t>
            </w:r>
            <w:r>
              <w:rPr>
                <w:rFonts w:ascii="宋体" w:hAnsi="宋体" w:eastAsia="宋体" w:cs="宋体"/>
                <w:spacing w:val="11"/>
                <w:sz w:val="21"/>
                <w:szCs w:val="21"/>
              </w:rPr>
              <w:t>分，无不得分。</w:t>
            </w:r>
          </w:p>
        </w:tc>
        <w:tc>
          <w:tcPr>
            <w:tcW w:w="900" w:type="dxa"/>
            <w:vAlign w:val="center"/>
          </w:tcPr>
          <w:p>
            <w:pPr>
              <w:autoSpaceDE w:val="0"/>
              <w:autoSpaceDN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1"/>
                <w:sz w:val="21"/>
                <w:szCs w:val="21"/>
              </w:rPr>
              <w:t>环境服务方案及保障措</w:t>
            </w:r>
            <w:r>
              <w:rPr>
                <w:rFonts w:ascii="宋体" w:hAnsi="宋体" w:eastAsia="宋体" w:cs="宋体"/>
                <w:sz w:val="21"/>
                <w:szCs w:val="21"/>
              </w:rPr>
              <w:t>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2.4</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客服、日常维修方案及保障措施，各项描述齐</w:t>
            </w:r>
            <w:r>
              <w:rPr>
                <w:rFonts w:ascii="宋体" w:hAnsi="宋体" w:eastAsia="宋体" w:cs="宋体"/>
                <w:spacing w:val="9"/>
                <w:sz w:val="21"/>
                <w:szCs w:val="21"/>
              </w:rPr>
              <w:t>全的</w:t>
            </w:r>
            <w:r>
              <w:rPr>
                <w:rFonts w:hint="eastAsia" w:ascii="宋体" w:hAnsi="宋体" w:eastAsia="宋体" w:cs="宋体"/>
                <w:spacing w:val="9"/>
                <w:sz w:val="21"/>
                <w:szCs w:val="21"/>
                <w:lang w:val="en-US" w:eastAsia="zh-CN"/>
              </w:rPr>
              <w:t>5</w:t>
            </w:r>
            <w:r>
              <w:rPr>
                <w:rFonts w:ascii="宋体" w:hAnsi="宋体" w:eastAsia="宋体" w:cs="宋体"/>
                <w:spacing w:val="9"/>
                <w:sz w:val="21"/>
                <w:szCs w:val="21"/>
              </w:rPr>
              <w:t>分，描述基本完整可行的得</w:t>
            </w:r>
            <w:r>
              <w:rPr>
                <w:rFonts w:hint="eastAsia" w:ascii="宋体" w:hAnsi="宋体" w:eastAsia="宋体" w:cs="宋体"/>
                <w:spacing w:val="9"/>
                <w:sz w:val="21"/>
                <w:szCs w:val="21"/>
                <w:lang w:val="en-US" w:eastAsia="zh-CN"/>
              </w:rPr>
              <w:t>3</w:t>
            </w:r>
            <w:r>
              <w:rPr>
                <w:rFonts w:ascii="宋体" w:hAnsi="宋体" w:eastAsia="宋体" w:cs="宋体"/>
                <w:spacing w:val="9"/>
                <w:sz w:val="21"/>
                <w:szCs w:val="21"/>
              </w:rPr>
              <w:t>分，</w:t>
            </w:r>
            <w:r>
              <w:rPr>
                <w:rFonts w:ascii="宋体" w:hAnsi="宋体" w:eastAsia="宋体" w:cs="宋体"/>
                <w:spacing w:val="8"/>
                <w:sz w:val="21"/>
                <w:szCs w:val="21"/>
              </w:rPr>
              <w:t>针</w:t>
            </w:r>
            <w:r>
              <w:rPr>
                <w:rFonts w:ascii="宋体" w:hAnsi="宋体" w:eastAsia="宋体" w:cs="宋体"/>
                <w:spacing w:val="4"/>
                <w:sz w:val="21"/>
                <w:szCs w:val="21"/>
              </w:rPr>
              <w:t>对性欠缺、描述一般的得</w:t>
            </w:r>
            <w:r>
              <w:rPr>
                <w:rFonts w:hint="eastAsia" w:ascii="宋体" w:hAnsi="宋体" w:eastAsia="宋体" w:cs="宋体"/>
                <w:spacing w:val="4"/>
                <w:sz w:val="21"/>
                <w:szCs w:val="21"/>
                <w:lang w:val="en-US" w:eastAsia="zh-CN"/>
              </w:rPr>
              <w:t>2</w:t>
            </w:r>
            <w:r>
              <w:rPr>
                <w:rFonts w:ascii="宋体" w:hAnsi="宋体" w:eastAsia="宋体" w:cs="宋体"/>
                <w:spacing w:val="4"/>
                <w:sz w:val="21"/>
                <w:szCs w:val="21"/>
              </w:rPr>
              <w:t>分，无不得分。</w:t>
            </w:r>
          </w:p>
        </w:tc>
        <w:tc>
          <w:tcPr>
            <w:tcW w:w="900" w:type="dxa"/>
            <w:vAlign w:val="center"/>
          </w:tcPr>
          <w:p>
            <w:pPr>
              <w:autoSpaceDE w:val="0"/>
              <w:autoSpaceDN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1"/>
                <w:sz w:val="21"/>
                <w:szCs w:val="21"/>
              </w:rPr>
              <w:t>客服、日常维修方案及</w:t>
            </w:r>
            <w:r>
              <w:rPr>
                <w:rFonts w:ascii="宋体" w:hAnsi="宋体" w:eastAsia="宋体" w:cs="宋体"/>
                <w:spacing w:val="-2"/>
                <w:sz w:val="21"/>
                <w:szCs w:val="21"/>
              </w:rPr>
              <w:t>保障措施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2.5</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5"/>
                <w:sz w:val="21"/>
                <w:szCs w:val="21"/>
              </w:rPr>
              <w:t>秩序维护服务方案，各项描述齐全的6分，描述基本完整可行的得4分，针对性欠缺、描</w:t>
            </w:r>
            <w:r>
              <w:rPr>
                <w:rFonts w:ascii="宋体" w:hAnsi="宋体" w:eastAsia="宋体" w:cs="宋体"/>
                <w:spacing w:val="6"/>
                <w:sz w:val="21"/>
                <w:szCs w:val="21"/>
              </w:rPr>
              <w:t>述一般的得2分，无不得分。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6</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1"/>
                <w:sz w:val="21"/>
                <w:szCs w:val="21"/>
              </w:rPr>
              <w:t>秩序维护服务方案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2.6</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合理化建议及措施：针对本项目提出的合理化</w:t>
            </w:r>
            <w:r>
              <w:rPr>
                <w:rFonts w:ascii="宋体" w:hAnsi="宋体" w:eastAsia="宋体" w:cs="宋体"/>
                <w:spacing w:val="5"/>
                <w:sz w:val="21"/>
                <w:szCs w:val="21"/>
              </w:rPr>
              <w:t>建议及措施，各项描述齐全的6分，描述基本完整可行的得</w:t>
            </w:r>
            <w:r>
              <w:rPr>
                <w:rFonts w:hint="eastAsia" w:ascii="宋体" w:hAnsi="宋体" w:eastAsia="宋体" w:cs="宋体"/>
                <w:spacing w:val="5"/>
                <w:sz w:val="21"/>
                <w:szCs w:val="21"/>
                <w:lang w:val="en-US" w:eastAsia="zh-CN"/>
              </w:rPr>
              <w:t>4</w:t>
            </w:r>
            <w:r>
              <w:rPr>
                <w:rFonts w:ascii="宋体" w:hAnsi="宋体" w:eastAsia="宋体" w:cs="宋体"/>
                <w:spacing w:val="5"/>
                <w:sz w:val="21"/>
                <w:szCs w:val="21"/>
              </w:rPr>
              <w:t>分，针对性欠缺、描述一般</w:t>
            </w:r>
            <w:r>
              <w:rPr>
                <w:rFonts w:ascii="宋体" w:hAnsi="宋体" w:eastAsia="宋体" w:cs="宋体"/>
                <w:spacing w:val="8"/>
                <w:sz w:val="21"/>
                <w:szCs w:val="21"/>
              </w:rPr>
              <w:t>的得</w:t>
            </w:r>
            <w:r>
              <w:rPr>
                <w:rFonts w:hint="eastAsia" w:ascii="宋体" w:hAnsi="宋体" w:eastAsia="宋体" w:cs="宋体"/>
                <w:spacing w:val="8"/>
                <w:sz w:val="21"/>
                <w:szCs w:val="21"/>
                <w:lang w:val="en-US" w:eastAsia="zh-CN"/>
              </w:rPr>
              <w:t>2</w:t>
            </w:r>
            <w:r>
              <w:rPr>
                <w:rFonts w:ascii="宋体" w:hAnsi="宋体" w:eastAsia="宋体" w:cs="宋体"/>
                <w:spacing w:val="8"/>
                <w:sz w:val="21"/>
                <w:szCs w:val="21"/>
              </w:rPr>
              <w:t>分，无不得分。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6</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1"/>
                <w:sz w:val="21"/>
                <w:szCs w:val="21"/>
              </w:rPr>
              <w:t>合理化建议及措施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2.7</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培训计划及标准：前期人员培训及岗位培训计划及标准的得4分，描述基本完整可行的得</w:t>
            </w:r>
            <w:r>
              <w:rPr>
                <w:rFonts w:hint="eastAsia" w:ascii="宋体" w:hAnsi="宋体" w:eastAsia="宋体" w:cs="宋体"/>
                <w:spacing w:val="-1"/>
                <w:sz w:val="21"/>
                <w:szCs w:val="21"/>
                <w:lang w:val="en-US" w:eastAsia="zh-CN"/>
              </w:rPr>
              <w:t>3</w:t>
            </w:r>
            <w:r>
              <w:rPr>
                <w:rFonts w:ascii="宋体" w:hAnsi="宋体" w:eastAsia="宋体" w:cs="宋体"/>
                <w:spacing w:val="3"/>
                <w:sz w:val="21"/>
                <w:szCs w:val="21"/>
              </w:rPr>
              <w:t>分，针对性欠缺、描述一般的得</w:t>
            </w:r>
            <w:r>
              <w:rPr>
                <w:rFonts w:hint="eastAsia" w:ascii="宋体" w:hAnsi="宋体" w:eastAsia="宋体" w:cs="宋体"/>
                <w:spacing w:val="3"/>
                <w:sz w:val="21"/>
                <w:szCs w:val="21"/>
                <w:lang w:val="en-US" w:eastAsia="zh-CN"/>
              </w:rPr>
              <w:t>2</w:t>
            </w:r>
            <w:r>
              <w:rPr>
                <w:rFonts w:ascii="宋体" w:hAnsi="宋体" w:eastAsia="宋体" w:cs="宋体"/>
                <w:spacing w:val="3"/>
                <w:sz w:val="21"/>
                <w:szCs w:val="21"/>
              </w:rPr>
              <w:t>分，无不</w:t>
            </w:r>
            <w:r>
              <w:rPr>
                <w:rFonts w:ascii="宋体" w:hAnsi="宋体" w:eastAsia="宋体" w:cs="宋体"/>
                <w:spacing w:val="-7"/>
                <w:sz w:val="21"/>
                <w:szCs w:val="21"/>
              </w:rPr>
              <w:t>得分。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4</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培训计划及标准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2.8</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8"/>
                <w:sz w:val="21"/>
                <w:szCs w:val="21"/>
              </w:rPr>
              <w:t>应急预案：针对本项目制定详细的应急事件处</w:t>
            </w:r>
            <w:r>
              <w:rPr>
                <w:rFonts w:ascii="宋体" w:hAnsi="宋体" w:eastAsia="宋体" w:cs="宋体"/>
                <w:spacing w:val="14"/>
                <w:sz w:val="21"/>
                <w:szCs w:val="21"/>
              </w:rPr>
              <w:t>理预案(包括不限于疫情防控、消防管控、意</w:t>
            </w:r>
            <w:r>
              <w:rPr>
                <w:rFonts w:ascii="宋体" w:hAnsi="宋体" w:eastAsia="宋体" w:cs="宋体"/>
                <w:spacing w:val="11"/>
                <w:sz w:val="21"/>
                <w:szCs w:val="21"/>
              </w:rPr>
              <w:t>外情况、安全管控或特殊情况下的管理预案),</w:t>
            </w:r>
            <w:r>
              <w:rPr>
                <w:rFonts w:ascii="宋体" w:hAnsi="宋体" w:eastAsia="宋体" w:cs="宋体"/>
                <w:spacing w:val="14"/>
                <w:sz w:val="21"/>
                <w:szCs w:val="21"/>
              </w:rPr>
              <w:t>各项描述齐全的得</w:t>
            </w:r>
            <w:r>
              <w:rPr>
                <w:rFonts w:hint="eastAsia" w:ascii="宋体" w:hAnsi="宋体" w:eastAsia="宋体" w:cs="宋体"/>
                <w:spacing w:val="14"/>
                <w:sz w:val="21"/>
                <w:szCs w:val="21"/>
                <w:lang w:val="en-US" w:eastAsia="zh-CN"/>
              </w:rPr>
              <w:t>5</w:t>
            </w:r>
            <w:r>
              <w:rPr>
                <w:rFonts w:ascii="宋体" w:hAnsi="宋体" w:eastAsia="宋体" w:cs="宋体"/>
                <w:spacing w:val="14"/>
                <w:sz w:val="21"/>
                <w:szCs w:val="21"/>
              </w:rPr>
              <w:t>分，描述基本完整可行的</w:t>
            </w:r>
            <w:r>
              <w:rPr>
                <w:rFonts w:ascii="宋体" w:hAnsi="宋体" w:eastAsia="宋体" w:cs="宋体"/>
                <w:spacing w:val="12"/>
                <w:sz w:val="21"/>
                <w:szCs w:val="21"/>
              </w:rPr>
              <w:t>得</w:t>
            </w:r>
            <w:r>
              <w:rPr>
                <w:rFonts w:hint="eastAsia" w:ascii="宋体" w:hAnsi="宋体" w:eastAsia="宋体" w:cs="宋体"/>
                <w:spacing w:val="12"/>
                <w:sz w:val="21"/>
                <w:szCs w:val="21"/>
                <w:lang w:val="en-US" w:eastAsia="zh-CN"/>
              </w:rPr>
              <w:t>3</w:t>
            </w:r>
            <w:r>
              <w:rPr>
                <w:rFonts w:ascii="宋体" w:hAnsi="宋体" w:eastAsia="宋体" w:cs="宋体"/>
                <w:spacing w:val="12"/>
                <w:sz w:val="21"/>
                <w:szCs w:val="21"/>
              </w:rPr>
              <w:t>分，针对性欠缺、描述一般的得</w:t>
            </w:r>
            <w:r>
              <w:rPr>
                <w:rFonts w:hint="eastAsia" w:ascii="宋体" w:hAnsi="宋体" w:eastAsia="宋体" w:cs="宋体"/>
                <w:spacing w:val="12"/>
                <w:sz w:val="21"/>
                <w:szCs w:val="21"/>
                <w:lang w:val="en-US" w:eastAsia="zh-CN"/>
              </w:rPr>
              <w:t>2</w:t>
            </w:r>
            <w:r>
              <w:rPr>
                <w:rFonts w:ascii="宋体" w:hAnsi="宋体" w:eastAsia="宋体" w:cs="宋体"/>
                <w:spacing w:val="12"/>
                <w:sz w:val="21"/>
                <w:szCs w:val="21"/>
              </w:rPr>
              <w:t>分，</w:t>
            </w:r>
            <w:r>
              <w:rPr>
                <w:rFonts w:ascii="宋体" w:hAnsi="宋体" w:eastAsia="宋体" w:cs="宋体"/>
                <w:spacing w:val="28"/>
                <w:sz w:val="21"/>
                <w:szCs w:val="21"/>
              </w:rPr>
              <w:t>无不得分。</w:t>
            </w:r>
          </w:p>
        </w:tc>
        <w:tc>
          <w:tcPr>
            <w:tcW w:w="900" w:type="dxa"/>
            <w:vAlign w:val="center"/>
          </w:tcPr>
          <w:p>
            <w:pPr>
              <w:autoSpaceDE w:val="0"/>
              <w:autoSpaceDN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482"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2"/>
                <w:sz w:val="21"/>
                <w:szCs w:val="21"/>
              </w:rPr>
              <w:t>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pacing w:val="-3"/>
                <w:sz w:val="21"/>
                <w:szCs w:val="21"/>
              </w:rPr>
            </w:pPr>
            <w:r>
              <w:rPr>
                <w:rFonts w:hint="eastAsia" w:ascii="宋体" w:hAnsi="宋体" w:eastAsia="宋体" w:cs="宋体"/>
                <w:spacing w:val="-3"/>
                <w:sz w:val="21"/>
                <w:szCs w:val="21"/>
              </w:rPr>
              <w:t>2</w:t>
            </w:r>
            <w:r>
              <w:rPr>
                <w:rFonts w:ascii="宋体" w:hAnsi="宋体" w:eastAsia="宋体" w:cs="宋体"/>
                <w:spacing w:val="-3"/>
                <w:sz w:val="21"/>
                <w:szCs w:val="21"/>
              </w:rPr>
              <w:t>.9</w:t>
            </w:r>
          </w:p>
        </w:tc>
        <w:tc>
          <w:tcPr>
            <w:tcW w:w="5168" w:type="dxa"/>
            <w:vAlign w:val="center"/>
          </w:tcPr>
          <w:p>
            <w:pPr>
              <w:autoSpaceDE w:val="0"/>
              <w:autoSpaceDN w:val="0"/>
              <w:spacing w:line="360" w:lineRule="auto"/>
              <w:jc w:val="both"/>
              <w:rPr>
                <w:rFonts w:ascii="宋体" w:hAnsi="宋体" w:eastAsia="宋体" w:cs="宋体"/>
                <w:spacing w:val="8"/>
                <w:sz w:val="21"/>
                <w:szCs w:val="21"/>
              </w:rPr>
            </w:pPr>
            <w:r>
              <w:rPr>
                <w:rFonts w:hint="eastAsia" w:ascii="宋体" w:hAnsi="宋体" w:eastAsia="宋体" w:cs="宋体"/>
                <w:spacing w:val="8"/>
                <w:sz w:val="21"/>
                <w:szCs w:val="21"/>
              </w:rPr>
              <w:t>进撤场和特色服务：针对本项目进场、撤场交接方案，特色服务方案等需分别体现，描述齐全、合理可行的得</w:t>
            </w: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rPr>
              <w:t>分，描述基本完整可行的得</w:t>
            </w:r>
            <w:r>
              <w:rPr>
                <w:rFonts w:hint="eastAsia" w:ascii="宋体" w:hAnsi="宋体" w:eastAsia="宋体" w:cs="宋体"/>
                <w:spacing w:val="8"/>
                <w:sz w:val="21"/>
                <w:szCs w:val="21"/>
                <w:lang w:val="en-US" w:eastAsia="zh-CN"/>
              </w:rPr>
              <w:t>4</w:t>
            </w:r>
            <w:r>
              <w:rPr>
                <w:rFonts w:hint="eastAsia" w:ascii="宋体" w:hAnsi="宋体" w:eastAsia="宋体" w:cs="宋体"/>
                <w:spacing w:val="8"/>
                <w:sz w:val="21"/>
                <w:szCs w:val="21"/>
              </w:rPr>
              <w:t>分，针对性欠缺、描述一般的得</w:t>
            </w:r>
            <w:r>
              <w:rPr>
                <w:rFonts w:ascii="宋体" w:hAnsi="宋体" w:eastAsia="宋体" w:cs="宋体"/>
                <w:spacing w:val="8"/>
                <w:sz w:val="21"/>
                <w:szCs w:val="21"/>
              </w:rPr>
              <w:t>2</w:t>
            </w:r>
            <w:r>
              <w:rPr>
                <w:rFonts w:hint="eastAsia" w:ascii="宋体" w:hAnsi="宋体" w:eastAsia="宋体" w:cs="宋体"/>
                <w:spacing w:val="8"/>
                <w:sz w:val="21"/>
                <w:szCs w:val="21"/>
              </w:rPr>
              <w:t>分，无不得分。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6</w:t>
            </w:r>
          </w:p>
        </w:tc>
        <w:tc>
          <w:tcPr>
            <w:tcW w:w="2482" w:type="dxa"/>
            <w:vAlign w:val="center"/>
          </w:tcPr>
          <w:p>
            <w:pPr>
              <w:autoSpaceDE w:val="0"/>
              <w:autoSpaceDN w:val="0"/>
              <w:spacing w:line="360" w:lineRule="auto"/>
              <w:jc w:val="center"/>
              <w:rPr>
                <w:rFonts w:ascii="宋体" w:hAnsi="宋体" w:eastAsia="宋体" w:cs="宋体"/>
                <w:spacing w:val="-2"/>
                <w:sz w:val="21"/>
                <w:szCs w:val="21"/>
              </w:rPr>
            </w:pPr>
            <w:r>
              <w:rPr>
                <w:rFonts w:hint="eastAsia" w:ascii="宋体" w:hAnsi="宋体" w:eastAsia="宋体" w:cs="宋体"/>
                <w:spacing w:val="8"/>
                <w:sz w:val="21"/>
                <w:szCs w:val="21"/>
              </w:rPr>
              <w:t>进撤场和特色服务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541" w:type="dxa"/>
            <w:gridSpan w:val="4"/>
          </w:tcPr>
          <w:p>
            <w:pPr>
              <w:autoSpaceDE w:val="0"/>
              <w:autoSpaceDN w:val="0"/>
              <w:spacing w:line="360" w:lineRule="auto"/>
              <w:jc w:val="center"/>
              <w:rPr>
                <w:rFonts w:hint="eastAsia" w:ascii="宋体" w:hAnsi="宋体" w:eastAsia="宋体" w:cs="宋体"/>
                <w:sz w:val="21"/>
                <w:szCs w:val="21"/>
                <w:lang w:val="en-US" w:eastAsia="zh-CN"/>
              </w:rPr>
            </w:pPr>
            <w:r>
              <w:rPr>
                <w:rFonts w:ascii="宋体" w:hAnsi="宋体" w:eastAsia="宋体" w:cs="宋体"/>
                <w:spacing w:val="-3"/>
                <w:sz w:val="21"/>
                <w:szCs w:val="21"/>
              </w:rPr>
              <w:t>客观分</w:t>
            </w:r>
            <w:r>
              <w:rPr>
                <w:rFonts w:hint="eastAsia" w:ascii="宋体" w:hAnsi="宋体" w:eastAsia="宋体" w:cs="宋体"/>
                <w:spacing w:val="-3"/>
                <w:sz w:val="21"/>
                <w:szCs w:val="21"/>
              </w:rPr>
              <w:t>：3</w:t>
            </w:r>
            <w:r>
              <w:rPr>
                <w:rFonts w:hint="eastAsia" w:ascii="宋体" w:hAnsi="宋体" w:eastAsia="宋体" w:cs="宋体"/>
                <w:spacing w:val="-3"/>
                <w:sz w:val="21"/>
                <w:szCs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3.1</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体系认证：投标人具备有效期内的质量管理体</w:t>
            </w:r>
            <w:r>
              <w:rPr>
                <w:rFonts w:ascii="宋体" w:hAnsi="宋体" w:eastAsia="宋体" w:cs="宋体"/>
                <w:sz w:val="21"/>
                <w:szCs w:val="21"/>
              </w:rPr>
              <w:t>系认证、环境管理体系认证、职业健康安全管</w:t>
            </w:r>
            <w:r>
              <w:rPr>
                <w:rFonts w:ascii="宋体" w:hAnsi="宋体" w:eastAsia="宋体" w:cs="宋体"/>
                <w:spacing w:val="9"/>
                <w:sz w:val="21"/>
                <w:szCs w:val="21"/>
              </w:rPr>
              <w:t>理体系认证</w:t>
            </w:r>
            <w:r>
              <w:rPr>
                <w:rFonts w:hint="eastAsia" w:ascii="宋体" w:hAnsi="宋体" w:eastAsia="宋体" w:cs="宋体"/>
                <w:spacing w:val="9"/>
                <w:sz w:val="21"/>
                <w:szCs w:val="21"/>
              </w:rPr>
              <w:t>、售后服务体系认证</w:t>
            </w:r>
            <w:r>
              <w:rPr>
                <w:rFonts w:ascii="宋体" w:hAnsi="宋体" w:eastAsia="宋体" w:cs="宋体"/>
                <w:spacing w:val="9"/>
                <w:sz w:val="21"/>
                <w:szCs w:val="21"/>
              </w:rPr>
              <w:t>。有一项得2分，最高得</w:t>
            </w:r>
            <w:r>
              <w:rPr>
                <w:rFonts w:hint="eastAsia" w:ascii="宋体" w:hAnsi="宋体" w:eastAsia="宋体" w:cs="宋体"/>
                <w:spacing w:val="9"/>
                <w:sz w:val="21"/>
                <w:szCs w:val="21"/>
              </w:rPr>
              <w:t>8</w:t>
            </w:r>
            <w:r>
              <w:rPr>
                <w:rFonts w:ascii="宋体" w:hAnsi="宋体" w:eastAsia="宋体" w:cs="宋体"/>
                <w:spacing w:val="9"/>
                <w:sz w:val="21"/>
                <w:szCs w:val="21"/>
              </w:rPr>
              <w:t>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hint="eastAsia" w:ascii="宋体" w:hAnsi="宋体" w:eastAsia="宋体" w:cs="宋体"/>
                <w:sz w:val="21"/>
                <w:szCs w:val="21"/>
              </w:rPr>
              <w:t>8</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提供证书复印件加盖公</w:t>
            </w:r>
            <w:r>
              <w:rPr>
                <w:rFonts w:ascii="宋体" w:hAnsi="宋体" w:eastAsia="宋体" w:cs="宋体"/>
                <w:sz w:val="21"/>
                <w:szCs w:val="21"/>
              </w:rPr>
              <w:t>章，证书须在国家认监</w:t>
            </w:r>
            <w:r>
              <w:rPr>
                <w:rFonts w:ascii="宋体" w:hAnsi="宋体" w:eastAsia="宋体" w:cs="宋体"/>
                <w:spacing w:val="-1"/>
                <w:sz w:val="21"/>
                <w:szCs w:val="21"/>
              </w:rPr>
              <w:t>委官网查询状态为有效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3.2</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8"/>
                <w:sz w:val="21"/>
                <w:szCs w:val="21"/>
              </w:rPr>
              <w:t>业绩：投标人自2019年1月1日以来(以合</w:t>
            </w:r>
            <w:r>
              <w:rPr>
                <w:rFonts w:ascii="宋体" w:hAnsi="宋体" w:eastAsia="宋体" w:cs="宋体"/>
                <w:spacing w:val="3"/>
                <w:sz w:val="21"/>
                <w:szCs w:val="21"/>
              </w:rPr>
              <w:t>同签订时间为准)具有在管住宅物业服务项目</w:t>
            </w:r>
            <w:r>
              <w:rPr>
                <w:rFonts w:ascii="宋体" w:hAnsi="宋体" w:eastAsia="宋体" w:cs="宋体"/>
                <w:spacing w:val="11"/>
                <w:sz w:val="21"/>
                <w:szCs w:val="21"/>
              </w:rPr>
              <w:t>业绩，有一个得</w:t>
            </w:r>
            <w:r>
              <w:rPr>
                <w:rFonts w:hint="eastAsia" w:ascii="宋体" w:hAnsi="宋体" w:eastAsia="宋体" w:cs="宋体"/>
                <w:spacing w:val="11"/>
                <w:sz w:val="21"/>
                <w:szCs w:val="21"/>
              </w:rPr>
              <w:t>2</w:t>
            </w:r>
            <w:r>
              <w:rPr>
                <w:rFonts w:ascii="宋体" w:hAnsi="宋体" w:eastAsia="宋体" w:cs="宋体"/>
                <w:spacing w:val="11"/>
                <w:sz w:val="21"/>
                <w:szCs w:val="21"/>
              </w:rPr>
              <w:t>分，最高得</w:t>
            </w:r>
            <w:r>
              <w:rPr>
                <w:rFonts w:hint="eastAsia" w:ascii="宋体" w:hAnsi="宋体" w:eastAsia="宋体" w:cs="宋体"/>
                <w:spacing w:val="11"/>
                <w:sz w:val="21"/>
                <w:szCs w:val="21"/>
              </w:rPr>
              <w:t>8</w:t>
            </w:r>
            <w:r>
              <w:rPr>
                <w:rFonts w:ascii="宋体" w:hAnsi="宋体" w:eastAsia="宋体" w:cs="宋体"/>
                <w:spacing w:val="11"/>
                <w:sz w:val="21"/>
                <w:szCs w:val="21"/>
              </w:rPr>
              <w:t>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hint="eastAsia" w:ascii="宋体" w:hAnsi="宋体" w:eastAsia="宋体" w:cs="宋体"/>
                <w:spacing w:val="-6"/>
                <w:sz w:val="21"/>
                <w:szCs w:val="21"/>
              </w:rPr>
              <w:t>8</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0"/>
                <w:sz w:val="21"/>
                <w:szCs w:val="21"/>
              </w:rPr>
              <w:t>提供合同复印件。注：</w:t>
            </w:r>
            <w:r>
              <w:rPr>
                <w:rFonts w:ascii="宋体" w:hAnsi="宋体" w:eastAsia="宋体" w:cs="宋体"/>
                <w:spacing w:val="3"/>
                <w:sz w:val="21"/>
                <w:szCs w:val="21"/>
              </w:rPr>
              <w:t>1.以物业、保安、保洁</w:t>
            </w:r>
            <w:r>
              <w:rPr>
                <w:rFonts w:ascii="宋体" w:hAnsi="宋体" w:eastAsia="宋体" w:cs="宋体"/>
                <w:spacing w:val="4"/>
                <w:sz w:val="21"/>
                <w:szCs w:val="21"/>
              </w:rPr>
              <w:t>等非使用主体为甲方的</w:t>
            </w:r>
            <w:r>
              <w:rPr>
                <w:rFonts w:ascii="宋体" w:hAnsi="宋体" w:eastAsia="宋体" w:cs="宋体"/>
                <w:spacing w:val="8"/>
                <w:sz w:val="21"/>
                <w:szCs w:val="21"/>
              </w:rPr>
              <w:t>分包合同不予认可。2.</w:t>
            </w:r>
            <w:r>
              <w:rPr>
                <w:rFonts w:ascii="宋体" w:hAnsi="宋体" w:eastAsia="宋体" w:cs="宋体"/>
                <w:spacing w:val="13"/>
                <w:sz w:val="21"/>
                <w:szCs w:val="21"/>
              </w:rPr>
              <w:t>不能体现住宅小区的，</w:t>
            </w:r>
            <w:r>
              <w:rPr>
                <w:rFonts w:ascii="宋体" w:hAnsi="宋体" w:eastAsia="宋体" w:cs="宋体"/>
                <w:spacing w:val="4"/>
                <w:sz w:val="21"/>
                <w:szCs w:val="21"/>
              </w:rPr>
              <w:t>则当由原委托单位出具</w:t>
            </w:r>
            <w:r>
              <w:rPr>
                <w:rFonts w:ascii="宋体" w:hAnsi="宋体" w:eastAsia="宋体" w:cs="宋体"/>
                <w:spacing w:val="2"/>
                <w:sz w:val="21"/>
                <w:szCs w:val="21"/>
              </w:rPr>
              <w:t>证明。3.同一业主单位</w:t>
            </w:r>
            <w:r>
              <w:rPr>
                <w:rFonts w:ascii="宋体" w:hAnsi="宋体" w:eastAsia="宋体" w:cs="宋体"/>
                <w:spacing w:val="3"/>
                <w:sz w:val="21"/>
                <w:szCs w:val="21"/>
              </w:rPr>
              <w:t>同一项目不同年度的业</w:t>
            </w:r>
            <w:r>
              <w:rPr>
                <w:rFonts w:ascii="宋体" w:hAnsi="宋体" w:eastAsia="宋体" w:cs="宋体"/>
                <w:spacing w:val="14"/>
                <w:sz w:val="21"/>
                <w:szCs w:val="21"/>
              </w:rPr>
              <w:t>绩不重复计分。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3.3</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3"/>
                <w:sz w:val="21"/>
                <w:szCs w:val="21"/>
              </w:rPr>
              <w:t>企业荣誉：投标人自2019年1月1日以来(以</w:t>
            </w:r>
            <w:r>
              <w:rPr>
                <w:rFonts w:ascii="宋体" w:hAnsi="宋体" w:eastAsia="宋体" w:cs="宋体"/>
                <w:spacing w:val="4"/>
                <w:sz w:val="21"/>
                <w:szCs w:val="21"/>
              </w:rPr>
              <w:t>政府颁发文件的日期为准)获</w:t>
            </w:r>
            <w:r>
              <w:rPr>
                <w:rFonts w:hint="eastAsia" w:ascii="宋体" w:hAnsi="宋体" w:eastAsia="宋体" w:cs="宋体"/>
                <w:spacing w:val="4"/>
                <w:sz w:val="21"/>
                <w:szCs w:val="21"/>
              </w:rPr>
              <w:t>得行业主管部门或行政</w:t>
            </w:r>
            <w:r>
              <w:rPr>
                <w:rFonts w:ascii="宋体" w:hAnsi="宋体" w:eastAsia="宋体" w:cs="宋体"/>
                <w:spacing w:val="4"/>
                <w:sz w:val="21"/>
                <w:szCs w:val="21"/>
              </w:rPr>
              <w:t>机关颁发</w:t>
            </w:r>
            <w:r>
              <w:rPr>
                <w:rFonts w:ascii="宋体" w:hAnsi="宋体" w:eastAsia="宋体" w:cs="宋体"/>
                <w:spacing w:val="11"/>
                <w:sz w:val="21"/>
                <w:szCs w:val="21"/>
              </w:rPr>
              <w:t>的荣誉每有一个得1分，最高得3分。</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3</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提供获奖证明复印件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pacing w:val="-3"/>
                <w:sz w:val="21"/>
                <w:szCs w:val="21"/>
              </w:rPr>
            </w:pPr>
            <w:r>
              <w:rPr>
                <w:rFonts w:hint="eastAsia" w:ascii="宋体" w:hAnsi="宋体" w:eastAsia="宋体" w:cs="宋体"/>
                <w:spacing w:val="-3"/>
                <w:sz w:val="21"/>
                <w:szCs w:val="21"/>
              </w:rPr>
              <w:t>3.4</w:t>
            </w:r>
          </w:p>
        </w:tc>
        <w:tc>
          <w:tcPr>
            <w:tcW w:w="5168" w:type="dxa"/>
            <w:vAlign w:val="center"/>
          </w:tcPr>
          <w:p>
            <w:pPr>
              <w:autoSpaceDE w:val="0"/>
              <w:autoSpaceDN w:val="0"/>
              <w:spacing w:line="360" w:lineRule="auto"/>
              <w:rPr>
                <w:rFonts w:ascii="宋体" w:hAnsi="宋体" w:eastAsia="宋体" w:cs="宋体"/>
                <w:spacing w:val="13"/>
                <w:sz w:val="21"/>
                <w:szCs w:val="21"/>
              </w:rPr>
            </w:pPr>
            <w:r>
              <w:rPr>
                <w:rFonts w:hint="eastAsia" w:ascii="宋体" w:hAnsi="宋体" w:eastAsia="宋体" w:cs="宋体"/>
                <w:spacing w:val="13"/>
                <w:sz w:val="21"/>
                <w:szCs w:val="21"/>
              </w:rPr>
              <w:t>企业信用：</w:t>
            </w:r>
            <w:r>
              <w:rPr>
                <w:rFonts w:hint="eastAsia" w:ascii="宋体" w:hAnsi="宋体" w:eastAsia="宋体" w:cs="宋体"/>
                <w:sz w:val="21"/>
                <w:szCs w:val="21"/>
                <w:lang w:bidi="ar"/>
              </w:rPr>
              <w:t>提供经中国人民银行备案的第三方征信机构出具的投标人信用报告，信用等级为AAA级的得</w:t>
            </w: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分，A</w:t>
            </w:r>
            <w:r>
              <w:rPr>
                <w:rFonts w:ascii="宋体" w:hAnsi="宋体" w:eastAsia="宋体" w:cs="宋体"/>
                <w:sz w:val="21"/>
                <w:szCs w:val="21"/>
                <w:lang w:bidi="ar"/>
              </w:rPr>
              <w:t>A</w:t>
            </w:r>
            <w:r>
              <w:rPr>
                <w:rFonts w:hint="eastAsia" w:ascii="宋体" w:hAnsi="宋体" w:eastAsia="宋体" w:cs="宋体"/>
                <w:sz w:val="21"/>
                <w:szCs w:val="21"/>
                <w:lang w:bidi="ar"/>
              </w:rPr>
              <w:t>级的得</w:t>
            </w: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分，A</w:t>
            </w:r>
            <w:r>
              <w:rPr>
                <w:rFonts w:hint="eastAsia" w:ascii="宋体" w:hAnsi="宋体" w:eastAsia="宋体" w:cs="宋体"/>
                <w:sz w:val="21"/>
                <w:szCs w:val="21"/>
                <w:lang w:val="en-US" w:eastAsia="zh-CN" w:bidi="ar"/>
              </w:rPr>
              <w:t>级的得1分。</w:t>
            </w:r>
            <w:r>
              <w:rPr>
                <w:rFonts w:ascii="宋体" w:hAnsi="宋体" w:eastAsia="宋体" w:cs="宋体"/>
                <w:spacing w:val="11"/>
                <w:sz w:val="21"/>
                <w:szCs w:val="21"/>
              </w:rPr>
              <w:t>最高得</w:t>
            </w:r>
            <w:r>
              <w:rPr>
                <w:rFonts w:hint="eastAsia" w:ascii="宋体" w:hAnsi="宋体" w:eastAsia="宋体" w:cs="宋体"/>
                <w:spacing w:val="11"/>
                <w:sz w:val="21"/>
                <w:szCs w:val="21"/>
                <w:lang w:val="en-US" w:eastAsia="zh-CN"/>
              </w:rPr>
              <w:t>3</w:t>
            </w:r>
            <w:r>
              <w:rPr>
                <w:rFonts w:ascii="宋体" w:hAnsi="宋体" w:eastAsia="宋体" w:cs="宋体"/>
                <w:spacing w:val="11"/>
                <w:sz w:val="21"/>
                <w:szCs w:val="21"/>
              </w:rPr>
              <w:t>分。</w:t>
            </w:r>
          </w:p>
        </w:tc>
        <w:tc>
          <w:tcPr>
            <w:tcW w:w="900" w:type="dxa"/>
            <w:vAlign w:val="center"/>
          </w:tcPr>
          <w:p>
            <w:pPr>
              <w:autoSpaceDE w:val="0"/>
              <w:autoSpaceDN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2482" w:type="dxa"/>
            <w:vAlign w:val="center"/>
          </w:tcPr>
          <w:p>
            <w:pPr>
              <w:autoSpaceDE w:val="0"/>
              <w:autoSpaceDN w:val="0"/>
              <w:spacing w:line="360" w:lineRule="auto"/>
              <w:jc w:val="both"/>
              <w:rPr>
                <w:rFonts w:ascii="宋体" w:hAnsi="宋体" w:eastAsia="宋体" w:cs="宋体"/>
                <w:spacing w:val="-1"/>
                <w:sz w:val="21"/>
                <w:szCs w:val="21"/>
              </w:rPr>
            </w:pPr>
            <w:r>
              <w:rPr>
                <w:rFonts w:hint="eastAsia" w:ascii="宋体" w:hAnsi="宋体" w:eastAsia="宋体" w:cs="宋体"/>
                <w:sz w:val="21"/>
                <w:szCs w:val="21"/>
                <w:lang w:bidi="ar"/>
              </w:rPr>
              <w:t>注：以上所述的“第三方征信机构”是指符合《征信业管理条例》要求的经营企业征信业务的征信机构，在投标文件中需附第三方征信机构在人民银行省级分支行完成企业征信机构备案的网址和截图，否则，评委会不予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3.5</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22"/>
                <w:sz w:val="21"/>
                <w:szCs w:val="21"/>
              </w:rPr>
              <w:t>项目负责人年龄4</w:t>
            </w:r>
            <w:r>
              <w:rPr>
                <w:rFonts w:hint="eastAsia" w:ascii="宋体" w:hAnsi="宋体" w:eastAsia="宋体" w:cs="宋体"/>
                <w:spacing w:val="22"/>
                <w:sz w:val="21"/>
                <w:szCs w:val="21"/>
              </w:rPr>
              <w:t>5</w:t>
            </w:r>
            <w:r>
              <w:rPr>
                <w:rFonts w:ascii="宋体" w:hAnsi="宋体" w:eastAsia="宋体" w:cs="宋体"/>
                <w:spacing w:val="22"/>
                <w:sz w:val="21"/>
                <w:szCs w:val="21"/>
              </w:rPr>
              <w:t>周岁(含)以下：(1)有</w:t>
            </w:r>
            <w:r>
              <w:rPr>
                <w:rFonts w:ascii="宋体" w:hAnsi="宋体" w:eastAsia="宋体" w:cs="宋体"/>
                <w:spacing w:val="16"/>
                <w:sz w:val="21"/>
                <w:szCs w:val="21"/>
              </w:rPr>
              <w:t>全日制本科及以上学历的得</w:t>
            </w:r>
            <w:r>
              <w:rPr>
                <w:rFonts w:hint="eastAsia" w:ascii="宋体" w:hAnsi="宋体" w:eastAsia="宋体" w:cs="宋体"/>
                <w:spacing w:val="16"/>
                <w:sz w:val="21"/>
                <w:szCs w:val="21"/>
              </w:rPr>
              <w:t>1</w:t>
            </w:r>
            <w:r>
              <w:rPr>
                <w:rFonts w:ascii="宋体" w:hAnsi="宋体" w:eastAsia="宋体" w:cs="宋体"/>
                <w:spacing w:val="16"/>
                <w:sz w:val="21"/>
                <w:szCs w:val="21"/>
              </w:rPr>
              <w:t>分；(2)具有</w:t>
            </w:r>
            <w:r>
              <w:rPr>
                <w:rFonts w:ascii="宋体" w:hAnsi="宋体" w:eastAsia="宋体" w:cs="宋体"/>
                <w:spacing w:val="7"/>
                <w:sz w:val="21"/>
                <w:szCs w:val="21"/>
              </w:rPr>
              <w:t>物业经理类证书的得</w:t>
            </w:r>
            <w:r>
              <w:rPr>
                <w:rFonts w:hint="eastAsia" w:ascii="宋体" w:hAnsi="宋体" w:eastAsia="宋体" w:cs="宋体"/>
                <w:spacing w:val="7"/>
                <w:sz w:val="21"/>
                <w:szCs w:val="21"/>
              </w:rPr>
              <w:t>1</w:t>
            </w:r>
            <w:r>
              <w:rPr>
                <w:rFonts w:ascii="宋体" w:hAnsi="宋体" w:eastAsia="宋体" w:cs="宋体"/>
                <w:spacing w:val="7"/>
                <w:sz w:val="21"/>
                <w:szCs w:val="21"/>
              </w:rPr>
              <w:t>分，</w:t>
            </w:r>
            <w:r>
              <w:rPr>
                <w:rFonts w:ascii="宋体" w:hAnsi="宋体" w:eastAsia="宋体" w:cs="宋体"/>
                <w:spacing w:val="-5"/>
                <w:sz w:val="21"/>
                <w:szCs w:val="21"/>
              </w:rPr>
              <w:t>(</w:t>
            </w:r>
            <w:r>
              <w:rPr>
                <w:rFonts w:hint="eastAsia" w:ascii="宋体" w:hAnsi="宋体" w:eastAsia="宋体" w:cs="宋体"/>
                <w:spacing w:val="-5"/>
                <w:sz w:val="21"/>
                <w:szCs w:val="21"/>
              </w:rPr>
              <w:t>3</w:t>
            </w:r>
            <w:r>
              <w:rPr>
                <w:rFonts w:ascii="宋体" w:hAnsi="宋体" w:eastAsia="宋体" w:cs="宋体"/>
                <w:spacing w:val="-5"/>
                <w:sz w:val="21"/>
                <w:szCs w:val="21"/>
              </w:rPr>
              <w:t>)具有特种设</w:t>
            </w:r>
            <w:r>
              <w:rPr>
                <w:rFonts w:ascii="宋体" w:hAnsi="宋体" w:eastAsia="宋体" w:cs="宋体"/>
                <w:spacing w:val="16"/>
                <w:sz w:val="21"/>
                <w:szCs w:val="21"/>
              </w:rPr>
              <w:t>备安全管理人员证书的得1分</w:t>
            </w:r>
            <w:r>
              <w:rPr>
                <w:rFonts w:hint="eastAsia" w:ascii="宋体" w:hAnsi="宋体" w:eastAsia="宋体" w:cs="宋体"/>
                <w:spacing w:val="16"/>
                <w:sz w:val="21"/>
                <w:szCs w:val="21"/>
              </w:rPr>
              <w:t>；</w:t>
            </w:r>
            <w:r>
              <w:rPr>
                <w:rFonts w:ascii="宋体" w:hAnsi="宋体" w:eastAsia="宋体" w:cs="宋体"/>
                <w:spacing w:val="-5"/>
                <w:sz w:val="21"/>
                <w:szCs w:val="21"/>
              </w:rPr>
              <w:t>(</w:t>
            </w:r>
            <w:r>
              <w:rPr>
                <w:rFonts w:hint="eastAsia" w:ascii="宋体" w:hAnsi="宋体" w:eastAsia="宋体" w:cs="宋体"/>
                <w:spacing w:val="-5"/>
                <w:sz w:val="21"/>
                <w:szCs w:val="21"/>
              </w:rPr>
              <w:t>4</w:t>
            </w:r>
            <w:r>
              <w:rPr>
                <w:rFonts w:ascii="宋体" w:hAnsi="宋体" w:eastAsia="宋体" w:cs="宋体"/>
                <w:spacing w:val="-5"/>
                <w:sz w:val="21"/>
                <w:szCs w:val="21"/>
              </w:rPr>
              <w:t>)具有</w:t>
            </w:r>
            <w:r>
              <w:rPr>
                <w:rFonts w:ascii="宋体" w:hAnsi="宋体" w:eastAsia="宋体" w:cs="宋体"/>
                <w:spacing w:val="16"/>
                <w:sz w:val="21"/>
                <w:szCs w:val="21"/>
              </w:rPr>
              <w:t>三级及</w:t>
            </w:r>
            <w:r>
              <w:rPr>
                <w:rFonts w:ascii="宋体" w:hAnsi="宋体" w:eastAsia="宋体" w:cs="宋体"/>
                <w:spacing w:val="9"/>
                <w:sz w:val="21"/>
                <w:szCs w:val="21"/>
              </w:rPr>
              <w:t>以上</w:t>
            </w:r>
            <w:r>
              <w:rPr>
                <w:rFonts w:hint="eastAsia" w:ascii="宋体" w:hAnsi="宋体" w:eastAsia="宋体" w:cs="宋体"/>
                <w:spacing w:val="-5"/>
                <w:sz w:val="21"/>
                <w:szCs w:val="21"/>
              </w:rPr>
              <w:t>智能楼宇管理员证书</w:t>
            </w:r>
            <w:r>
              <w:rPr>
                <w:rFonts w:ascii="宋体" w:hAnsi="宋体" w:eastAsia="宋体" w:cs="宋体"/>
                <w:spacing w:val="16"/>
                <w:sz w:val="21"/>
                <w:szCs w:val="21"/>
              </w:rPr>
              <w:t>的得1分。</w:t>
            </w:r>
            <w:r>
              <w:rPr>
                <w:rFonts w:ascii="宋体" w:hAnsi="宋体" w:eastAsia="宋体" w:cs="宋体"/>
                <w:spacing w:val="11"/>
                <w:sz w:val="21"/>
                <w:szCs w:val="21"/>
              </w:rPr>
              <w:t>最高得</w:t>
            </w:r>
            <w:r>
              <w:rPr>
                <w:rFonts w:hint="eastAsia" w:ascii="宋体" w:hAnsi="宋体" w:eastAsia="宋体" w:cs="宋体"/>
                <w:spacing w:val="11"/>
                <w:sz w:val="21"/>
                <w:szCs w:val="21"/>
              </w:rPr>
              <w:t>4</w:t>
            </w:r>
            <w:r>
              <w:rPr>
                <w:rFonts w:ascii="宋体" w:hAnsi="宋体" w:eastAsia="宋体" w:cs="宋体"/>
                <w:spacing w:val="11"/>
                <w:sz w:val="21"/>
                <w:szCs w:val="21"/>
              </w:rPr>
              <w:t>分</w:t>
            </w:r>
            <w:r>
              <w:rPr>
                <w:rFonts w:ascii="宋体" w:hAnsi="宋体" w:eastAsia="宋体" w:cs="宋体"/>
                <w:spacing w:val="7"/>
                <w:sz w:val="21"/>
                <w:szCs w:val="21"/>
              </w:rPr>
              <w:t>。</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4</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提供身份证、相关证书</w:t>
            </w:r>
            <w:r>
              <w:rPr>
                <w:rFonts w:ascii="宋体" w:hAnsi="宋体" w:eastAsia="宋体" w:cs="宋体"/>
                <w:sz w:val="21"/>
                <w:szCs w:val="21"/>
              </w:rPr>
              <w:t>复印件及投标人近三个</w:t>
            </w:r>
            <w:r>
              <w:rPr>
                <w:rFonts w:ascii="宋体" w:hAnsi="宋体" w:eastAsia="宋体" w:cs="宋体"/>
                <w:spacing w:val="2"/>
                <w:sz w:val="21"/>
                <w:szCs w:val="21"/>
              </w:rPr>
              <w:t>月为其缴纳的社保证明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3.6</w:t>
            </w:r>
          </w:p>
        </w:tc>
        <w:tc>
          <w:tcPr>
            <w:tcW w:w="5168" w:type="dxa"/>
            <w:vAlign w:val="center"/>
          </w:tcPr>
          <w:p>
            <w:pPr>
              <w:autoSpaceDE w:val="0"/>
              <w:autoSpaceDN w:val="0"/>
              <w:spacing w:line="360" w:lineRule="auto"/>
              <w:jc w:val="both"/>
              <w:rPr>
                <w:rFonts w:ascii="宋体" w:hAnsi="宋体" w:eastAsia="宋体" w:cs="宋体"/>
                <w:sz w:val="21"/>
                <w:szCs w:val="21"/>
              </w:rPr>
            </w:pPr>
            <w:r>
              <w:rPr>
                <w:rFonts w:hint="eastAsia" w:ascii="宋体" w:hAnsi="宋体" w:eastAsia="宋体" w:cs="宋体"/>
                <w:spacing w:val="23"/>
                <w:sz w:val="21"/>
                <w:szCs w:val="21"/>
                <w:lang w:val="en-US" w:eastAsia="zh-CN"/>
              </w:rPr>
              <w:t>秩序维护员队长</w:t>
            </w:r>
            <w:r>
              <w:rPr>
                <w:rFonts w:ascii="宋体" w:hAnsi="宋体" w:eastAsia="宋体" w:cs="宋体"/>
                <w:spacing w:val="23"/>
                <w:sz w:val="21"/>
                <w:szCs w:val="21"/>
              </w:rPr>
              <w:t>年龄45周岁(含)以下：(1)具备</w:t>
            </w:r>
            <w:r>
              <w:rPr>
                <w:rFonts w:ascii="宋体" w:hAnsi="宋体" w:eastAsia="宋体" w:cs="宋体"/>
                <w:spacing w:val="16"/>
                <w:sz w:val="21"/>
                <w:szCs w:val="21"/>
              </w:rPr>
              <w:t>专科及以上学历的得</w:t>
            </w:r>
            <w:r>
              <w:rPr>
                <w:rFonts w:hint="eastAsia" w:ascii="宋体" w:hAnsi="宋体" w:eastAsia="宋体" w:cs="宋体"/>
                <w:spacing w:val="16"/>
                <w:sz w:val="21"/>
                <w:szCs w:val="21"/>
              </w:rPr>
              <w:t>1</w:t>
            </w:r>
            <w:r>
              <w:rPr>
                <w:rFonts w:ascii="宋体" w:hAnsi="宋体" w:eastAsia="宋体" w:cs="宋体"/>
                <w:spacing w:val="16"/>
                <w:sz w:val="21"/>
                <w:szCs w:val="21"/>
              </w:rPr>
              <w:t>分；(2)具备三级及</w:t>
            </w:r>
            <w:r>
              <w:rPr>
                <w:rFonts w:ascii="宋体" w:hAnsi="宋体" w:eastAsia="宋体" w:cs="宋体"/>
                <w:spacing w:val="9"/>
                <w:sz w:val="21"/>
                <w:szCs w:val="21"/>
              </w:rPr>
              <w:t>以上保安员证的得2分</w:t>
            </w:r>
            <w:r>
              <w:rPr>
                <w:rFonts w:hint="eastAsia" w:ascii="宋体" w:hAnsi="宋体" w:eastAsia="宋体" w:cs="宋体"/>
                <w:spacing w:val="9"/>
                <w:sz w:val="21"/>
                <w:szCs w:val="21"/>
              </w:rPr>
              <w:t>，</w:t>
            </w:r>
            <w:r>
              <w:rPr>
                <w:rFonts w:ascii="宋体" w:hAnsi="宋体" w:eastAsia="宋体" w:cs="宋体"/>
                <w:spacing w:val="11"/>
                <w:sz w:val="21"/>
                <w:szCs w:val="21"/>
              </w:rPr>
              <w:t>最高得3分</w:t>
            </w:r>
            <w:r>
              <w:rPr>
                <w:rFonts w:ascii="宋体" w:hAnsi="宋体" w:eastAsia="宋体" w:cs="宋体"/>
                <w:spacing w:val="9"/>
                <w:sz w:val="21"/>
                <w:szCs w:val="21"/>
              </w:rPr>
              <w:t>。</w:t>
            </w:r>
          </w:p>
        </w:tc>
        <w:tc>
          <w:tcPr>
            <w:tcW w:w="900" w:type="dxa"/>
            <w:vAlign w:val="center"/>
          </w:tcPr>
          <w:p>
            <w:pPr>
              <w:autoSpaceDE w:val="0"/>
              <w:autoSpaceDN w:val="0"/>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提供身份证、相关证书复印件及投标人近三个</w:t>
            </w:r>
            <w:r>
              <w:rPr>
                <w:rFonts w:ascii="宋体" w:hAnsi="宋体" w:eastAsia="宋体" w:cs="宋体"/>
                <w:spacing w:val="2"/>
                <w:sz w:val="21"/>
                <w:szCs w:val="21"/>
              </w:rPr>
              <w:t>月任意一个月为其缴纳</w:t>
            </w:r>
            <w:r>
              <w:rPr>
                <w:rFonts w:ascii="宋体" w:hAnsi="宋体" w:eastAsia="宋体" w:cs="宋体"/>
                <w:spacing w:val="4"/>
                <w:sz w:val="21"/>
                <w:szCs w:val="21"/>
              </w:rPr>
              <w:t>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3.7</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3"/>
                <w:sz w:val="21"/>
                <w:szCs w:val="21"/>
              </w:rPr>
              <w:t>维修主管年龄50周岁(含)以下：(1)具有</w:t>
            </w:r>
            <w:r>
              <w:rPr>
                <w:rFonts w:ascii="宋体" w:hAnsi="宋体" w:eastAsia="宋体" w:cs="宋体"/>
                <w:spacing w:val="-5"/>
                <w:sz w:val="21"/>
                <w:szCs w:val="21"/>
              </w:rPr>
              <w:t>专科及以上学历的得1分；(2)具有特种设</w:t>
            </w:r>
            <w:r>
              <w:rPr>
                <w:rFonts w:ascii="宋体" w:hAnsi="宋体" w:eastAsia="宋体" w:cs="宋体"/>
                <w:spacing w:val="16"/>
                <w:sz w:val="21"/>
                <w:szCs w:val="21"/>
              </w:rPr>
              <w:t>备安全管理人员证书的得1分。(3)具有高</w:t>
            </w:r>
            <w:r>
              <w:rPr>
                <w:rFonts w:ascii="宋体" w:hAnsi="宋体" w:eastAsia="宋体" w:cs="宋体"/>
                <w:spacing w:val="10"/>
                <w:sz w:val="21"/>
                <w:szCs w:val="21"/>
              </w:rPr>
              <w:t>压</w:t>
            </w:r>
            <w:r>
              <w:rPr>
                <w:rFonts w:hint="eastAsia" w:ascii="宋体" w:hAnsi="宋体" w:eastAsia="宋体" w:cs="宋体"/>
                <w:spacing w:val="10"/>
                <w:sz w:val="21"/>
                <w:szCs w:val="21"/>
              </w:rPr>
              <w:t>和</w:t>
            </w:r>
            <w:r>
              <w:rPr>
                <w:rFonts w:ascii="宋体" w:hAnsi="宋体" w:eastAsia="宋体" w:cs="宋体"/>
                <w:spacing w:val="10"/>
                <w:sz w:val="21"/>
                <w:szCs w:val="21"/>
              </w:rPr>
              <w:t>低压电工证书1分</w:t>
            </w:r>
            <w:r>
              <w:rPr>
                <w:rFonts w:hint="eastAsia" w:ascii="宋体" w:hAnsi="宋体" w:eastAsia="宋体" w:cs="宋体"/>
                <w:spacing w:val="10"/>
                <w:sz w:val="21"/>
                <w:szCs w:val="21"/>
              </w:rPr>
              <w:t>，</w:t>
            </w:r>
            <w:r>
              <w:rPr>
                <w:rFonts w:ascii="宋体" w:hAnsi="宋体" w:eastAsia="宋体" w:cs="宋体"/>
                <w:spacing w:val="11"/>
                <w:sz w:val="21"/>
                <w:szCs w:val="21"/>
              </w:rPr>
              <w:t>最高得3分</w:t>
            </w:r>
            <w:r>
              <w:rPr>
                <w:rFonts w:hint="eastAsia" w:ascii="宋体" w:hAnsi="宋体" w:eastAsia="宋体" w:cs="宋体"/>
                <w:spacing w:val="11"/>
                <w:sz w:val="21"/>
                <w:szCs w:val="21"/>
              </w:rPr>
              <w:t>。</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3</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提供身份证、相关证书</w:t>
            </w:r>
            <w:r>
              <w:rPr>
                <w:rFonts w:ascii="宋体" w:hAnsi="宋体" w:eastAsia="宋体" w:cs="宋体"/>
                <w:spacing w:val="3"/>
                <w:sz w:val="21"/>
                <w:szCs w:val="21"/>
              </w:rPr>
              <w:t>复印件及投标人近三个</w:t>
            </w:r>
            <w:r>
              <w:rPr>
                <w:rFonts w:ascii="宋体" w:hAnsi="宋体" w:eastAsia="宋体" w:cs="宋体"/>
                <w:spacing w:val="4"/>
                <w:sz w:val="21"/>
                <w:szCs w:val="21"/>
              </w:rPr>
              <w:t>月任意一个月为其缴纳的社保证明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91"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pacing w:val="-3"/>
                <w:sz w:val="21"/>
                <w:szCs w:val="21"/>
              </w:rPr>
              <w:t>3.</w:t>
            </w:r>
            <w:r>
              <w:rPr>
                <w:rFonts w:hint="eastAsia" w:ascii="宋体" w:hAnsi="宋体" w:eastAsia="宋体" w:cs="宋体"/>
                <w:spacing w:val="-3"/>
                <w:sz w:val="21"/>
                <w:szCs w:val="21"/>
              </w:rPr>
              <w:t>8</w:t>
            </w:r>
          </w:p>
        </w:tc>
        <w:tc>
          <w:tcPr>
            <w:tcW w:w="5168"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7"/>
                <w:sz w:val="21"/>
                <w:szCs w:val="21"/>
              </w:rPr>
              <w:t>保洁主管年龄50周岁(含)以下：</w:t>
            </w:r>
            <w:r>
              <w:rPr>
                <w:rFonts w:ascii="宋体" w:hAnsi="宋体" w:eastAsia="宋体" w:cs="宋体"/>
                <w:spacing w:val="3"/>
                <w:sz w:val="21"/>
                <w:szCs w:val="21"/>
              </w:rPr>
              <w:t>(1)具有</w:t>
            </w:r>
            <w:r>
              <w:rPr>
                <w:rFonts w:ascii="宋体" w:hAnsi="宋体" w:eastAsia="宋体" w:cs="宋体"/>
                <w:spacing w:val="-5"/>
                <w:sz w:val="21"/>
                <w:szCs w:val="21"/>
              </w:rPr>
              <w:t>专科及以上学历的得</w:t>
            </w:r>
            <w:r>
              <w:rPr>
                <w:rFonts w:hint="eastAsia" w:ascii="宋体" w:hAnsi="宋体" w:eastAsia="宋体" w:cs="宋体"/>
                <w:spacing w:val="-5"/>
                <w:sz w:val="21"/>
                <w:szCs w:val="21"/>
              </w:rPr>
              <w:t>2</w:t>
            </w:r>
            <w:r>
              <w:rPr>
                <w:rFonts w:ascii="宋体" w:hAnsi="宋体" w:eastAsia="宋体" w:cs="宋体"/>
                <w:spacing w:val="-5"/>
                <w:sz w:val="21"/>
                <w:szCs w:val="21"/>
              </w:rPr>
              <w:t>分；(2)</w:t>
            </w:r>
            <w:r>
              <w:rPr>
                <w:rFonts w:ascii="宋体" w:hAnsi="宋体" w:eastAsia="宋体" w:cs="宋体"/>
                <w:spacing w:val="17"/>
                <w:sz w:val="21"/>
                <w:szCs w:val="21"/>
              </w:rPr>
              <w:t>具有</w:t>
            </w:r>
            <w:r>
              <w:rPr>
                <w:rFonts w:hint="eastAsia" w:ascii="宋体" w:hAnsi="宋体" w:eastAsia="宋体" w:cs="宋体"/>
                <w:spacing w:val="17"/>
                <w:sz w:val="21"/>
                <w:szCs w:val="21"/>
              </w:rPr>
              <w:t>垃圾分类工程师（高级）</w:t>
            </w:r>
            <w:r>
              <w:rPr>
                <w:rFonts w:ascii="宋体" w:hAnsi="宋体" w:eastAsia="宋体" w:cs="宋体"/>
                <w:spacing w:val="8"/>
                <w:sz w:val="21"/>
                <w:szCs w:val="21"/>
              </w:rPr>
              <w:t>证书的得</w:t>
            </w:r>
            <w:r>
              <w:rPr>
                <w:rFonts w:hint="eastAsia" w:ascii="宋体" w:hAnsi="宋体" w:eastAsia="宋体" w:cs="宋体"/>
                <w:spacing w:val="8"/>
                <w:sz w:val="21"/>
                <w:szCs w:val="21"/>
              </w:rPr>
              <w:t>1</w:t>
            </w:r>
            <w:r>
              <w:rPr>
                <w:rFonts w:ascii="宋体" w:hAnsi="宋体" w:eastAsia="宋体" w:cs="宋体"/>
                <w:spacing w:val="8"/>
                <w:sz w:val="21"/>
                <w:szCs w:val="21"/>
              </w:rPr>
              <w:t>分</w:t>
            </w:r>
            <w:r>
              <w:rPr>
                <w:rFonts w:hint="eastAsia" w:ascii="宋体" w:hAnsi="宋体" w:eastAsia="宋体" w:cs="宋体"/>
                <w:spacing w:val="8"/>
                <w:sz w:val="21"/>
                <w:szCs w:val="21"/>
              </w:rPr>
              <w:t>，</w:t>
            </w:r>
            <w:r>
              <w:rPr>
                <w:rFonts w:ascii="宋体" w:hAnsi="宋体" w:eastAsia="宋体" w:cs="宋体"/>
                <w:spacing w:val="11"/>
                <w:sz w:val="21"/>
                <w:szCs w:val="21"/>
              </w:rPr>
              <w:t>最高得3分</w:t>
            </w:r>
            <w:r>
              <w:rPr>
                <w:rFonts w:hint="eastAsia" w:ascii="宋体" w:hAnsi="宋体" w:eastAsia="宋体" w:cs="宋体"/>
                <w:spacing w:val="11"/>
                <w:sz w:val="21"/>
                <w:szCs w:val="21"/>
              </w:rPr>
              <w:t>。</w:t>
            </w:r>
          </w:p>
        </w:tc>
        <w:tc>
          <w:tcPr>
            <w:tcW w:w="900" w:type="dxa"/>
            <w:vAlign w:val="center"/>
          </w:tcPr>
          <w:p>
            <w:pPr>
              <w:autoSpaceDE w:val="0"/>
              <w:autoSpaceDN w:val="0"/>
              <w:spacing w:line="360" w:lineRule="auto"/>
              <w:jc w:val="center"/>
              <w:rPr>
                <w:rFonts w:ascii="宋体" w:hAnsi="宋体" w:eastAsia="宋体" w:cs="宋体"/>
                <w:sz w:val="21"/>
                <w:szCs w:val="21"/>
              </w:rPr>
            </w:pPr>
            <w:r>
              <w:rPr>
                <w:rFonts w:ascii="宋体" w:hAnsi="宋体" w:eastAsia="宋体" w:cs="宋体"/>
                <w:sz w:val="21"/>
                <w:szCs w:val="21"/>
              </w:rPr>
              <w:t>3</w:t>
            </w:r>
          </w:p>
        </w:tc>
        <w:tc>
          <w:tcPr>
            <w:tcW w:w="2482" w:type="dxa"/>
            <w:vAlign w:val="center"/>
          </w:tcPr>
          <w:p>
            <w:pPr>
              <w:autoSpaceDE w:val="0"/>
              <w:autoSpaceDN w:val="0"/>
              <w:spacing w:line="360" w:lineRule="auto"/>
              <w:jc w:val="both"/>
              <w:rPr>
                <w:rFonts w:ascii="宋体" w:hAnsi="宋体" w:eastAsia="宋体" w:cs="宋体"/>
                <w:sz w:val="21"/>
                <w:szCs w:val="21"/>
              </w:rPr>
            </w:pPr>
            <w:r>
              <w:rPr>
                <w:rFonts w:ascii="宋体" w:hAnsi="宋体" w:eastAsia="宋体" w:cs="宋体"/>
                <w:spacing w:val="-1"/>
                <w:sz w:val="21"/>
                <w:szCs w:val="21"/>
              </w:rPr>
              <w:t>提供相关证书以及投标</w:t>
            </w:r>
            <w:r>
              <w:rPr>
                <w:rFonts w:ascii="宋体" w:hAnsi="宋体" w:eastAsia="宋体" w:cs="宋体"/>
                <w:spacing w:val="2"/>
                <w:sz w:val="21"/>
                <w:szCs w:val="21"/>
              </w:rPr>
              <w:t>人近三月任意一个月为</w:t>
            </w:r>
            <w:r>
              <w:rPr>
                <w:rFonts w:ascii="宋体" w:hAnsi="宋体" w:eastAsia="宋体" w:cs="宋体"/>
                <w:spacing w:val="4"/>
                <w:sz w:val="21"/>
                <w:szCs w:val="21"/>
              </w:rPr>
              <w:t>其缴纳的社保证明复印</w:t>
            </w:r>
            <w:r>
              <w:rPr>
                <w:rFonts w:ascii="宋体" w:hAnsi="宋体" w:eastAsia="宋体" w:cs="宋体"/>
                <w:spacing w:val="2"/>
                <w:sz w:val="21"/>
                <w:szCs w:val="21"/>
              </w:rPr>
              <w:t>件并加盖公章</w:t>
            </w:r>
          </w:p>
        </w:tc>
      </w:tr>
    </w:tbl>
    <w:p>
      <w:pPr>
        <w:tabs>
          <w:tab w:val="left" w:pos="945"/>
          <w:tab w:val="left" w:pos="1155"/>
        </w:tabs>
        <w:spacing w:line="360" w:lineRule="auto"/>
        <w:ind w:firstLine="566" w:firstLineChars="236"/>
        <w:rPr>
          <w:rFonts w:hint="eastAsia" w:ascii="宋体" w:hAnsi="宋体"/>
          <w:bCs/>
          <w:color w:val="000000" w:themeColor="text1"/>
          <w:sz w:val="24"/>
          <w:szCs w:val="24"/>
          <w14:textFill>
            <w14:solidFill>
              <w14:schemeClr w14:val="tx1"/>
            </w14:solidFill>
          </w14:textFill>
        </w:rPr>
      </w:pPr>
    </w:p>
    <w:p>
      <w:pPr>
        <w:spacing w:line="360" w:lineRule="auto"/>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注： </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1、评分细则中要求提供的证明文件及资料等在响应文件中提供复印件并加盖公章，过时不予接收。</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2、评审时，未能按以上要求提供相应证明的，不作为评分依据，不得分。</w:t>
      </w:r>
    </w:p>
    <w:p>
      <w:pPr>
        <w:spacing w:line="360" w:lineRule="auto"/>
        <w:ind w:firstLine="480" w:firstLineChars="200"/>
        <w:jc w:val="left"/>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3、为便于评分，请供应商按评分表样式，逐条列出证明材料所在页码，格式自定。</w:t>
      </w:r>
    </w:p>
    <w:p>
      <w:pPr>
        <w:widowControl/>
        <w:jc w:val="left"/>
        <w:rPr>
          <w:rFonts w:ascii="宋体" w:hAnsi="宋体"/>
          <w:sz w:val="24"/>
          <w:szCs w:val="24"/>
        </w:rPr>
      </w:pPr>
      <w:r>
        <w:rPr>
          <w:rFonts w:ascii="宋体" w:hAnsi="宋体"/>
          <w:sz w:val="24"/>
          <w:szCs w:val="24"/>
        </w:rPr>
        <w:br w:type="page"/>
      </w:r>
    </w:p>
    <w:p>
      <w:pPr>
        <w:pStyle w:val="122"/>
      </w:pPr>
      <w:bookmarkStart w:id="76" w:name="_Toc55147052"/>
      <w:bookmarkStart w:id="77" w:name="_Toc70403690"/>
      <w:r>
        <w:rPr>
          <w:rFonts w:hint="eastAsia"/>
        </w:rPr>
        <w:t>六．响应文件格式</w:t>
      </w:r>
      <w:bookmarkEnd w:id="76"/>
      <w:bookmarkEnd w:id="77"/>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报</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jc w:val="center"/>
        <w:rPr>
          <w:rFonts w:ascii="黑体" w:eastAsia="黑体"/>
          <w:bCs/>
          <w:color w:val="000000" w:themeColor="text1"/>
          <w:sz w:val="32"/>
          <w14:textFill>
            <w14:solidFill>
              <w14:schemeClr w14:val="tx1"/>
            </w14:solidFill>
          </w14:textFill>
        </w:rPr>
      </w:pPr>
    </w:p>
    <w:p>
      <w:pPr>
        <w:widowControl/>
        <w:jc w:val="center"/>
        <w:rPr>
          <w:rFonts w:ascii="黑体" w:eastAsia="黑体"/>
          <w:bCs/>
          <w:color w:val="000000" w:themeColor="text1"/>
          <w:sz w:val="36"/>
          <w:szCs w:val="36"/>
          <w14:textFill>
            <w14:solidFill>
              <w14:schemeClr w14:val="tx1"/>
            </w14:solidFill>
          </w14:textFill>
        </w:rPr>
      </w:pPr>
      <w:r>
        <w:rPr>
          <w:rFonts w:ascii="黑体" w:eastAsia="黑体"/>
          <w:bCs/>
          <w:color w:val="000000" w:themeColor="text1"/>
          <w:sz w:val="36"/>
          <w:szCs w:val="36"/>
          <w14:textFill>
            <w14:solidFill>
              <w14:schemeClr w14:val="tx1"/>
            </w14:solidFill>
          </w14:textFill>
        </w:rPr>
        <w:br w:type="page"/>
      </w:r>
    </w:p>
    <w:p>
      <w:pPr>
        <w:spacing w:line="360" w:lineRule="auto"/>
        <w:jc w:val="center"/>
        <w:rPr>
          <w:rFonts w:ascii="黑体" w:hAnsi="黑体" w:eastAsia="黑体"/>
          <w:bCs/>
          <w:sz w:val="30"/>
          <w:szCs w:val="30"/>
        </w:rPr>
      </w:pPr>
      <w:bookmarkStart w:id="78" w:name="_Toc55147053"/>
      <w:r>
        <w:rPr>
          <w:rFonts w:hint="eastAsia" w:ascii="黑体" w:hAnsi="黑体" w:eastAsia="黑体"/>
          <w:bCs/>
          <w:sz w:val="30"/>
          <w:szCs w:val="30"/>
        </w:rPr>
        <w:t>响应文件主要目录</w:t>
      </w:r>
    </w:p>
    <w:p>
      <w:pPr>
        <w:spacing w:line="560" w:lineRule="exact"/>
        <w:jc w:val="center"/>
        <w:rPr>
          <w:rFonts w:ascii="宋体" w:hAnsi="宋体"/>
          <w:b/>
          <w:bCs/>
          <w:sz w:val="24"/>
          <w:szCs w:val="24"/>
        </w:rPr>
      </w:pPr>
    </w:p>
    <w:p>
      <w:pPr>
        <w:ind w:firstLine="640" w:firstLineChars="200"/>
        <w:rPr>
          <w:rFonts w:ascii="宋体" w:hAnsi="宋体"/>
          <w:sz w:val="32"/>
          <w:szCs w:val="32"/>
        </w:rPr>
      </w:pPr>
      <w:r>
        <w:rPr>
          <w:rFonts w:hint="eastAsia" w:ascii="宋体" w:hAnsi="宋体"/>
          <w:sz w:val="32"/>
          <w:szCs w:val="32"/>
        </w:rPr>
        <w:t>一、供应商情况说明</w:t>
      </w:r>
    </w:p>
    <w:p>
      <w:pPr>
        <w:ind w:firstLine="640" w:firstLineChars="200"/>
        <w:rPr>
          <w:rFonts w:ascii="宋体" w:hAnsi="宋体"/>
          <w:sz w:val="32"/>
          <w:szCs w:val="32"/>
        </w:rPr>
      </w:pPr>
      <w:r>
        <w:rPr>
          <w:rFonts w:hint="eastAsia" w:ascii="宋体" w:hAnsi="宋体"/>
          <w:sz w:val="32"/>
          <w:szCs w:val="32"/>
        </w:rPr>
        <w:t>二、资格审查响应对照表</w:t>
      </w:r>
    </w:p>
    <w:p>
      <w:pPr>
        <w:ind w:left="480" w:firstLine="160" w:firstLineChars="50"/>
        <w:rPr>
          <w:rFonts w:ascii="宋体" w:hAnsi="宋体"/>
          <w:sz w:val="32"/>
          <w:szCs w:val="32"/>
        </w:rPr>
      </w:pPr>
      <w:r>
        <w:rPr>
          <w:rFonts w:hint="eastAsia" w:ascii="宋体" w:hAnsi="宋体"/>
          <w:sz w:val="32"/>
          <w:szCs w:val="32"/>
        </w:rPr>
        <w:t>三、评分索引表</w:t>
      </w:r>
    </w:p>
    <w:p>
      <w:pPr>
        <w:ind w:firstLine="640" w:firstLineChars="200"/>
        <w:rPr>
          <w:rFonts w:ascii="宋体" w:hAnsi="宋体"/>
          <w:sz w:val="32"/>
          <w:szCs w:val="32"/>
        </w:rPr>
      </w:pPr>
      <w:r>
        <w:rPr>
          <w:rFonts w:hint="eastAsia" w:ascii="宋体" w:hAnsi="宋体"/>
          <w:sz w:val="32"/>
          <w:szCs w:val="32"/>
        </w:rPr>
        <w:t>四、资格证明文件</w:t>
      </w:r>
    </w:p>
    <w:p>
      <w:pPr>
        <w:ind w:firstLine="640" w:firstLineChars="200"/>
        <w:rPr>
          <w:rFonts w:ascii="宋体" w:hAnsi="宋体"/>
          <w:sz w:val="32"/>
          <w:szCs w:val="32"/>
        </w:rPr>
      </w:pPr>
      <w:r>
        <w:rPr>
          <w:rFonts w:hint="eastAsia" w:ascii="宋体" w:hAnsi="宋体"/>
          <w:sz w:val="32"/>
          <w:szCs w:val="32"/>
        </w:rPr>
        <w:t>五、报价一览表</w:t>
      </w:r>
    </w:p>
    <w:p>
      <w:pPr>
        <w:ind w:firstLine="640" w:firstLineChars="200"/>
        <w:rPr>
          <w:rFonts w:ascii="宋体" w:hAnsi="宋体"/>
          <w:sz w:val="32"/>
          <w:szCs w:val="32"/>
        </w:rPr>
      </w:pPr>
      <w:r>
        <w:rPr>
          <w:rFonts w:hint="eastAsia" w:ascii="宋体" w:hAnsi="宋体"/>
          <w:sz w:val="32"/>
          <w:szCs w:val="32"/>
        </w:rPr>
        <w:t>六、明细报价表</w:t>
      </w:r>
    </w:p>
    <w:p>
      <w:pPr>
        <w:ind w:firstLine="640" w:firstLineChars="200"/>
        <w:rPr>
          <w:rFonts w:ascii="宋体" w:hAnsi="宋体"/>
          <w:sz w:val="32"/>
          <w:szCs w:val="32"/>
        </w:rPr>
      </w:pPr>
      <w:r>
        <w:rPr>
          <w:rFonts w:hint="eastAsia" w:ascii="宋体" w:hAnsi="宋体"/>
          <w:sz w:val="32"/>
          <w:szCs w:val="32"/>
        </w:rPr>
        <w:t>七、技术参数响应及偏离表</w:t>
      </w:r>
    </w:p>
    <w:p>
      <w:pPr>
        <w:ind w:firstLine="640" w:firstLineChars="200"/>
        <w:rPr>
          <w:rFonts w:ascii="宋体" w:hAnsi="宋体"/>
          <w:sz w:val="32"/>
          <w:szCs w:val="32"/>
        </w:rPr>
      </w:pPr>
      <w:r>
        <w:rPr>
          <w:rFonts w:hint="eastAsia" w:ascii="宋体" w:hAnsi="宋体"/>
          <w:sz w:val="32"/>
          <w:szCs w:val="32"/>
        </w:rPr>
        <w:t>八、商务条款响应及偏离表</w:t>
      </w:r>
    </w:p>
    <w:p>
      <w:pPr>
        <w:ind w:firstLine="640" w:firstLineChars="200"/>
        <w:rPr>
          <w:rFonts w:ascii="宋体" w:hAnsi="宋体"/>
          <w:sz w:val="32"/>
          <w:szCs w:val="32"/>
        </w:rPr>
      </w:pPr>
      <w:r>
        <w:rPr>
          <w:rFonts w:hint="eastAsia" w:ascii="宋体" w:hAnsi="宋体"/>
          <w:sz w:val="32"/>
          <w:szCs w:val="32"/>
        </w:rPr>
        <w:t>九、技术方案、服务承诺、培训承诺</w:t>
      </w:r>
    </w:p>
    <w:p>
      <w:pPr>
        <w:ind w:firstLine="640" w:firstLineChars="200"/>
        <w:rPr>
          <w:rFonts w:ascii="宋体" w:hAnsi="宋体"/>
          <w:sz w:val="32"/>
          <w:szCs w:val="32"/>
        </w:rPr>
      </w:pPr>
      <w:r>
        <w:rPr>
          <w:rFonts w:hint="eastAsia" w:ascii="宋体" w:hAnsi="宋体"/>
          <w:sz w:val="32"/>
          <w:szCs w:val="32"/>
        </w:rPr>
        <w:t>十、其他格式附表</w:t>
      </w:r>
    </w:p>
    <w:p>
      <w:pPr>
        <w:ind w:firstLine="640" w:firstLineChars="200"/>
        <w:rPr>
          <w:rFonts w:ascii="宋体" w:hAnsi="宋体"/>
          <w:sz w:val="32"/>
          <w:szCs w:val="32"/>
        </w:rPr>
      </w:pPr>
    </w:p>
    <w:p>
      <w:pPr>
        <w:jc w:val="center"/>
        <w:rPr>
          <w:rFonts w:ascii="宋体" w:hAnsi="宋体"/>
          <w:b/>
          <w:sz w:val="24"/>
          <w:szCs w:val="24"/>
        </w:rPr>
      </w:pPr>
      <w:r>
        <w:rPr>
          <w:rFonts w:ascii="宋体" w:hAnsi="宋体"/>
          <w:b/>
          <w:sz w:val="32"/>
          <w:szCs w:val="32"/>
        </w:rPr>
        <w:br w:type="page"/>
      </w:r>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560" w:firstLineChars="200"/>
        <w:rPr>
          <w:rFonts w:ascii="宋体" w:hAnsi="宋体"/>
          <w:sz w:val="28"/>
          <w:szCs w:val="28"/>
        </w:rPr>
      </w:pPr>
      <w:r>
        <w:rPr>
          <w:rFonts w:hint="eastAsia" w:ascii="宋体" w:hAnsi="宋体"/>
          <w:sz w:val="28"/>
          <w:szCs w:val="28"/>
        </w:rPr>
        <w:t>供应商简要情况介绍，含供应商规模、技术能力及装备水平等、人员情况、典型项目等。供应商自行以文字形式说明。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2"/>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9"/>
        <w:gridCol w:w="5418"/>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gridSpan w:val="2"/>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5"/>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gridSpan w:val="2"/>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gridSpan w:val="2"/>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gridSpan w:val="2"/>
            <w:vAlign w:val="center"/>
          </w:tcPr>
          <w:p>
            <w:pPr>
              <w:snapToGrid w:val="0"/>
              <w:spacing w:line="0" w:lineRule="atLeast"/>
              <w:rPr>
                <w:rFonts w:asciiTheme="minorEastAsia" w:hAnsiTheme="minorEastAsia"/>
                <w:iCs/>
                <w:sz w:val="24"/>
                <w:szCs w:val="24"/>
              </w:rPr>
            </w:pPr>
            <w:r>
              <w:rPr>
                <w:rFonts w:hint="eastAsia" w:ascii="宋体" w:hAnsi="宋体"/>
                <w:sz w:val="24"/>
              </w:rPr>
              <w:t>具备履行合同所必需的设备和专业技术能力的书面声明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gridSpan w:val="2"/>
            <w:vAlign w:val="center"/>
          </w:tcPr>
          <w:p>
            <w:pPr>
              <w:snapToGrid w:val="0"/>
              <w:spacing w:line="0" w:lineRule="atLeast"/>
              <w:rPr>
                <w:rFonts w:asciiTheme="minorEastAsia" w:hAnsiTheme="minorEastAsia"/>
                <w:iCs/>
                <w:sz w:val="24"/>
                <w:szCs w:val="24"/>
              </w:rPr>
            </w:pPr>
            <w:r>
              <w:rPr>
                <w:rFonts w:hint="eastAsia" w:ascii="宋体" w:hAnsi="宋体"/>
                <w:sz w:val="24"/>
              </w:rPr>
              <w:t>参加投标活动前 3 年内在经营活动中没有重大违法记录的书面声明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gridSpan w:val="2"/>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5"/>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napToGrid w:val="0"/>
              <w:spacing w:line="0" w:lineRule="atLeast"/>
              <w:jc w:val="center"/>
              <w:rPr>
                <w:rFonts w:ascii="宋体" w:hAnsi="宋体"/>
                <w:sz w:val="24"/>
              </w:rPr>
            </w:pPr>
            <w:r>
              <w:rPr>
                <w:rFonts w:hint="eastAsia" w:ascii="宋体" w:hAnsi="宋体"/>
                <w:sz w:val="24"/>
              </w:rPr>
              <w:t>5</w:t>
            </w:r>
          </w:p>
        </w:tc>
        <w:tc>
          <w:tcPr>
            <w:tcW w:w="5447" w:type="dxa"/>
            <w:gridSpan w:val="2"/>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napToGrid w:val="0"/>
              <w:spacing w:line="0" w:lineRule="atLeast"/>
              <w:jc w:val="center"/>
              <w:rPr>
                <w:rFonts w:ascii="宋体" w:hAnsi="宋体"/>
                <w:sz w:val="24"/>
              </w:rPr>
            </w:pPr>
            <w:r>
              <w:rPr>
                <w:rFonts w:hint="eastAsia" w:ascii="宋体" w:hAnsi="宋体"/>
                <w:sz w:val="24"/>
              </w:rPr>
              <w:t>6</w:t>
            </w:r>
          </w:p>
        </w:tc>
        <w:tc>
          <w:tcPr>
            <w:tcW w:w="5447" w:type="dxa"/>
            <w:gridSpan w:val="2"/>
            <w:vAlign w:val="center"/>
          </w:tcPr>
          <w:p>
            <w:pPr>
              <w:snapToGrid w:val="0"/>
              <w:spacing w:line="0" w:lineRule="atLeast"/>
              <w:jc w:val="left"/>
              <w:rPr>
                <w:rFonts w:ascii="宋体" w:hAnsi="宋体"/>
                <w:sz w:val="24"/>
              </w:rPr>
            </w:pPr>
            <w:r>
              <w:rPr>
                <w:rFonts w:hint="eastAsia" w:ascii="宋体" w:hAnsi="宋体"/>
                <w:sz w:val="24"/>
              </w:rPr>
              <w:t>供应商须为2021-2022年度常州市行政事业单位物业及相关服务定点采购项目（综合物业服务）入围供应商。</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napToGrid w:val="0"/>
              <w:spacing w:line="0" w:lineRule="atLeast"/>
              <w:jc w:val="center"/>
              <w:rPr>
                <w:rFonts w:ascii="宋体" w:hAnsi="宋体"/>
                <w:sz w:val="24"/>
              </w:rPr>
            </w:pPr>
            <w:r>
              <w:rPr>
                <w:rFonts w:hint="eastAsia" w:ascii="宋体" w:hAnsi="宋体"/>
                <w:sz w:val="24"/>
              </w:rPr>
              <w:t>7</w:t>
            </w:r>
          </w:p>
        </w:tc>
        <w:tc>
          <w:tcPr>
            <w:tcW w:w="5447" w:type="dxa"/>
            <w:gridSpan w:val="2"/>
            <w:vAlign w:val="center"/>
          </w:tcPr>
          <w:p>
            <w:pPr>
              <w:snapToGrid w:val="0"/>
              <w:spacing w:line="0" w:lineRule="atLeast"/>
              <w:jc w:val="left"/>
              <w:rPr>
                <w:rFonts w:asciiTheme="minorEastAsia" w:hAnsiTheme="minorEastAsia"/>
                <w:iCs/>
                <w:sz w:val="24"/>
                <w:szCs w:val="24"/>
              </w:rPr>
            </w:pPr>
            <w:r>
              <w:rPr>
                <w:rFonts w:hint="eastAsia" w:ascii="宋体" w:hAnsi="宋体"/>
                <w:sz w:val="24"/>
              </w:rPr>
              <w:t>供应商资格要求涉及的其它证明材料</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宋体" w:hAnsi="宋体"/>
              </w:rPr>
              <w:t>…</w:t>
            </w:r>
          </w:p>
        </w:tc>
        <w:tc>
          <w:tcPr>
            <w:tcW w:w="5447" w:type="dxa"/>
            <w:gridSpan w:val="2"/>
            <w:vAlign w:val="center"/>
          </w:tcPr>
          <w:p>
            <w:pPr>
              <w:snapToGrid w:val="0"/>
              <w:spacing w:line="0" w:lineRule="atLeast"/>
              <w:jc w:val="left"/>
              <w:rPr>
                <w:rFonts w:ascii="宋体" w:hAnsi="宋体"/>
                <w:sz w:val="24"/>
              </w:rPr>
            </w:pPr>
            <w:r>
              <w:rPr>
                <w:rFonts w:ascii="宋体" w:hAnsi="宋体"/>
                <w:sz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31" w:type="dxa"/>
            <w:gridSpan w:val="5"/>
            <w:vAlign w:val="center"/>
          </w:tcPr>
          <w:p>
            <w:pPr>
              <w:rPr>
                <w:rFonts w:asciiTheme="minorEastAsia" w:hAnsiTheme="minorEastAsia"/>
                <w:sz w:val="24"/>
                <w:szCs w:val="24"/>
              </w:rPr>
            </w:pPr>
            <w:r>
              <w:rPr>
                <w:rFonts w:hint="eastAsia" w:asciiTheme="minorEastAsia" w:hAnsiTheme="minorEastAsia"/>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18"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hint="eastAsia" w:asciiTheme="minorEastAsia" w:hAnsiTheme="minorEastAsia"/>
                <w:iCs/>
                <w:sz w:val="24"/>
                <w:szCs w:val="24"/>
              </w:rPr>
              <w:t>资格的声明函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5418"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响应函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gridSpan w:val="2"/>
            <w:vAlign w:val="center"/>
          </w:tcPr>
          <w:p>
            <w:pPr>
              <w:jc w:val="center"/>
              <w:rPr>
                <w:rFonts w:asciiTheme="minorEastAsia" w:hAnsiTheme="minorEastAsia"/>
                <w:sz w:val="24"/>
                <w:szCs w:val="24"/>
              </w:rPr>
            </w:pPr>
          </w:p>
        </w:tc>
        <w:tc>
          <w:tcPr>
            <w:tcW w:w="5418"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gridSpan w:val="2"/>
            <w:vAlign w:val="center"/>
          </w:tcPr>
          <w:p>
            <w:pPr>
              <w:jc w:val="center"/>
              <w:rPr>
                <w:rFonts w:asciiTheme="minorEastAsia" w:hAnsiTheme="minorEastAsia"/>
                <w:sz w:val="24"/>
                <w:szCs w:val="24"/>
              </w:rPr>
            </w:pPr>
          </w:p>
        </w:tc>
        <w:tc>
          <w:tcPr>
            <w:tcW w:w="5418" w:type="dxa"/>
            <w:vAlign w:val="center"/>
          </w:tcPr>
          <w:p>
            <w:pPr>
              <w:snapToGrid w:val="0"/>
              <w:spacing w:line="0" w:lineRule="atLeast"/>
              <w:jc w:val="left"/>
              <w:rPr>
                <w:rFonts w:asciiTheme="minorEastAsia" w:hAnsiTheme="minorEastAsia"/>
                <w:sz w:val="24"/>
                <w:szCs w:val="24"/>
              </w:rPr>
            </w:pP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675" w:type="dxa"/>
            <w:gridSpan w:val="2"/>
            <w:vAlign w:val="center"/>
          </w:tcPr>
          <w:p>
            <w:pPr>
              <w:jc w:val="center"/>
              <w:rPr>
                <w:rFonts w:asciiTheme="minorEastAsia" w:hAnsiTheme="minorEastAsia"/>
                <w:sz w:val="24"/>
                <w:szCs w:val="24"/>
              </w:rPr>
            </w:pPr>
          </w:p>
        </w:tc>
        <w:tc>
          <w:tcPr>
            <w:tcW w:w="5418" w:type="dxa"/>
            <w:vAlign w:val="center"/>
          </w:tcPr>
          <w:p>
            <w:pPr>
              <w:snapToGrid w:val="0"/>
              <w:spacing w:line="0" w:lineRule="atLeast"/>
              <w:jc w:val="left"/>
              <w:rPr>
                <w:rFonts w:asciiTheme="minorEastAsia" w:hAnsiTheme="minorEastAsia"/>
                <w:sz w:val="24"/>
                <w:szCs w:val="24"/>
              </w:rPr>
            </w:pP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widowControl/>
        <w:jc w:val="left"/>
        <w:rPr>
          <w:rFonts w:ascii="黑体" w:hAnsi="黑体" w:eastAsia="黑体"/>
          <w:sz w:val="28"/>
          <w:szCs w:val="28"/>
        </w:rPr>
      </w:pPr>
    </w:p>
    <w:p>
      <w:pPr>
        <w:widowControl/>
        <w:jc w:val="left"/>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widowControl/>
        <w:jc w:val="left"/>
        <w:rPr>
          <w:rFonts w:ascii="黑体" w:hAnsi="黑体" w:eastAsia="黑体"/>
          <w:sz w:val="28"/>
          <w:szCs w:val="28"/>
        </w:rPr>
      </w:pPr>
      <w:r>
        <w:rPr>
          <w:rFonts w:hint="eastAsia" w:ascii="黑体" w:hAnsi="黑体" w:eastAsia="黑体"/>
          <w:sz w:val="28"/>
          <w:szCs w:val="28"/>
        </w:rPr>
        <w:t>三、评分索引表</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963"/>
        <w:gridCol w:w="474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6" w:type="pct"/>
            <w:tcBorders>
              <w:top w:val="single" w:color="auto" w:sz="4" w:space="0"/>
              <w:left w:val="single" w:color="auto" w:sz="4" w:space="0"/>
              <w:bottom w:val="single" w:color="auto" w:sz="4" w:space="0"/>
              <w:right w:val="single" w:color="auto" w:sz="4" w:space="0"/>
            </w:tcBorders>
            <w:vAlign w:val="center"/>
          </w:tcPr>
          <w:p>
            <w:pPr>
              <w:pStyle w:val="131"/>
              <w:shd w:val="clear" w:color="auto" w:fill="FFFFFF"/>
              <w:spacing w:line="265" w:lineRule="atLeast"/>
              <w:ind w:left="0"/>
              <w:jc w:val="center"/>
              <w:rPr>
                <w:rFonts w:ascii="宋体" w:hAnsi="宋体"/>
                <w:b/>
                <w:kern w:val="2"/>
                <w:lang w:eastAsia="zh-CN"/>
              </w:rPr>
            </w:pPr>
            <w:r>
              <w:rPr>
                <w:rFonts w:hint="eastAsia" w:ascii="宋体" w:hAnsi="宋体"/>
                <w:b/>
                <w:kern w:val="2"/>
                <w:lang w:eastAsia="zh-CN"/>
              </w:rPr>
              <w:t>序号</w:t>
            </w:r>
          </w:p>
        </w:tc>
        <w:tc>
          <w:tcPr>
            <w:tcW w:w="968" w:type="pct"/>
            <w:tcBorders>
              <w:top w:val="single" w:color="auto" w:sz="4" w:space="0"/>
              <w:left w:val="single" w:color="auto" w:sz="4" w:space="0"/>
              <w:bottom w:val="single" w:color="auto" w:sz="4" w:space="0"/>
              <w:right w:val="single" w:color="auto" w:sz="4" w:space="0"/>
            </w:tcBorders>
            <w:vAlign w:val="center"/>
          </w:tcPr>
          <w:p>
            <w:pPr>
              <w:pStyle w:val="131"/>
              <w:shd w:val="clear" w:color="auto" w:fill="FFFFFF"/>
              <w:spacing w:line="265" w:lineRule="atLeast"/>
              <w:ind w:left="0"/>
              <w:jc w:val="center"/>
              <w:rPr>
                <w:rFonts w:ascii="宋体" w:hAnsi="宋体"/>
                <w:b/>
                <w:kern w:val="2"/>
              </w:rPr>
            </w:pPr>
            <w:r>
              <w:rPr>
                <w:rFonts w:hint="eastAsia" w:ascii="宋体" w:hAnsi="宋体"/>
                <w:b/>
                <w:kern w:val="2"/>
              </w:rPr>
              <w:t>评分项目</w:t>
            </w:r>
          </w:p>
        </w:tc>
        <w:tc>
          <w:tcPr>
            <w:tcW w:w="2338" w:type="pct"/>
            <w:tcBorders>
              <w:top w:val="single" w:color="auto" w:sz="4" w:space="0"/>
              <w:left w:val="single" w:color="auto" w:sz="4" w:space="0"/>
              <w:bottom w:val="single" w:color="auto" w:sz="4" w:space="0"/>
              <w:right w:val="single" w:color="auto" w:sz="4" w:space="0"/>
            </w:tcBorders>
            <w:vAlign w:val="center"/>
          </w:tcPr>
          <w:p>
            <w:pPr>
              <w:pStyle w:val="131"/>
              <w:shd w:val="clear" w:color="auto" w:fill="FFFFFF"/>
              <w:spacing w:line="265" w:lineRule="atLeast"/>
              <w:ind w:left="0"/>
              <w:jc w:val="center"/>
              <w:rPr>
                <w:rFonts w:ascii="宋体" w:hAnsi="宋体"/>
                <w:b/>
                <w:bCs/>
                <w:kern w:val="2"/>
                <w:lang w:eastAsia="zh-CN"/>
              </w:rPr>
            </w:pPr>
            <w:r>
              <w:rPr>
                <w:rFonts w:hint="eastAsia" w:ascii="宋体" w:hAnsi="宋体"/>
                <w:b/>
                <w:bCs/>
                <w:kern w:val="2"/>
                <w:lang w:eastAsia="zh-CN"/>
              </w:rPr>
              <w:t>评分标准</w:t>
            </w:r>
          </w:p>
        </w:tc>
        <w:tc>
          <w:tcPr>
            <w:tcW w:w="96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kern w:val="0"/>
                <w:sz w:val="24"/>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jc w:val="both"/>
              <w:rPr>
                <w:rFonts w:ascii="宋体" w:hAnsi="宋体"/>
                <w:b/>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b/>
                <w:kern w:val="0"/>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6"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2338" w:type="pct"/>
            <w:tcBorders>
              <w:top w:val="single" w:color="auto" w:sz="4" w:space="0"/>
              <w:left w:val="single" w:color="auto" w:sz="4" w:space="0"/>
              <w:bottom w:val="single" w:color="auto" w:sz="4" w:space="0"/>
              <w:right w:val="single" w:color="auto" w:sz="4" w:space="0"/>
            </w:tcBorders>
          </w:tcPr>
          <w:p>
            <w:pPr>
              <w:pStyle w:val="131"/>
              <w:shd w:val="clear" w:color="auto" w:fill="FFFFFF"/>
              <w:spacing w:line="265" w:lineRule="atLeast"/>
              <w:ind w:left="420"/>
              <w:rPr>
                <w:rFonts w:ascii="宋体" w:hAnsi="宋体"/>
                <w:b/>
                <w:bCs/>
                <w:kern w:val="2"/>
                <w:lang w:eastAsia="zh-CN"/>
              </w:rPr>
            </w:pPr>
          </w:p>
        </w:tc>
        <w:tc>
          <w:tcPr>
            <w:tcW w:w="968" w:type="pct"/>
            <w:tcBorders>
              <w:top w:val="single" w:color="auto" w:sz="4" w:space="0"/>
              <w:left w:val="single" w:color="auto" w:sz="4" w:space="0"/>
              <w:bottom w:val="single" w:color="auto" w:sz="4" w:space="0"/>
              <w:right w:val="single" w:color="auto" w:sz="4" w:space="0"/>
            </w:tcBorders>
          </w:tcPr>
          <w:p>
            <w:pPr>
              <w:rPr>
                <w:rFonts w:ascii="宋体" w:hAnsi="宋体"/>
              </w:rPr>
            </w:pPr>
          </w:p>
        </w:tc>
      </w:tr>
    </w:tbl>
    <w:p>
      <w:pPr>
        <w:snapToGrid w:val="0"/>
        <w:spacing w:before="50" w:after="50"/>
        <w:rPr>
          <w:rFonts w:ascii="黑体" w:hAnsi="Times New Roman" w:eastAsia="黑体"/>
          <w:sz w:val="44"/>
          <w:szCs w:val="21"/>
        </w:rPr>
      </w:pPr>
    </w:p>
    <w:p>
      <w:pPr>
        <w:spacing w:line="440" w:lineRule="exact"/>
        <w:ind w:firstLine="480" w:firstLineChars="200"/>
        <w:rPr>
          <w:rFonts w:ascii="宋体" w:hAnsi="宋体"/>
          <w:sz w:val="24"/>
        </w:rPr>
      </w:pPr>
      <w:r>
        <w:rPr>
          <w:rFonts w:hint="eastAsia" w:ascii="宋体" w:hAnsi="宋体"/>
          <w:sz w:val="24"/>
        </w:rPr>
        <w:t>注：本表仅纸质投标（响应）文件需要提供。</w:t>
      </w: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四、资格、资信证明文件</w:t>
      </w:r>
    </w:p>
    <w:p>
      <w:pPr>
        <w:snapToGrid w:val="0"/>
        <w:spacing w:line="360" w:lineRule="auto"/>
        <w:ind w:firstLine="480" w:firstLineChars="200"/>
        <w:rPr>
          <w:rFonts w:ascii="宋体" w:hAnsi="宋体"/>
          <w:sz w:val="24"/>
          <w:szCs w:val="20"/>
        </w:rPr>
      </w:pPr>
      <w:r>
        <w:rPr>
          <w:rFonts w:hint="eastAsia" w:ascii="宋体" w:hAnsi="宋体"/>
          <w:b/>
          <w:bCs/>
          <w:sz w:val="24"/>
          <w:szCs w:val="24"/>
        </w:rPr>
        <w:t>1、资格证明文件目录</w:t>
      </w:r>
    </w:p>
    <w:p>
      <w:pPr>
        <w:snapToGrid w:val="0"/>
        <w:spacing w:line="360" w:lineRule="auto"/>
        <w:ind w:firstLine="480" w:firstLineChars="200"/>
        <w:rPr>
          <w:rFonts w:ascii="宋体" w:hAnsi="宋体" w:cs="Arial"/>
          <w:sz w:val="24"/>
          <w:szCs w:val="24"/>
        </w:rPr>
      </w:pPr>
      <w:r>
        <w:rPr>
          <w:rFonts w:hint="eastAsia" w:ascii="宋体" w:hAnsi="宋体"/>
          <w:b/>
          <w:sz w:val="24"/>
          <w:szCs w:val="24"/>
        </w:rPr>
        <w:t>文件1</w:t>
      </w:r>
      <w:r>
        <w:rPr>
          <w:rFonts w:hint="eastAsia" w:ascii="宋体" w:hAnsi="宋体"/>
          <w:b/>
          <w:sz w:val="24"/>
          <w:szCs w:val="24"/>
          <w:lang w:val="en-US" w:eastAsia="zh-CN"/>
        </w:rPr>
        <w:t xml:space="preserve"> </w:t>
      </w:r>
      <w:r>
        <w:rPr>
          <w:rFonts w:hint="eastAsia" w:ascii="宋体" w:hAnsi="宋体" w:cs="Arial"/>
          <w:sz w:val="24"/>
          <w:szCs w:val="24"/>
        </w:rPr>
        <w:t>法人或者其他组织的营业执照等证明文件，自然人的身份证明（复印件）</w:t>
      </w:r>
    </w:p>
    <w:p>
      <w:pPr>
        <w:snapToGrid w:val="0"/>
        <w:spacing w:line="360" w:lineRule="auto"/>
        <w:ind w:firstLine="480" w:firstLineChars="200"/>
        <w:jc w:val="left"/>
        <w:rPr>
          <w:rFonts w:ascii="宋体" w:hAnsi="宋体"/>
          <w:b/>
          <w:sz w:val="24"/>
          <w:szCs w:val="24"/>
        </w:rPr>
      </w:pPr>
      <w:r>
        <w:rPr>
          <w:rFonts w:hint="eastAsia" w:ascii="宋体" w:hAnsi="宋体"/>
          <w:b/>
          <w:sz w:val="24"/>
          <w:szCs w:val="24"/>
        </w:rPr>
        <w:t>文件2</w:t>
      </w:r>
      <w:r>
        <w:rPr>
          <w:rFonts w:hint="eastAsia" w:ascii="宋体" w:hAnsi="宋体"/>
          <w:b/>
          <w:sz w:val="24"/>
          <w:szCs w:val="24"/>
          <w:lang w:val="en-US" w:eastAsia="zh-CN"/>
        </w:rPr>
        <w:t xml:space="preserve"> </w:t>
      </w:r>
      <w:r>
        <w:rPr>
          <w:rFonts w:hint="eastAsia" w:ascii="宋体" w:hAnsi="宋体" w:cs="Arial"/>
          <w:sz w:val="24"/>
          <w:szCs w:val="24"/>
        </w:rPr>
        <w:t>具备履行合同所必需的设备和专业技术能力的书面声明</w:t>
      </w:r>
    </w:p>
    <w:p>
      <w:pPr>
        <w:snapToGrid w:val="0"/>
        <w:spacing w:line="360" w:lineRule="auto"/>
        <w:ind w:firstLine="480" w:firstLineChars="200"/>
        <w:rPr>
          <w:rFonts w:ascii="宋体" w:hAnsi="宋体" w:cs="Arial"/>
          <w:sz w:val="24"/>
          <w:szCs w:val="24"/>
        </w:rPr>
      </w:pPr>
      <w:r>
        <w:rPr>
          <w:rFonts w:hint="eastAsia" w:ascii="宋体" w:hAnsi="宋体"/>
          <w:b/>
          <w:sz w:val="24"/>
          <w:szCs w:val="24"/>
        </w:rPr>
        <w:t>文件3</w:t>
      </w:r>
      <w:r>
        <w:rPr>
          <w:rFonts w:hint="eastAsia" w:ascii="宋体" w:hAnsi="宋体"/>
          <w:b/>
          <w:sz w:val="24"/>
          <w:szCs w:val="24"/>
          <w:lang w:val="en-US" w:eastAsia="zh-CN"/>
        </w:rPr>
        <w:t xml:space="preserve"> </w:t>
      </w:r>
      <w:r>
        <w:rPr>
          <w:rFonts w:hint="eastAsia" w:ascii="宋体" w:hAnsi="宋体" w:cs="Arial"/>
          <w:sz w:val="24"/>
          <w:szCs w:val="24"/>
        </w:rPr>
        <w:t>参加投标活动前 3 年内在经营活动中没有重大违法记录的书面声明</w:t>
      </w:r>
    </w:p>
    <w:p>
      <w:pPr>
        <w:snapToGrid w:val="0"/>
        <w:spacing w:line="360" w:lineRule="auto"/>
        <w:ind w:firstLine="480" w:firstLineChars="200"/>
        <w:rPr>
          <w:rFonts w:ascii="宋体" w:hAnsi="宋体"/>
          <w:sz w:val="24"/>
          <w:szCs w:val="24"/>
        </w:rPr>
      </w:pPr>
      <w:r>
        <w:rPr>
          <w:rFonts w:hint="eastAsia" w:ascii="宋体" w:hAnsi="宋体"/>
          <w:b/>
          <w:sz w:val="24"/>
          <w:szCs w:val="24"/>
        </w:rPr>
        <w:t>文件4</w:t>
      </w:r>
      <w:r>
        <w:rPr>
          <w:rFonts w:hint="eastAsia" w:ascii="宋体" w:hAnsi="宋体"/>
          <w:sz w:val="24"/>
          <w:szCs w:val="24"/>
          <w:lang w:val="en-US" w:eastAsia="zh-CN"/>
        </w:rPr>
        <w:t xml:space="preserve"> </w:t>
      </w:r>
      <w:r>
        <w:rPr>
          <w:rFonts w:hint="eastAsia" w:ascii="宋体" w:hAnsi="宋体"/>
          <w:bCs/>
          <w:color w:val="000000" w:themeColor="text1"/>
          <w:sz w:val="24"/>
          <w:szCs w:val="24"/>
          <w14:textFill>
            <w14:solidFill>
              <w14:schemeClr w14:val="tx1"/>
            </w14:solidFill>
          </w14:textFill>
        </w:rPr>
        <w:t>关于资格的声明函（</w:t>
      </w:r>
      <w:r>
        <w:rPr>
          <w:rFonts w:hint="eastAsia" w:ascii="宋体" w:hAnsi="宋体"/>
          <w:sz w:val="24"/>
          <w:szCs w:val="24"/>
        </w:rPr>
        <w:t>原件加盖公章）</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文件5</w:t>
      </w:r>
      <w:r>
        <w:rPr>
          <w:rFonts w:hint="eastAsia" w:ascii="宋体" w:hAnsi="宋体"/>
          <w:b/>
          <w:sz w:val="24"/>
          <w:szCs w:val="24"/>
          <w:lang w:val="en-US" w:eastAsia="zh-CN"/>
        </w:rPr>
        <w:t xml:space="preserve"> </w:t>
      </w:r>
      <w:r>
        <w:rPr>
          <w:rFonts w:hint="eastAsia" w:ascii="宋体" w:hAnsi="宋体"/>
          <w:sz w:val="24"/>
          <w:szCs w:val="24"/>
        </w:rPr>
        <w:t>联合体协议（本项目无）</w:t>
      </w:r>
    </w:p>
    <w:p>
      <w:pPr>
        <w:snapToGrid w:val="0"/>
        <w:spacing w:line="360" w:lineRule="auto"/>
        <w:ind w:firstLine="480" w:firstLineChars="200"/>
        <w:jc w:val="left"/>
        <w:rPr>
          <w:rFonts w:ascii="宋体" w:hAnsi="宋体"/>
          <w:sz w:val="24"/>
          <w:szCs w:val="24"/>
        </w:rPr>
      </w:pPr>
      <w:r>
        <w:rPr>
          <w:rFonts w:hint="eastAsia" w:ascii="宋体" w:hAnsi="宋体"/>
          <w:b/>
          <w:sz w:val="24"/>
          <w:szCs w:val="24"/>
        </w:rPr>
        <w:t>文件6</w:t>
      </w:r>
      <w:r>
        <w:rPr>
          <w:rFonts w:hint="eastAsia" w:ascii="宋体" w:hAnsi="宋体"/>
          <w:b/>
          <w:sz w:val="24"/>
          <w:szCs w:val="24"/>
          <w:lang w:val="en-US" w:eastAsia="zh-CN"/>
        </w:rPr>
        <w:t xml:space="preserve"> </w:t>
      </w:r>
      <w:r>
        <w:rPr>
          <w:rFonts w:hint="eastAsia" w:ascii="宋体" w:hAnsi="宋体"/>
          <w:sz w:val="24"/>
          <w:szCs w:val="24"/>
        </w:rPr>
        <w:t>本项目投标人资格要求涉及的其它证明材料：。</w:t>
      </w:r>
    </w:p>
    <w:p>
      <w:pPr>
        <w:snapToGrid w:val="0"/>
        <w:spacing w:line="360" w:lineRule="auto"/>
        <w:ind w:firstLine="480" w:firstLineChars="200"/>
        <w:jc w:val="left"/>
        <w:rPr>
          <w:rFonts w:ascii="宋体" w:hAnsi="宋体"/>
          <w:sz w:val="24"/>
          <w:szCs w:val="24"/>
        </w:rPr>
      </w:pPr>
      <w:r>
        <w:rPr>
          <w:rFonts w:hint="eastAsia" w:ascii="宋体" w:hAnsi="宋体"/>
          <w:sz w:val="24"/>
          <w:szCs w:val="24"/>
        </w:rPr>
        <w:t>以上资格证明文件中要求加盖公章的，必须加盖公章，否则视为无效投标。</w:t>
      </w:r>
    </w:p>
    <w:p>
      <w:pPr>
        <w:snapToGrid w:val="0"/>
        <w:spacing w:line="360" w:lineRule="auto"/>
        <w:ind w:firstLine="200"/>
        <w:rPr>
          <w:rFonts w:ascii="宋体" w:hAnsi="宋体"/>
          <w:b/>
          <w:bCs/>
          <w:sz w:val="24"/>
        </w:rPr>
      </w:pPr>
    </w:p>
    <w:p>
      <w:pPr>
        <w:rPr>
          <w:rFonts w:ascii="宋体" w:hAnsi="宋体"/>
          <w:bCs/>
          <w:sz w:val="24"/>
        </w:rPr>
      </w:pPr>
      <w:r>
        <w:rPr>
          <w:rFonts w:ascii="黑体" w:hAnsi="黑体" w:eastAsia="黑体"/>
          <w:b/>
          <w:sz w:val="32"/>
          <w:szCs w:val="32"/>
        </w:rPr>
        <w:br w:type="page"/>
      </w:r>
      <w:bookmarkEnd w:id="78"/>
    </w:p>
    <w:p>
      <w:pPr>
        <w:spacing w:line="580" w:lineRule="exact"/>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五、</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tbl>
      <w:tblPr>
        <w:tblStyle w:val="32"/>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pStyle w:val="104"/>
              <w:spacing w:line="400" w:lineRule="exact"/>
              <w:jc w:val="center"/>
              <w:rPr>
                <w:rFonts w:hAnsi="宋体"/>
                <w:bCs/>
                <w:color w:val="000000" w:themeColor="text1"/>
                <w:szCs w:val="24"/>
                <w14:textFill>
                  <w14:solidFill>
                    <w14:schemeClr w14:val="tx1"/>
                  </w14:solidFill>
                </w14:textFill>
              </w:rPr>
            </w:pPr>
          </w:p>
        </w:tc>
        <w:tc>
          <w:tcPr>
            <w:tcW w:w="4515" w:type="dxa"/>
            <w:vAlign w:val="center"/>
          </w:tcPr>
          <w:p>
            <w:pPr>
              <w:pStyle w:val="104"/>
              <w:rPr>
                <w:rFonts w:hAnsi="宋体"/>
                <w:b/>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0080" w:type="dxa"/>
            <w:gridSpan w:val="2"/>
            <w:vAlign w:val="center"/>
          </w:tcPr>
          <w:p>
            <w:pPr>
              <w:rPr>
                <w:rFonts w:ascii="宋体"/>
                <w:bCs/>
                <w:color w:val="000000" w:themeColor="text1"/>
                <w:sz w:val="24"/>
                <w:szCs w:val="24"/>
                <w14:textFill>
                  <w14:solidFill>
                    <w14:schemeClr w14:val="tx1"/>
                  </w14:solidFill>
                </w14:textFill>
              </w:rPr>
            </w:pPr>
            <w:r>
              <w:rPr>
                <w:rFonts w:hint="eastAsia" w:ascii="黑体" w:eastAsia="黑体"/>
                <w:color w:val="000000" w:themeColor="text1"/>
                <w:sz w:val="24"/>
                <w14:textFill>
                  <w14:solidFill>
                    <w14:schemeClr w14:val="tx1"/>
                  </w14:solidFill>
                </w14:textFill>
              </w:rPr>
              <w:t>总报价（大写）</w:t>
            </w:r>
            <w:r>
              <w:rPr>
                <w:rFonts w:hint="eastAsia" w:ascii="宋体" w:hAnsi="宋体"/>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32"/>
          <w14:textFill>
            <w14:solidFill>
              <w14:schemeClr w14:val="tx1"/>
            </w14:solidFill>
          </w14:textFill>
        </w:rPr>
      </w:pPr>
    </w:p>
    <w:p>
      <w:pPr>
        <w:spacing w:line="400" w:lineRule="exact"/>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六、明细报价表</w:t>
      </w:r>
    </w:p>
    <w:p>
      <w:pPr>
        <w:spacing w:line="400" w:lineRule="exact"/>
        <w:rPr>
          <w:rFonts w:hint="eastAsia"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tbl>
      <w:tblPr>
        <w:tblStyle w:val="32"/>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292"/>
        <w:gridCol w:w="1135"/>
        <w:gridCol w:w="970"/>
        <w:gridCol w:w="1328"/>
        <w:gridCol w:w="163"/>
        <w:gridCol w:w="454"/>
        <w:gridCol w:w="190"/>
        <w:gridCol w:w="648"/>
        <w:gridCol w:w="141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48" w:type="pc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rPr>
            </w:pPr>
            <w:r>
              <w:rPr>
                <w:rFonts w:hint="eastAsia" w:ascii="宋体" w:hAnsi="宋体" w:eastAsia="宋体" w:cs="宋体"/>
                <w:b/>
                <w:sz w:val="24"/>
              </w:rPr>
              <w:t>项目</w:t>
            </w:r>
          </w:p>
        </w:tc>
        <w:tc>
          <w:tcPr>
            <w:tcW w:w="1161" w:type="pct"/>
            <w:gridSpan w:val="2"/>
            <w:tcBorders>
              <w:top w:val="single" w:color="auto" w:sz="4" w:space="0"/>
              <w:left w:val="nil"/>
              <w:bottom w:val="single" w:color="auto" w:sz="4" w:space="0"/>
              <w:right w:val="single" w:color="auto" w:sz="4" w:space="0"/>
            </w:tcBorders>
          </w:tcPr>
          <w:p>
            <w:pPr>
              <w:spacing w:line="360" w:lineRule="auto"/>
              <w:ind w:firstLine="480" w:firstLineChars="200"/>
              <w:jc w:val="center"/>
              <w:rPr>
                <w:rFonts w:ascii="宋体" w:hAnsi="宋体" w:eastAsia="宋体" w:cs="宋体"/>
                <w:b/>
                <w:sz w:val="24"/>
              </w:rPr>
            </w:pPr>
            <w:r>
              <w:rPr>
                <w:rFonts w:hint="eastAsia" w:ascii="宋体" w:hAnsi="宋体" w:eastAsia="宋体" w:cs="宋体"/>
                <w:b/>
                <w:sz w:val="24"/>
              </w:rPr>
              <w:t>分项</w:t>
            </w:r>
          </w:p>
        </w:tc>
        <w:tc>
          <w:tcPr>
            <w:tcW w:w="2473" w:type="pct"/>
            <w:gridSpan w:val="7"/>
            <w:tcBorders>
              <w:top w:val="single" w:color="auto" w:sz="4" w:space="0"/>
              <w:left w:val="nil"/>
              <w:bottom w:val="single" w:color="auto" w:sz="4" w:space="0"/>
              <w:right w:val="single" w:color="auto" w:sz="4" w:space="0"/>
            </w:tcBorders>
          </w:tcPr>
          <w:p>
            <w:pPr>
              <w:spacing w:line="360" w:lineRule="auto"/>
              <w:ind w:firstLine="480" w:firstLineChars="200"/>
              <w:jc w:val="center"/>
              <w:rPr>
                <w:rFonts w:ascii="宋体" w:hAnsi="宋体" w:eastAsia="宋体" w:cs="宋体"/>
                <w:b/>
                <w:sz w:val="24"/>
              </w:rPr>
            </w:pPr>
            <w:r>
              <w:rPr>
                <w:rFonts w:hint="eastAsia" w:ascii="宋体" w:hAnsi="宋体" w:eastAsia="宋体" w:cs="宋体"/>
                <w:b/>
                <w:sz w:val="24"/>
              </w:rPr>
              <w:t>计算</w:t>
            </w:r>
          </w:p>
        </w:tc>
        <w:tc>
          <w:tcPr>
            <w:tcW w:w="518" w:type="pct"/>
            <w:tcBorders>
              <w:top w:val="single" w:color="auto" w:sz="4" w:space="0"/>
              <w:left w:val="nil"/>
              <w:bottom w:val="single" w:color="auto" w:sz="4" w:space="0"/>
              <w:right w:val="single" w:color="auto" w:sz="4" w:space="0"/>
            </w:tcBorders>
          </w:tcPr>
          <w:p>
            <w:pPr>
              <w:spacing w:line="360" w:lineRule="auto"/>
              <w:jc w:val="center"/>
              <w:rPr>
                <w:rFonts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8" w:type="pct"/>
            <w:vMerge w:val="restart"/>
            <w:tcBorders>
              <w:top w:val="nil"/>
              <w:left w:val="single" w:color="000000" w:sz="4" w:space="0"/>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(1) 人工费用</w:t>
            </w:r>
          </w:p>
        </w:tc>
        <w:tc>
          <w:tcPr>
            <w:tcW w:w="618" w:type="pct"/>
            <w:vMerge w:val="restart"/>
            <w:tcBorders>
              <w:top w:val="nil"/>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工资</w:t>
            </w: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464"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月工资/人</w:t>
            </w:r>
          </w:p>
        </w:tc>
        <w:tc>
          <w:tcPr>
            <w:tcW w:w="713"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年工资/人</w:t>
            </w:r>
          </w:p>
        </w:tc>
        <w:tc>
          <w:tcPr>
            <w:tcW w:w="618"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人数</w:t>
            </w: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合计（元/年）</w:t>
            </w: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人均</w:t>
            </w:r>
          </w:p>
        </w:tc>
        <w:tc>
          <w:tcPr>
            <w:tcW w:w="464"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2280</w:t>
            </w:r>
          </w:p>
        </w:tc>
        <w:tc>
          <w:tcPr>
            <w:tcW w:w="713"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618"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小计1</w:t>
            </w:r>
          </w:p>
        </w:tc>
        <w:tc>
          <w:tcPr>
            <w:tcW w:w="2473" w:type="pct"/>
            <w:gridSpan w:val="7"/>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restart"/>
            <w:tcBorders>
              <w:top w:val="nil"/>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社会保险费（企业缴纳）</w:t>
            </w: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464"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月缴费基数</w:t>
            </w:r>
          </w:p>
        </w:tc>
        <w:tc>
          <w:tcPr>
            <w:tcW w:w="635"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月缴费比例</w:t>
            </w:r>
          </w:p>
        </w:tc>
        <w:tc>
          <w:tcPr>
            <w:tcW w:w="386" w:type="pct"/>
            <w:gridSpan w:val="3"/>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月/年</w:t>
            </w:r>
          </w:p>
        </w:tc>
        <w:tc>
          <w:tcPr>
            <w:tcW w:w="30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人数</w:t>
            </w: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合计（元/年）</w:t>
            </w: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人均</w:t>
            </w:r>
          </w:p>
        </w:tc>
        <w:tc>
          <w:tcPr>
            <w:tcW w:w="464"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4250</w:t>
            </w:r>
          </w:p>
        </w:tc>
        <w:tc>
          <w:tcPr>
            <w:tcW w:w="635"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25.7%</w:t>
            </w:r>
          </w:p>
        </w:tc>
        <w:tc>
          <w:tcPr>
            <w:tcW w:w="386" w:type="pct"/>
            <w:gridSpan w:val="3"/>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p>
        </w:tc>
        <w:tc>
          <w:tcPr>
            <w:tcW w:w="30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小计2</w:t>
            </w:r>
          </w:p>
        </w:tc>
        <w:tc>
          <w:tcPr>
            <w:tcW w:w="2473" w:type="pct"/>
            <w:gridSpan w:val="7"/>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restart"/>
            <w:tcBorders>
              <w:top w:val="nil"/>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其他费用</w:t>
            </w: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p>
        </w:tc>
        <w:tc>
          <w:tcPr>
            <w:tcW w:w="1795" w:type="pct"/>
            <w:gridSpan w:val="6"/>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计算式（元/年）</w:t>
            </w:r>
          </w:p>
        </w:tc>
        <w:tc>
          <w:tcPr>
            <w:tcW w:w="678" w:type="pct"/>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合计（元/年）</w:t>
            </w: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bCs/>
                <w:sz w:val="24"/>
              </w:rPr>
              <w:t>法定节假日加班费</w:t>
            </w:r>
          </w:p>
        </w:tc>
        <w:tc>
          <w:tcPr>
            <w:tcW w:w="1795" w:type="pct"/>
            <w:gridSpan w:val="6"/>
            <w:tcBorders>
              <w:top w:val="single" w:color="000000" w:sz="4" w:space="0"/>
              <w:left w:val="nil"/>
              <w:bottom w:val="single" w:color="000000" w:sz="4" w:space="0"/>
              <w:right w:val="single" w:color="auto" w:sz="4" w:space="0"/>
            </w:tcBorders>
            <w:vAlign w:val="center"/>
          </w:tcPr>
          <w:p>
            <w:pPr>
              <w:jc w:val="left"/>
              <w:rPr>
                <w:rFonts w:ascii="宋体" w:hAnsi="宋体" w:eastAsia="宋体" w:cs="宋体"/>
                <w:b/>
                <w:sz w:val="24"/>
              </w:rPr>
            </w:pP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高温费</w:t>
            </w:r>
          </w:p>
        </w:tc>
        <w:tc>
          <w:tcPr>
            <w:tcW w:w="1795" w:type="pct"/>
            <w:gridSpan w:val="6"/>
            <w:tcBorders>
              <w:top w:val="single" w:color="000000" w:sz="4" w:space="0"/>
              <w:left w:val="nil"/>
              <w:bottom w:val="single" w:color="000000"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sz w:val="24"/>
              </w:rPr>
              <w:t>1200元/人</w:t>
            </w: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w:t>
            </w:r>
          </w:p>
        </w:tc>
        <w:tc>
          <w:tcPr>
            <w:tcW w:w="1795" w:type="pct"/>
            <w:gridSpan w:val="6"/>
            <w:tcBorders>
              <w:top w:val="single" w:color="000000" w:sz="4" w:space="0"/>
              <w:left w:val="nil"/>
              <w:bottom w:val="single" w:color="000000" w:sz="4" w:space="0"/>
              <w:right w:val="single" w:color="auto" w:sz="4" w:space="0"/>
            </w:tcBorders>
            <w:vAlign w:val="center"/>
          </w:tcPr>
          <w:p>
            <w:pPr>
              <w:jc w:val="left"/>
              <w:rPr>
                <w:rFonts w:ascii="宋体" w:hAnsi="宋体" w:eastAsia="宋体" w:cs="宋体"/>
                <w:sz w:val="24"/>
              </w:rPr>
            </w:pPr>
          </w:p>
        </w:tc>
        <w:tc>
          <w:tcPr>
            <w:tcW w:w="67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618"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b/>
                <w:sz w:val="24"/>
              </w:rPr>
            </w:pPr>
          </w:p>
        </w:tc>
        <w:tc>
          <w:tcPr>
            <w:tcW w:w="54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小计3</w:t>
            </w:r>
          </w:p>
        </w:tc>
        <w:tc>
          <w:tcPr>
            <w:tcW w:w="2473" w:type="pct"/>
            <w:gridSpan w:val="7"/>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848"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b/>
                <w:sz w:val="24"/>
              </w:rPr>
            </w:pPr>
          </w:p>
        </w:tc>
        <w:tc>
          <w:tcPr>
            <w:tcW w:w="1160"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人工费用合计（元/年）</w:t>
            </w:r>
          </w:p>
        </w:tc>
        <w:tc>
          <w:tcPr>
            <w:tcW w:w="2473" w:type="pct"/>
            <w:gridSpan w:val="7"/>
            <w:tcBorders>
              <w:top w:val="single" w:color="000000" w:sz="4" w:space="0"/>
              <w:left w:val="nil"/>
              <w:bottom w:val="single" w:color="000000" w:sz="4" w:space="0"/>
              <w:right w:val="single" w:color="auto" w:sz="4" w:space="0"/>
            </w:tcBorders>
            <w:vAlign w:val="center"/>
          </w:tcPr>
          <w:p>
            <w:pPr>
              <w:jc w:val="left"/>
              <w:rPr>
                <w:rFonts w:ascii="宋体" w:hAnsi="宋体" w:eastAsia="宋体" w:cs="宋体"/>
                <w:sz w:val="24"/>
              </w:rPr>
            </w:pPr>
            <w:r>
              <w:rPr>
                <w:rFonts w:hint="eastAsia" w:ascii="宋体" w:hAnsi="宋体" w:eastAsia="宋体" w:cs="宋体"/>
                <w:b/>
                <w:sz w:val="24"/>
              </w:rPr>
              <w:t>小计1+小计2+小计3=</w:t>
            </w:r>
          </w:p>
        </w:tc>
        <w:tc>
          <w:tcPr>
            <w:tcW w:w="519"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48" w:type="pct"/>
            <w:vMerge w:val="restart"/>
            <w:tcBorders>
              <w:top w:val="single" w:color="auto" w:sz="4" w:space="0"/>
              <w:left w:val="single" w:color="000000" w:sz="4" w:space="0"/>
              <w:right w:val="single" w:color="auto" w:sz="4" w:space="0"/>
            </w:tcBorders>
            <w:vAlign w:val="center"/>
          </w:tcPr>
          <w:p>
            <w:pPr>
              <w:rPr>
                <w:rFonts w:ascii="宋体" w:hAnsi="宋体" w:eastAsia="宋体" w:cs="宋体"/>
                <w:b/>
                <w:sz w:val="24"/>
              </w:rPr>
            </w:pPr>
            <w:r>
              <w:rPr>
                <w:rFonts w:hint="eastAsia" w:ascii="宋体" w:hAnsi="宋体" w:eastAsia="宋体" w:cs="宋体"/>
                <w:b/>
                <w:sz w:val="24"/>
              </w:rPr>
              <w:t>(2) 企业费用(包含企业利润、办公费用、意外伤残险、工作服、耗材、设备等全部费用)</w:t>
            </w:r>
          </w:p>
        </w:tc>
        <w:tc>
          <w:tcPr>
            <w:tcW w:w="1160" w:type="pct"/>
            <w:gridSpan w:val="2"/>
            <w:tcBorders>
              <w:top w:val="single" w:color="auto" w:sz="4" w:space="0"/>
              <w:left w:val="nil"/>
              <w:bottom w:val="single" w:color="000000" w:sz="4" w:space="0"/>
              <w:right w:val="single" w:color="000000" w:sz="4" w:space="0"/>
            </w:tcBorders>
            <w:vAlign w:val="center"/>
          </w:tcPr>
          <w:p>
            <w:pPr>
              <w:jc w:val="center"/>
              <w:rPr>
                <w:rFonts w:ascii="宋体" w:hAnsi="宋体" w:eastAsia="宋体" w:cs="宋体"/>
                <w:b/>
                <w:sz w:val="24"/>
              </w:rPr>
            </w:pPr>
          </w:p>
        </w:tc>
        <w:tc>
          <w:tcPr>
            <w:tcW w:w="1394" w:type="pct"/>
            <w:gridSpan w:val="4"/>
            <w:tcBorders>
              <w:top w:val="single" w:color="auto"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1项</w:t>
            </w:r>
          </w:p>
        </w:tc>
        <w:tc>
          <w:tcPr>
            <w:tcW w:w="1078" w:type="pct"/>
            <w:gridSpan w:val="3"/>
            <w:tcBorders>
              <w:top w:val="single" w:color="auto"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9" w:type="pct"/>
            <w:tcBorders>
              <w:top w:val="single" w:color="auto" w:sz="4" w:space="0"/>
              <w:left w:val="nil"/>
              <w:bottom w:val="single" w:color="000000" w:sz="4" w:space="0"/>
              <w:right w:val="single" w:color="000000" w:sz="4" w:space="0"/>
            </w:tcBorders>
            <w:vAlign w:val="center"/>
          </w:tcPr>
          <w:p>
            <w:pPr>
              <w:snapToGrid w:val="0"/>
              <w:rPr>
                <w:rFonts w:ascii="宋体" w:hAnsi="宋体" w:eastAsia="宋体" w:cs="宋体"/>
                <w:sz w:val="24"/>
              </w:rPr>
            </w:pPr>
            <w:r>
              <w:rPr>
                <w:rFonts w:hint="eastAsia" w:ascii="宋体" w:hAnsi="宋体" w:eastAsia="宋体" w:cs="宋体"/>
                <w:sz w:val="24"/>
              </w:rPr>
              <w:t>按项计取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pct"/>
            <w:vMerge w:val="continue"/>
            <w:tcBorders>
              <w:left w:val="single" w:color="000000" w:sz="4" w:space="0"/>
              <w:right w:val="single" w:color="auto" w:sz="4" w:space="0"/>
            </w:tcBorders>
            <w:vAlign w:val="center"/>
          </w:tcPr>
          <w:p>
            <w:pPr>
              <w:rPr>
                <w:rFonts w:ascii="宋体" w:hAnsi="宋体" w:eastAsia="宋体" w:cs="宋体"/>
                <w:b/>
                <w:sz w:val="24"/>
              </w:rPr>
            </w:pPr>
          </w:p>
        </w:tc>
        <w:tc>
          <w:tcPr>
            <w:tcW w:w="1161"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p>
        </w:tc>
        <w:tc>
          <w:tcPr>
            <w:tcW w:w="1394" w:type="pct"/>
            <w:gridSpan w:val="4"/>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1项</w:t>
            </w:r>
          </w:p>
        </w:tc>
        <w:tc>
          <w:tcPr>
            <w:tcW w:w="1079"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8" w:type="pct"/>
            <w:tcBorders>
              <w:top w:val="single" w:color="000000" w:sz="4" w:space="0"/>
              <w:left w:val="nil"/>
              <w:bottom w:val="single" w:color="000000" w:sz="4" w:space="0"/>
              <w:right w:val="single" w:color="000000" w:sz="4" w:space="0"/>
            </w:tcBorders>
            <w:vAlign w:val="center"/>
          </w:tcPr>
          <w:p>
            <w:pPr>
              <w:snapToGrid w:val="0"/>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pct"/>
            <w:vMerge w:val="continue"/>
            <w:tcBorders>
              <w:left w:val="single" w:color="000000" w:sz="4" w:space="0"/>
              <w:right w:val="single" w:color="auto" w:sz="4" w:space="0"/>
            </w:tcBorders>
            <w:vAlign w:val="center"/>
          </w:tcPr>
          <w:p>
            <w:pPr>
              <w:rPr>
                <w:rFonts w:ascii="宋体" w:hAnsi="宋体" w:eastAsia="宋体" w:cs="宋体"/>
                <w:b/>
                <w:sz w:val="24"/>
              </w:rPr>
            </w:pPr>
          </w:p>
        </w:tc>
        <w:tc>
          <w:tcPr>
            <w:tcW w:w="1161"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p>
        </w:tc>
        <w:tc>
          <w:tcPr>
            <w:tcW w:w="1394" w:type="pct"/>
            <w:gridSpan w:val="4"/>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1项</w:t>
            </w:r>
          </w:p>
        </w:tc>
        <w:tc>
          <w:tcPr>
            <w:tcW w:w="1079"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8" w:type="pct"/>
            <w:tcBorders>
              <w:top w:val="single" w:color="000000" w:sz="4" w:space="0"/>
              <w:left w:val="nil"/>
              <w:bottom w:val="single" w:color="000000" w:sz="4" w:space="0"/>
              <w:right w:val="single" w:color="000000" w:sz="4" w:space="0"/>
            </w:tcBorders>
            <w:vAlign w:val="center"/>
          </w:tcPr>
          <w:p>
            <w:pPr>
              <w:snapToGrid w:val="0"/>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8" w:type="pct"/>
            <w:vMerge w:val="continue"/>
            <w:tcBorders>
              <w:left w:val="single" w:color="000000" w:sz="4" w:space="0"/>
              <w:right w:val="single" w:color="auto" w:sz="4" w:space="0"/>
            </w:tcBorders>
            <w:vAlign w:val="center"/>
          </w:tcPr>
          <w:p>
            <w:pPr>
              <w:rPr>
                <w:rFonts w:ascii="宋体" w:hAnsi="宋体" w:eastAsia="宋体" w:cs="宋体"/>
                <w:b/>
                <w:sz w:val="24"/>
              </w:rPr>
            </w:pPr>
          </w:p>
        </w:tc>
        <w:tc>
          <w:tcPr>
            <w:tcW w:w="1161"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p>
        </w:tc>
        <w:tc>
          <w:tcPr>
            <w:tcW w:w="1394" w:type="pct"/>
            <w:gridSpan w:val="4"/>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w:t>
            </w:r>
          </w:p>
        </w:tc>
        <w:tc>
          <w:tcPr>
            <w:tcW w:w="1079"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8" w:type="pct"/>
            <w:tcBorders>
              <w:top w:val="single" w:color="000000" w:sz="4" w:space="0"/>
              <w:left w:val="nil"/>
              <w:bottom w:val="single" w:color="000000" w:sz="4" w:space="0"/>
              <w:right w:val="single" w:color="000000" w:sz="4" w:space="0"/>
            </w:tcBorders>
            <w:vAlign w:val="center"/>
          </w:tcPr>
          <w:p>
            <w:pPr>
              <w:snapToGrid w:val="0"/>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pct"/>
            <w:vMerge w:val="continue"/>
            <w:tcBorders>
              <w:left w:val="single" w:color="000000" w:sz="4" w:space="0"/>
              <w:bottom w:val="single" w:color="000000" w:sz="4" w:space="0"/>
              <w:right w:val="single" w:color="auto" w:sz="4" w:space="0"/>
            </w:tcBorders>
            <w:vAlign w:val="center"/>
          </w:tcPr>
          <w:p>
            <w:pPr>
              <w:rPr>
                <w:rFonts w:ascii="宋体" w:hAnsi="宋体" w:eastAsia="宋体" w:cs="宋体"/>
                <w:b/>
                <w:sz w:val="24"/>
              </w:rPr>
            </w:pPr>
          </w:p>
        </w:tc>
        <w:tc>
          <w:tcPr>
            <w:tcW w:w="1161"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企业费用合计（元/年）</w:t>
            </w:r>
          </w:p>
        </w:tc>
        <w:tc>
          <w:tcPr>
            <w:tcW w:w="1394" w:type="pct"/>
            <w:gridSpan w:val="4"/>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合计</w:t>
            </w:r>
          </w:p>
        </w:tc>
        <w:tc>
          <w:tcPr>
            <w:tcW w:w="1079"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8" w:type="pct"/>
            <w:tcBorders>
              <w:top w:val="single" w:color="000000" w:sz="4" w:space="0"/>
              <w:left w:val="nil"/>
              <w:bottom w:val="single" w:color="000000" w:sz="4" w:space="0"/>
              <w:right w:val="single" w:color="000000" w:sz="4" w:space="0"/>
            </w:tcBorders>
            <w:vAlign w:val="center"/>
          </w:tcPr>
          <w:p>
            <w:pPr>
              <w:snapToGrid w:val="0"/>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pct"/>
            <w:tcBorders>
              <w:top w:val="single" w:color="000000" w:sz="4" w:space="0"/>
              <w:left w:val="single" w:color="000000" w:sz="4" w:space="0"/>
              <w:bottom w:val="single" w:color="000000" w:sz="4" w:space="0"/>
              <w:right w:val="single" w:color="auto" w:sz="4" w:space="0"/>
            </w:tcBorders>
            <w:vAlign w:val="center"/>
          </w:tcPr>
          <w:p>
            <w:pPr>
              <w:rPr>
                <w:rFonts w:ascii="宋体" w:hAnsi="宋体" w:eastAsia="宋体" w:cs="宋体"/>
                <w:b/>
                <w:sz w:val="24"/>
              </w:rPr>
            </w:pPr>
            <w:r>
              <w:rPr>
                <w:rFonts w:hint="eastAsia" w:ascii="宋体" w:hAnsi="宋体" w:eastAsia="宋体" w:cs="宋体"/>
                <w:b/>
                <w:sz w:val="24"/>
              </w:rPr>
              <w:t>（3）税金</w:t>
            </w:r>
          </w:p>
        </w:tc>
        <w:tc>
          <w:tcPr>
            <w:tcW w:w="1161" w:type="pct"/>
            <w:gridSpan w:val="2"/>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税金合计（元/年）</w:t>
            </w:r>
          </w:p>
        </w:tc>
        <w:tc>
          <w:tcPr>
            <w:tcW w:w="1394" w:type="pct"/>
            <w:gridSpan w:val="4"/>
            <w:tcBorders>
              <w:top w:val="single" w:color="000000" w:sz="4" w:space="0"/>
              <w:left w:val="nil"/>
              <w:bottom w:val="single" w:color="000000"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[（1）+（2）]* 税率</w:t>
            </w:r>
          </w:p>
        </w:tc>
        <w:tc>
          <w:tcPr>
            <w:tcW w:w="1079" w:type="pct"/>
            <w:gridSpan w:val="3"/>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c>
          <w:tcPr>
            <w:tcW w:w="518" w:type="pct"/>
            <w:tcBorders>
              <w:top w:val="single" w:color="000000" w:sz="4" w:space="0"/>
              <w:left w:val="nil"/>
              <w:bottom w:val="single" w:color="000000" w:sz="4" w:space="0"/>
              <w:right w:val="single" w:color="000000" w:sz="4" w:space="0"/>
            </w:tcBorders>
            <w:vAlign w:val="center"/>
          </w:tcPr>
          <w:p>
            <w:pPr>
              <w:snapToGrid w:val="0"/>
              <w:rPr>
                <w:rFonts w:ascii="宋体" w:hAnsi="宋体" w:eastAsia="宋体" w:cs="宋体"/>
                <w:b/>
                <w:sz w:val="24"/>
              </w:rPr>
            </w:pPr>
            <w:r>
              <w:rPr>
                <w:rFonts w:hint="eastAsia" w:ascii="宋体" w:hAnsi="宋体" w:eastAsia="宋体" w:cs="宋体"/>
                <w:bCs/>
                <w:sz w:val="24"/>
              </w:rPr>
              <w:t>按项计取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0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sz w:val="24"/>
              </w:rPr>
            </w:pPr>
            <w:r>
              <w:rPr>
                <w:rFonts w:hint="eastAsia" w:ascii="宋体" w:hAnsi="宋体" w:eastAsia="宋体" w:cs="宋体"/>
                <w:b/>
                <w:sz w:val="24"/>
              </w:rPr>
              <w:t>总计（元/年）</w:t>
            </w:r>
          </w:p>
        </w:tc>
        <w:tc>
          <w:tcPr>
            <w:tcW w:w="2473" w:type="pct"/>
            <w:gridSpan w:val="7"/>
            <w:tcBorders>
              <w:top w:val="single" w:color="000000" w:sz="4" w:space="0"/>
              <w:left w:val="nil"/>
              <w:bottom w:val="single" w:color="000000" w:sz="4" w:space="0"/>
              <w:right w:val="single" w:color="000000" w:sz="4" w:space="0"/>
            </w:tcBorders>
            <w:vAlign w:val="center"/>
          </w:tcPr>
          <w:p>
            <w:pPr>
              <w:jc w:val="left"/>
              <w:rPr>
                <w:rFonts w:ascii="宋体" w:hAnsi="宋体" w:eastAsia="宋体" w:cs="宋体"/>
                <w:sz w:val="24"/>
              </w:rPr>
            </w:pPr>
            <w:r>
              <w:rPr>
                <w:rFonts w:hint="eastAsia" w:ascii="宋体" w:hAnsi="宋体" w:eastAsia="宋体" w:cs="宋体"/>
                <w:sz w:val="24"/>
              </w:rPr>
              <w:t>（1）+（2）+（3）=</w:t>
            </w:r>
          </w:p>
        </w:tc>
        <w:tc>
          <w:tcPr>
            <w:tcW w:w="518"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 w:val="24"/>
              </w:rPr>
            </w:pPr>
          </w:p>
        </w:tc>
      </w:tr>
    </w:tbl>
    <w:p>
      <w:pPr>
        <w:spacing w:before="5"/>
        <w:rPr>
          <w:b/>
          <w:bCs/>
          <w:color w:val="000000" w:themeColor="text1"/>
          <w:sz w:val="24"/>
          <w:szCs w:val="24"/>
          <w14:textFill>
            <w14:solidFill>
              <w14:schemeClr w14:val="tx1"/>
            </w14:solidFill>
          </w14:textFill>
        </w:rPr>
      </w:pPr>
    </w:p>
    <w:p>
      <w:pPr>
        <w:spacing w:before="5"/>
        <w:ind w:right="964"/>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p>
    <w:p>
      <w:pPr>
        <w:spacing w:line="360" w:lineRule="auto"/>
        <w:rPr>
          <w:rFonts w:ascii="宋体" w:hAnsi="宋体" w:eastAsia="宋体"/>
          <w:b/>
          <w:sz w:val="24"/>
          <w:szCs w:val="24"/>
        </w:rPr>
      </w:pPr>
    </w:p>
    <w:p>
      <w:pPr>
        <w:spacing w:line="360" w:lineRule="auto"/>
        <w:rPr>
          <w:rFonts w:ascii="宋体" w:hAnsi="宋体" w:eastAsia="宋体" w:cs="Times New Roman"/>
          <w:bCs/>
          <w:sz w:val="24"/>
          <w:szCs w:val="24"/>
        </w:rPr>
      </w:pPr>
      <w:r>
        <w:rPr>
          <w:rFonts w:hint="eastAsia" w:ascii="宋体" w:hAnsi="宋体" w:eastAsia="宋体"/>
          <w:b/>
          <w:sz w:val="24"/>
          <w:szCs w:val="24"/>
        </w:rPr>
        <w:t>注：</w:t>
      </w:r>
      <w:r>
        <w:rPr>
          <w:rFonts w:hint="eastAsia" w:ascii="宋体" w:hAnsi="宋体" w:eastAsia="宋体" w:cs="Times New Roman"/>
          <w:bCs/>
          <w:sz w:val="24"/>
          <w:szCs w:val="24"/>
        </w:rPr>
        <w:t>1、如果按单价计算的结果与总价不一致，以单价为准修正总价。</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2、“投标分项报价表”中的合计数应与“投标一览表”中的总报价一致，如有不一致，以“投标一览表”中的总报价为准。</w:t>
      </w:r>
    </w:p>
    <w:p>
      <w:pPr>
        <w:spacing w:line="360" w:lineRule="auto"/>
        <w:ind w:firstLine="480"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3、各工种人均综合单价报价高于“2021-2022年度常州市行政事业单位物业及相关服务定点采购项目（综合物业服务）”中标服务价格的作为无效投标处理。</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lang w:val="en-US" w:eastAsia="zh-CN"/>
        </w:rPr>
        <w:t>4</w:t>
      </w:r>
      <w:r>
        <w:rPr>
          <w:rFonts w:hint="eastAsia" w:ascii="宋体" w:hAnsi="宋体" w:eastAsia="宋体" w:cs="Times New Roman"/>
          <w:bCs/>
          <w:sz w:val="24"/>
          <w:szCs w:val="24"/>
        </w:rPr>
        <w:t>、合同期内若涉及本地区最低工资上调，涉及到工资差额、固定岗位工资差额、假日工资差额部分由中标单位承担。</w:t>
      </w:r>
    </w:p>
    <w:p>
      <w:pPr>
        <w:spacing w:line="360" w:lineRule="auto"/>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lang w:val="en-US" w:eastAsia="zh-CN"/>
        </w:rPr>
        <w:t>5</w:t>
      </w:r>
      <w:r>
        <w:rPr>
          <w:rFonts w:hint="eastAsia" w:ascii="宋体" w:hAnsi="宋体" w:eastAsia="宋体" w:cs="Times New Roman"/>
          <w:bCs/>
          <w:sz w:val="24"/>
          <w:szCs w:val="24"/>
        </w:rPr>
        <w:t>、分项报价表中合计、小计、总计各计算结果及合价均按照四舍五入法精确到个位（元）。</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highlight w:val="yellow"/>
          <w:lang w:val="en-US" w:eastAsia="zh-CN"/>
        </w:rPr>
        <w:t>6</w:t>
      </w:r>
      <w:r>
        <w:rPr>
          <w:rFonts w:hint="eastAsia" w:ascii="宋体" w:hAnsi="宋体" w:eastAsia="宋体" w:cs="Times New Roman"/>
          <w:bCs/>
          <w:sz w:val="24"/>
          <w:szCs w:val="24"/>
          <w:highlight w:val="yellow"/>
        </w:rPr>
        <w:t>、</w:t>
      </w:r>
      <w:r>
        <w:rPr>
          <w:rFonts w:hint="eastAsia" w:ascii="宋体" w:hAnsi="宋体" w:eastAsia="宋体"/>
          <w:b/>
          <w:bCs/>
          <w:sz w:val="24"/>
          <w:highlight w:val="yellow"/>
        </w:rPr>
        <w:t>不提供详细分项报价或填报不符合实质性要求将被视为无效投标文件。</w:t>
      </w:r>
    </w:p>
    <w:p>
      <w:pPr>
        <w:widowControl/>
        <w:jc w:val="left"/>
        <w:rPr>
          <w:rFonts w:ascii="宋体" w:hAnsi="宋体" w:eastAsia="宋体" w:cs="Times New Roman"/>
          <w:bCs/>
          <w:sz w:val="24"/>
          <w:szCs w:val="24"/>
        </w:rPr>
      </w:pPr>
      <w:r>
        <w:rPr>
          <w:rFonts w:ascii="宋体" w:hAnsi="宋体" w:eastAsia="宋体" w:cs="Times New Roman"/>
          <w:bCs/>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七、技术参数响应及偏离表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 xml:space="preserve">          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2"/>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color w:val="000000" w:themeColor="text1"/>
                <w14:textFill>
                  <w14:solidFill>
                    <w14:schemeClr w14:val="tx1"/>
                  </w14:solidFill>
                </w14:textFill>
              </w:rPr>
            </w:pPr>
          </w:p>
        </w:tc>
      </w:tr>
    </w:tbl>
    <w:p>
      <w:pPr>
        <w:rPr>
          <w:rFonts w:ascii="宋体"/>
          <w:b/>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bCs/>
          <w:color w:val="000000" w:themeColor="text1"/>
          <w:sz w:val="30"/>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）本表不得删除；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黑体" w:hAnsi="黑体" w:eastAsia="黑体"/>
          <w:sz w:val="28"/>
          <w:szCs w:val="28"/>
        </w:rPr>
      </w:pPr>
      <w:r>
        <w:rPr>
          <w:rFonts w:hint="eastAsia" w:ascii="黑体" w:hAnsi="黑体" w:eastAsia="黑体"/>
          <w:sz w:val="28"/>
          <w:szCs w:val="28"/>
        </w:rPr>
        <w:t>八、商务条款响应及偏离表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56"/>
        <w:gridCol w:w="2389"/>
        <w:gridCol w:w="1496"/>
        <w:gridCol w:w="35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项目</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比选文件要求</w:t>
            </w: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是否响应</w:t>
            </w: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宋体" w:hAnsi="宋体"/>
                <w:sz w:val="24"/>
                <w:szCs w:val="20"/>
              </w:rPr>
            </w:pPr>
            <w:r>
              <w:rPr>
                <w:rFonts w:hint="eastAsia" w:ascii="宋体" w:hAnsi="宋体"/>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质保期</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售后技术服务要求</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1"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交付时间及地点</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付款条件</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备品备件及耗材等要求</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265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r>
              <w:rPr>
                <w:rFonts w:hint="eastAsia" w:ascii="宋体" w:hAnsi="宋体"/>
                <w:sz w:val="24"/>
              </w:rPr>
              <w:t>其他</w:t>
            </w:r>
          </w:p>
        </w:tc>
        <w:tc>
          <w:tcPr>
            <w:tcW w:w="238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149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c>
          <w:tcPr>
            <w:tcW w:w="3587"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宋体" w:hAnsi="宋体"/>
                <w:sz w:val="24"/>
                <w:szCs w:val="20"/>
              </w:rPr>
            </w:pPr>
          </w:p>
        </w:tc>
      </w:tr>
    </w:tbl>
    <w:p>
      <w:pP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p>
    <w:p>
      <w:pPr>
        <w:spacing w:line="360" w:lineRule="auto"/>
        <w:rPr>
          <w:rFonts w:ascii="黑体" w:hAnsi="黑体" w:eastAsia="黑体"/>
          <w:bCs/>
          <w:sz w:val="28"/>
          <w:szCs w:val="28"/>
        </w:rPr>
      </w:pPr>
      <w:r>
        <w:rPr>
          <w:rFonts w:hint="eastAsia" w:ascii="黑体" w:hAnsi="黑体" w:eastAsia="黑体"/>
          <w:sz w:val="28"/>
          <w:szCs w:val="28"/>
        </w:rPr>
        <w:t>九、技术方案、服务承诺、培训承诺</w:t>
      </w:r>
    </w:p>
    <w:p>
      <w:bookmarkStart w:id="79" w:name="_Toc59000746"/>
    </w:p>
    <w:p>
      <w:r>
        <w:rPr>
          <w:rFonts w:hint="eastAsia"/>
        </w:rPr>
        <w:t>（内容格式自定）</w:t>
      </w:r>
      <w:bookmarkEnd w:id="79"/>
    </w:p>
    <w:p>
      <w:pPr>
        <w:rPr>
          <w:sz w:val="30"/>
        </w:rPr>
      </w:pPr>
      <w:r>
        <w:rPr>
          <w:rFonts w:hint="eastAsia"/>
          <w:sz w:val="30"/>
        </w:rPr>
        <w:t xml:space="preserve">    </w:t>
      </w:r>
      <w:r>
        <w:rPr>
          <w:sz w:val="30"/>
        </w:rPr>
        <w:t>……</w:t>
      </w:r>
    </w:p>
    <w:p>
      <w:pPr>
        <w:rPr>
          <w:rFonts w:ascii="黑体" w:eastAsia="黑体"/>
          <w:bCs/>
          <w:color w:val="000000" w:themeColor="text1"/>
          <w:kern w:val="0"/>
          <w:sz w:val="24"/>
          <w:szCs w:val="24"/>
          <w14:textFill>
            <w14:solidFill>
              <w14:schemeClr w14:val="tx1"/>
            </w14:solidFill>
          </w14:textFill>
        </w:rPr>
      </w:pPr>
      <w:bookmarkStart w:id="80" w:name="_Toc55147059"/>
      <w:r>
        <w:br w:type="page"/>
      </w:r>
    </w:p>
    <w:bookmarkEnd w:id="80"/>
    <w:p>
      <w:pPr>
        <w:spacing w:line="360" w:lineRule="auto"/>
        <w:rPr>
          <w:rFonts w:ascii="黑体" w:hAnsi="黑体" w:eastAsia="黑体"/>
          <w:bCs/>
          <w:sz w:val="28"/>
          <w:szCs w:val="28"/>
        </w:rPr>
      </w:pPr>
      <w:bookmarkStart w:id="81" w:name="_Toc55147061"/>
      <w:r>
        <w:rPr>
          <w:rFonts w:hint="eastAsia" w:ascii="黑体" w:hAnsi="黑体" w:eastAsia="黑体"/>
          <w:sz w:val="28"/>
          <w:szCs w:val="28"/>
        </w:rPr>
        <w:t>十、其他格式附件</w:t>
      </w:r>
    </w:p>
    <w:p>
      <w:pPr>
        <w:rPr>
          <w:rFonts w:ascii="黑体" w:hAnsi="黑体" w:eastAsia="黑体"/>
          <w:sz w:val="24"/>
          <w:szCs w:val="24"/>
        </w:rPr>
      </w:pPr>
      <w:r>
        <w:rPr>
          <w:rFonts w:hint="eastAsia" w:ascii="黑体" w:hAnsi="黑体" w:eastAsia="黑体"/>
          <w:sz w:val="24"/>
          <w:szCs w:val="24"/>
        </w:rPr>
        <w:t>（一）响应函（格式）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比选文件，经仔细阅读和研究，我方决定参加此项目的报价。</w:t>
      </w:r>
    </w:p>
    <w:p>
      <w:pPr>
        <w:numPr>
          <w:ilvl w:val="0"/>
          <w:numId w:val="5"/>
        </w:numPr>
        <w:tabs>
          <w:tab w:val="left" w:pos="315"/>
          <w:tab w:val="left" w:pos="840"/>
          <w:tab w:val="left" w:pos="945"/>
          <w:tab w:val="left" w:pos="1050"/>
          <w:tab w:val="left" w:pos="1260"/>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我方愿意按照比选文件的一切要求，提供本项目的报价，总价见《报价一览表》。</w:t>
      </w:r>
    </w:p>
    <w:p>
      <w:pPr>
        <w:numPr>
          <w:ilvl w:val="0"/>
          <w:numId w:val="5"/>
        </w:numPr>
        <w:tabs>
          <w:tab w:val="left" w:pos="0"/>
          <w:tab w:val="left" w:pos="315"/>
          <w:tab w:val="left" w:pos="525"/>
          <w:tab w:val="left" w:pos="840"/>
          <w:tab w:val="left" w:pos="945"/>
          <w:tab w:val="left" w:pos="1050"/>
        </w:tabs>
        <w:spacing w:line="360" w:lineRule="auto"/>
        <w:ind w:left="0" w:firstLine="523" w:firstLineChars="218"/>
        <w:rPr>
          <w:rStyle w:val="38"/>
          <w:rFonts w:hAnsi="Times New Roman" w:cs="Times New Roman"/>
          <w:bCs/>
          <w:color w:val="000000" w:themeColor="text1"/>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我方愿意提供比选文件中要求的文件、资料。</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我方同意按比选文件中的规定，本响应文件报价的有效期限为报价截止之日起6</w:t>
      </w:r>
      <w:r>
        <w:rPr>
          <w:rFonts w:ascii="宋体" w:hAnsi="宋体"/>
          <w:bCs/>
          <w:color w:val="000000" w:themeColor="text1"/>
          <w:sz w:val="24"/>
          <w:szCs w:val="24"/>
          <w14:textFill>
            <w14:solidFill>
              <w14:schemeClr w14:val="tx1"/>
            </w14:solidFill>
          </w14:textFill>
        </w:rPr>
        <w:t>0</w:t>
      </w:r>
      <w:r>
        <w:rPr>
          <w:rFonts w:hint="eastAsia" w:ascii="宋体" w:hAnsi="宋体"/>
          <w:bCs/>
          <w:color w:val="000000" w:themeColor="text1"/>
          <w:sz w:val="24"/>
          <w:szCs w:val="24"/>
          <w14:textFill>
            <w14:solidFill>
              <w14:schemeClr w14:val="tx1"/>
            </w14:solidFill>
          </w14:textFill>
        </w:rPr>
        <w:t>天。</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如果我方的响应文件被接受，我方将履行比选文件中规定的每一项要求，按期、按质、按量，完成交货任务。</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我方愿意遵守《中华人民共</w:t>
      </w:r>
      <w:r>
        <w:rPr>
          <w:rFonts w:hint="eastAsia" w:ascii="宋体" w:hAnsi="宋体"/>
          <w:bCs/>
          <w:sz w:val="24"/>
          <w:szCs w:val="24"/>
        </w:rPr>
        <w:t>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比选文件</w:t>
      </w:r>
      <w:r>
        <w:rPr>
          <w:rFonts w:hint="eastAsia" w:ascii="宋体" w:hAnsi="宋体"/>
          <w:bCs/>
          <w:sz w:val="24"/>
          <w:szCs w:val="24"/>
        </w:rPr>
        <w:t>所有的规定。</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比选文件</w:t>
      </w:r>
      <w:r>
        <w:rPr>
          <w:rFonts w:hint="eastAsia" w:ascii="宋体" w:hAnsi="宋体"/>
          <w:bCs/>
          <w:sz w:val="24"/>
          <w:szCs w:val="24"/>
        </w:rPr>
        <w:t>的规定填写《投标（报价）承诺函》。如我方在报价截止期后撤回响应及成交后拒绝遵守报价承诺或拒绝在规定的时间内与采购人签订合同，则接受政府采购监督管理部门的处理。</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比选文件</w:t>
      </w:r>
      <w:r>
        <w:rPr>
          <w:rFonts w:hint="eastAsia" w:ascii="宋体" w:hAnsi="宋体"/>
          <w:bCs/>
          <w:sz w:val="24"/>
          <w:szCs w:val="24"/>
        </w:rPr>
        <w:t>、响应文件和合同条款的，一经查实，我方愿意赔偿由此而造成的一切损失，并同意接受按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比选文件</w:t>
      </w:r>
      <w:r>
        <w:rPr>
          <w:rFonts w:hint="eastAsia" w:ascii="宋体" w:hAnsi="宋体"/>
          <w:bCs/>
          <w:sz w:val="24"/>
          <w:szCs w:val="24"/>
        </w:rPr>
        <w:t>的相关要求对我方进行的处理。</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5"/>
        </w:numPr>
        <w:tabs>
          <w:tab w:val="left" w:pos="0"/>
          <w:tab w:val="left" w:pos="315"/>
          <w:tab w:val="left" w:pos="525"/>
          <w:tab w:val="left" w:pos="945"/>
          <w:tab w:val="left" w:pos="1050"/>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如果我们中标，我们将按照比选文件的规定向贵公司支付采购代理服务费；为执行合同，我们将按供应商须知有关要求提供必要的履约保证。</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p>
    <w:p>
      <w:pPr>
        <w:widowControl/>
        <w:jc w:val="left"/>
        <w:rPr>
          <w:rFonts w:ascii="黑体" w:hAnsi="宋体" w:eastAsia="黑体"/>
          <w:bCs/>
          <w:color w:val="000000" w:themeColor="text1"/>
          <w:sz w:val="24"/>
          <w:szCs w:val="24"/>
          <w14:textFill>
            <w14:solidFill>
              <w14:schemeClr w14:val="tx1"/>
            </w14:solidFill>
          </w14:textFill>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rPr>
          <w:rFonts w:ascii="黑体" w:hAnsi="黑体" w:eastAsia="黑体"/>
          <w:sz w:val="24"/>
          <w:szCs w:val="24"/>
        </w:rPr>
      </w:pPr>
      <w:bookmarkStart w:id="82" w:name="_Toc55147054"/>
      <w:r>
        <w:rPr>
          <w:rFonts w:hint="eastAsia" w:ascii="黑体" w:hAnsi="黑体" w:eastAsia="黑体"/>
          <w:sz w:val="24"/>
          <w:szCs w:val="24"/>
        </w:rPr>
        <w:t>（二）</w:t>
      </w:r>
      <w:bookmarkEnd w:id="82"/>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83" w:name="报价方关于资格的声明函（格式）"/>
      <w:bookmarkEnd w:id="83"/>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常州中采招投标有限公司：</w:t>
      </w:r>
    </w:p>
    <w:p>
      <w:pPr>
        <w:spacing w:line="480" w:lineRule="auto"/>
        <w:rPr>
          <w:rFonts w:ascii="宋体"/>
          <w:bCs/>
          <w:color w:val="000000" w:themeColor="text1"/>
          <w:sz w:val="24"/>
          <w:szCs w:val="24"/>
          <w14:textFill>
            <w14:solidFill>
              <w14:schemeClr w14:val="tx1"/>
            </w14:solidFill>
          </w14:textFill>
        </w:rPr>
      </w:pPr>
    </w:p>
    <w:p>
      <w:pPr>
        <w:spacing w:line="48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我公司（单位）参加本次项目（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黑体" w:eastAsia="黑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投标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480" w:lineRule="auto"/>
        <w:rPr>
          <w:rFonts w:ascii="宋体"/>
          <w:bCs/>
          <w:color w:val="000000" w:themeColor="text1"/>
          <w:sz w:val="24"/>
          <w:szCs w:val="24"/>
          <w14:textFill>
            <w14:solidFill>
              <w14:schemeClr w14:val="tx1"/>
            </w14:solidFill>
          </w14:textFill>
        </w:rPr>
      </w:pP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8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80" w:lineRule="auto"/>
        <w:rPr>
          <w:rFonts w:asci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p>
    <w:p>
      <w:pPr>
        <w:spacing w:line="48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rPr>
          <w:rFonts w:ascii="黑体" w:hAnsi="黑体" w:eastAsia="黑体"/>
          <w:sz w:val="24"/>
          <w:szCs w:val="24"/>
        </w:rPr>
      </w:pPr>
      <w:r>
        <w:rPr>
          <w:rFonts w:hint="eastAsia" w:ascii="黑体" w:hAnsi="黑体" w:eastAsia="黑体"/>
          <w:sz w:val="24"/>
          <w:szCs w:val="24"/>
        </w:rPr>
        <w:t>（三）联合体协议（格式）</w:t>
      </w:r>
    </w:p>
    <w:p>
      <w:pPr>
        <w:spacing w:line="360" w:lineRule="auto"/>
        <w:jc w:val="center"/>
        <w:rPr>
          <w:rFonts w:ascii="黑体" w:eastAsia="黑体"/>
          <w:bCs/>
          <w:color w:val="000000" w:themeColor="text1"/>
          <w:sz w:val="28"/>
          <w:szCs w:val="28"/>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联合体协议</w:t>
      </w:r>
    </w:p>
    <w:p>
      <w:pPr>
        <w:spacing w:line="560" w:lineRule="exact"/>
        <w:ind w:firstLine="645"/>
        <w:rPr>
          <w:rFonts w:ascii="宋体" w:hAnsi="宋体"/>
          <w:sz w:val="24"/>
          <w:szCs w:val="21"/>
        </w:rPr>
      </w:pPr>
    </w:p>
    <w:p>
      <w:pPr>
        <w:spacing w:line="560" w:lineRule="exact"/>
        <w:ind w:firstLine="645"/>
        <w:rPr>
          <w:rFonts w:ascii="宋体" w:hAnsi="宋体"/>
          <w:sz w:val="24"/>
          <w:szCs w:val="21"/>
        </w:rPr>
      </w:pPr>
    </w:p>
    <w:p>
      <w:pPr>
        <w:spacing w:line="560" w:lineRule="exact"/>
        <w:ind w:firstLine="645"/>
        <w:rPr>
          <w:rFonts w:ascii="宋体" w:hAnsi="宋体"/>
          <w:sz w:val="24"/>
          <w:szCs w:val="21"/>
        </w:rPr>
      </w:pPr>
    </w:p>
    <w:p>
      <w:pPr>
        <w:spacing w:line="560" w:lineRule="exact"/>
        <w:ind w:firstLine="645"/>
        <w:rPr>
          <w:rFonts w:ascii="宋体" w:hAnsi="宋体"/>
          <w:sz w:val="24"/>
          <w:szCs w:val="21"/>
        </w:rPr>
      </w:pPr>
    </w:p>
    <w:p>
      <w:pPr>
        <w:spacing w:line="560" w:lineRule="exact"/>
        <w:ind w:firstLine="645"/>
        <w:rPr>
          <w:rFonts w:ascii="宋体" w:hAnsi="宋体"/>
          <w:sz w:val="24"/>
          <w:szCs w:val="21"/>
        </w:rPr>
      </w:pPr>
    </w:p>
    <w:p>
      <w:pPr>
        <w:spacing w:line="560" w:lineRule="exact"/>
        <w:ind w:firstLine="645"/>
        <w:jc w:val="center"/>
        <w:rPr>
          <w:rFonts w:ascii="宋体" w:hAnsi="宋体"/>
          <w:sz w:val="24"/>
          <w:szCs w:val="21"/>
        </w:rPr>
      </w:pPr>
      <w:r>
        <w:rPr>
          <w:rFonts w:hint="eastAsia" w:ascii="宋体" w:hAnsi="宋体"/>
          <w:sz w:val="24"/>
          <w:szCs w:val="21"/>
        </w:rPr>
        <w:t>本项目无</w:t>
      </w: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460" w:lineRule="exact"/>
        <w:rPr>
          <w:rFonts w:ascii="宋体" w:hAnsi="宋体"/>
          <w:bCs/>
          <w:sz w:val="24"/>
          <w:szCs w:val="21"/>
        </w:rPr>
      </w:pPr>
    </w:p>
    <w:p>
      <w:pPr>
        <w:spacing w:line="560" w:lineRule="exact"/>
        <w:ind w:firstLine="240" w:firstLineChars="100"/>
        <w:rPr>
          <w:rFonts w:ascii="宋体" w:hAnsi="宋体"/>
          <w:sz w:val="24"/>
          <w:szCs w:val="21"/>
        </w:rPr>
      </w:pP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84" w:name="_Toc55147055"/>
      <w:r>
        <w:rPr>
          <w:rFonts w:hint="eastAsia" w:ascii="黑体" w:hAnsi="宋体" w:eastAsia="黑体"/>
          <w:bCs/>
          <w:color w:val="000000" w:themeColor="text1"/>
          <w:sz w:val="24"/>
          <w:szCs w:val="24"/>
          <w14:textFill>
            <w14:solidFill>
              <w14:schemeClr w14:val="tx1"/>
            </w14:solidFill>
          </w14:textFill>
        </w:rPr>
        <w:t>（四）法定代表人资格证明书/法定代表人授权委托书</w:t>
      </w:r>
      <w:bookmarkEnd w:id="84"/>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560" w:lineRule="exact"/>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（供应商名称）的法定代表人。为实施</w:t>
      </w:r>
      <w:r>
        <w:rPr>
          <w:rFonts w:ascii="宋体" w:hAnsi="宋体"/>
          <w:sz w:val="24"/>
        </w:rPr>
        <w:t xml:space="preserve"> </w:t>
      </w:r>
      <w:r>
        <w:rPr>
          <w:rFonts w:hint="eastAsia" w:ascii="宋体" w:hAnsi="宋体"/>
          <w:sz w:val="24"/>
          <w:u w:val="single"/>
        </w:rPr>
        <w:t xml:space="preserve">                 </w:t>
      </w:r>
      <w:r>
        <w:rPr>
          <w:rFonts w:hint="eastAsia" w:ascii="宋体" w:hAnsi="宋体"/>
          <w:sz w:val="24"/>
        </w:rPr>
        <w:t>项目（</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）的工作，签署上述项目的响应文件、进行合同谈判、签署合同和处理与之有关的一切事务。</w:t>
      </w:r>
    </w:p>
    <w:p>
      <w:pPr>
        <w:spacing w:line="560" w:lineRule="exact"/>
        <w:rPr>
          <w:rFonts w:ascii="宋体" w:hAnsi="宋体"/>
          <w:sz w:val="24"/>
        </w:rPr>
      </w:pPr>
      <w:r>
        <w:rPr>
          <w:rFonts w:hint="eastAsia" w:ascii="宋体" w:hAnsi="宋体"/>
          <w:sz w:val="24"/>
        </w:rPr>
        <w:t>特此证明。</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ascii="宋体" w:hAnsi="宋体"/>
          <w:sz w:val="24"/>
        </w:rPr>
        <w:t xml:space="preserve">                   </w:t>
      </w:r>
      <w:r>
        <w:rPr>
          <w:rFonts w:hint="eastAsia" w:ascii="宋体" w:hAnsi="宋体"/>
          <w:sz w:val="24"/>
        </w:rPr>
        <w:t>供应商：（公章）</w:t>
      </w:r>
    </w:p>
    <w:p>
      <w:pPr>
        <w:spacing w:line="560" w:lineRule="exact"/>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560" w:lineRule="exact"/>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spacing w:line="560" w:lineRule="exact"/>
        <w:rPr>
          <w:rFonts w:ascii="宋体" w:hAnsi="宋体"/>
          <w:sz w:val="24"/>
        </w:rPr>
      </w:pPr>
      <w:r>
        <w:rPr>
          <w:rFonts w:hint="eastAsia" w:ascii="宋体" w:hAnsi="宋体"/>
          <w:sz w:val="24"/>
        </w:rPr>
        <w:t>法定代表人身份证复印件：</w:t>
      </w:r>
    </w:p>
    <w:tbl>
      <w:tblPr>
        <w:tblStyle w:val="33"/>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068"/>
        <w:gridCol w:w="5069"/>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99" w:hRule="atLeast"/>
        </w:trPr>
        <w:tc>
          <w:tcPr>
            <w:tcW w:w="5068"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法定代表人身份证复印件（正面）</w:t>
            </w:r>
          </w:p>
        </w:tc>
        <w:tc>
          <w:tcPr>
            <w:tcW w:w="5069" w:type="dxa"/>
            <w:vAlign w:val="center"/>
          </w:tcPr>
          <w:p>
            <w:pPr>
              <w:autoSpaceDE w:val="0"/>
              <w:autoSpaceDN w:val="0"/>
              <w:adjustRightInd w:val="0"/>
              <w:jc w:val="center"/>
              <w:rPr>
                <w:rFonts w:ascii="宋体" w:hAnsi="宋体" w:cs="宋体"/>
                <w:sz w:val="24"/>
              </w:rPr>
            </w:pPr>
            <w:r>
              <w:rPr>
                <w:rFonts w:hint="eastAsia" w:ascii="宋体" w:hAnsi="宋体" w:cs="宋体"/>
                <w:sz w:val="24"/>
              </w:rPr>
              <w:t>法定代表人身份证复印件（背面）</w:t>
            </w:r>
          </w:p>
        </w:tc>
      </w:tr>
    </w:tbl>
    <w:p>
      <w:pPr>
        <w:autoSpaceDE w:val="0"/>
        <w:autoSpaceDN w:val="0"/>
        <w:adjustRightInd w:val="0"/>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备注：</w:t>
      </w:r>
    </w:p>
    <w:p>
      <w:pPr>
        <w:snapToGrid w:val="0"/>
        <w:spacing w:line="360" w:lineRule="auto"/>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rPr>
          <w:rFonts w:ascii="宋体" w:hAnsi="宋体" w:cs="宋体"/>
          <w:sz w:val="24"/>
        </w:rPr>
      </w:pPr>
      <w:r>
        <w:rPr>
          <w:rFonts w:hint="eastAsia" w:ascii="宋体" w:hAnsi="宋体" w:cs="宋体"/>
          <w:sz w:val="24"/>
        </w:rPr>
        <w:t>2.代理人参加报价时，需携带法定代表人授权委托书和本人身份证原件。</w:t>
      </w: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85"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u w:val="single"/>
        </w:rPr>
        <w:t>______________________</w:t>
      </w:r>
      <w:r>
        <w:rPr>
          <w:rFonts w:hint="eastAsia" w:ascii="宋体" w:hAnsi="宋体"/>
          <w:sz w:val="24"/>
        </w:rPr>
        <w:t>（供应商名称）的</w:t>
      </w:r>
      <w:r>
        <w:rPr>
          <w:rFonts w:ascii="宋体" w:hAnsi="宋体"/>
          <w:sz w:val="24"/>
          <w:u w:val="single"/>
        </w:rPr>
        <w:t>____________</w:t>
      </w:r>
      <w:r>
        <w:rPr>
          <w:rFonts w:hint="eastAsia" w:ascii="宋体" w:hAnsi="宋体"/>
          <w:sz w:val="24"/>
        </w:rPr>
        <w:t>（法定代表人姓名、职务）代表供应商授权</w:t>
      </w:r>
      <w:r>
        <w:rPr>
          <w:rFonts w:ascii="宋体" w:hAnsi="宋体"/>
          <w:sz w:val="24"/>
          <w:u w:val="single"/>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）报价的合法代理人，全权负责参加本次政府采购项目的报价、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rPr>
        <w:t xml:space="preserve"> 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bCs/>
          <w:sz w:val="24"/>
        </w:rPr>
        <w:t>_____________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rPr>
        <w:t>代理人（签字或盖章）：_____________</w:t>
      </w:r>
    </w:p>
    <w:p>
      <w:pPr>
        <w:spacing w:line="360" w:lineRule="auto"/>
        <w:ind w:firstLine="480" w:firstLineChars="200"/>
        <w:rPr>
          <w:rFonts w:ascii="宋体" w:hAnsi="宋体"/>
          <w:sz w:val="24"/>
        </w:rPr>
      </w:pPr>
      <w:r>
        <w:rPr>
          <w:rFonts w:hint="eastAsia" w:ascii="宋体" w:hAnsi="宋体"/>
          <w:sz w:val="24"/>
        </w:rPr>
        <w:t>代理人身份证复印件：</w:t>
      </w:r>
    </w:p>
    <w:tbl>
      <w:tblPr>
        <w:tblStyle w:val="33"/>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762"/>
        <w:gridCol w:w="47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57" w:hRule="atLeast"/>
          <w:jc w:val="center"/>
        </w:trPr>
        <w:tc>
          <w:tcPr>
            <w:tcW w:w="4762"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被授权代表身份证复印件（正面）</w:t>
            </w:r>
          </w:p>
        </w:tc>
        <w:tc>
          <w:tcPr>
            <w:tcW w:w="4763" w:type="dxa"/>
            <w:vAlign w:val="center"/>
          </w:tcPr>
          <w:p>
            <w:pPr>
              <w:autoSpaceDE w:val="0"/>
              <w:autoSpaceDN w:val="0"/>
              <w:adjustRightInd w:val="0"/>
              <w:spacing w:line="360" w:lineRule="auto"/>
              <w:ind w:firstLine="200"/>
              <w:jc w:val="center"/>
              <w:rPr>
                <w:rFonts w:ascii="宋体" w:hAnsi="宋体" w:cs="宋体"/>
                <w:sz w:val="24"/>
              </w:rPr>
            </w:pPr>
            <w:r>
              <w:rPr>
                <w:rFonts w:hint="eastAsia" w:ascii="宋体" w:hAnsi="宋体" w:cs="宋体"/>
                <w:sz w:val="24"/>
              </w:rPr>
              <w:t>被授权代表身份证复印件（背面）</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w:t>
      </w:r>
      <w:bookmarkEnd w:id="85"/>
      <w:bookmarkStart w:id="86" w:name="_Toc59000743"/>
      <w:r>
        <w:rPr>
          <w:rFonts w:hint="eastAsia" w:ascii="黑体" w:hAnsi="宋体" w:eastAsia="黑体"/>
          <w:bCs/>
          <w:color w:val="000000" w:themeColor="text1"/>
          <w:sz w:val="24"/>
          <w:szCs w:val="24"/>
          <w14:textFill>
            <w14:solidFill>
              <w14:schemeClr w14:val="tx1"/>
            </w14:solidFill>
          </w14:textFill>
        </w:rPr>
        <w:t>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p>
      <w:pPr>
        <w:pStyle w:val="128"/>
      </w:pPr>
      <w:r>
        <w:rPr>
          <w:rFonts w:hint="eastAsia"/>
        </w:rPr>
        <w:t>具备履行合同所必需的设备和专业技术能力的书面声明</w:t>
      </w:r>
      <w:bookmarkEnd w:id="86"/>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法定代表人或代理人（签字或盖章）：_____________</w:t>
      </w:r>
    </w:p>
    <w:p>
      <w:pPr>
        <w:spacing w:line="460" w:lineRule="exact"/>
        <w:ind w:firstLine="3120" w:firstLineChars="1300"/>
        <w:jc w:val="left"/>
        <w:rPr>
          <w:rFonts w:ascii="宋体" w:hAnsi="宋体"/>
          <w:bCs/>
          <w:sz w:val="24"/>
        </w:rPr>
      </w:pPr>
      <w:r>
        <w:rPr>
          <w:rFonts w:hint="eastAsia" w:ascii="宋体" w:hAnsi="宋体"/>
          <w:bCs/>
          <w:sz w:val="24"/>
        </w:rPr>
        <w:t>日期：______年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（六）参加投标活动前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pStyle w:val="128"/>
      </w:pPr>
      <w:bookmarkStart w:id="87" w:name="_Toc59000745"/>
      <w:r>
        <w:rPr>
          <w:rFonts w:hint="eastAsia"/>
        </w:rPr>
        <w:t>参加投标活动前 3 年内在经营活动中没有重大违法记录的书面声明</w:t>
      </w:r>
      <w:bookmarkEnd w:id="87"/>
    </w:p>
    <w:p>
      <w:pPr>
        <w:pStyle w:val="128"/>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郑重声明：参加本次投标活动前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法定代表人或代理人（签字或盖章）：_______________</w:t>
      </w:r>
    </w:p>
    <w:p>
      <w:pPr>
        <w:spacing w:line="560" w:lineRule="exact"/>
        <w:ind w:firstLine="495"/>
        <w:rPr>
          <w:rFonts w:ascii="宋体" w:hAnsi="宋体"/>
          <w:sz w:val="24"/>
        </w:rPr>
      </w:pPr>
      <w:r>
        <w:rPr>
          <w:rFonts w:hint="eastAsia" w:ascii="宋体" w:hAnsi="宋体"/>
          <w:sz w:val="24"/>
        </w:rPr>
        <w:t xml:space="preserve">                      日期: ______年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both"/>
        <w:rPr>
          <w:rFonts w:hint="eastAsia"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（七）</w:t>
      </w:r>
      <w:r>
        <w:rPr>
          <w:rFonts w:ascii="黑体" w:hAnsi="宋体" w:eastAsia="黑体"/>
          <w:bCs/>
          <w:color w:val="000000" w:themeColor="text1"/>
          <w:sz w:val="24"/>
          <w:szCs w:val="24"/>
          <w14:textFill>
            <w14:solidFill>
              <w14:schemeClr w14:val="tx1"/>
            </w14:solidFill>
          </w14:textFill>
        </w:rPr>
        <w:t>承诺函（实质性条款）</w:t>
      </w:r>
    </w:p>
    <w:p>
      <w:pPr>
        <w:widowControl/>
        <w:jc w:val="both"/>
        <w:rPr>
          <w:rFonts w:hint="eastAsia" w:ascii="黑体" w:hAnsi="宋体" w:eastAsia="黑体"/>
          <w:bCs/>
          <w:color w:val="000000" w:themeColor="text1"/>
          <w:sz w:val="24"/>
          <w:szCs w:val="24"/>
          <w14:textFill>
            <w14:solidFill>
              <w14:schemeClr w14:val="tx1"/>
            </w14:solidFill>
          </w14:textFill>
        </w:rPr>
      </w:pPr>
    </w:p>
    <w:p>
      <w:pPr>
        <w:widowControl/>
        <w:jc w:val="center"/>
        <w:rPr>
          <w:rFonts w:asciiTheme="minorEastAsia" w:hAnsiTheme="minorEastAsia"/>
          <w:b/>
          <w:bCs/>
          <w:color w:val="000000" w:themeColor="text1"/>
          <w:sz w:val="24"/>
          <w:szCs w:val="24"/>
          <w14:textFill>
            <w14:solidFill>
              <w14:schemeClr w14:val="tx1"/>
            </w14:solidFill>
          </w14:textFill>
        </w:rPr>
      </w:pPr>
      <w:r>
        <w:rPr>
          <w:rFonts w:asciiTheme="minorEastAsia" w:hAnsiTheme="minorEastAsia"/>
          <w:b/>
          <w:bCs/>
          <w:color w:val="000000" w:themeColor="text1"/>
          <w:sz w:val="24"/>
          <w:szCs w:val="24"/>
          <w14:textFill>
            <w14:solidFill>
              <w14:schemeClr w14:val="tx1"/>
            </w14:solidFill>
          </w14:textFill>
        </w:rPr>
        <w:t>承诺函</w:t>
      </w:r>
    </w:p>
    <w:p>
      <w:pPr>
        <w:widowControl/>
        <w:jc w:val="left"/>
        <w:rPr>
          <w:rFonts w:asciiTheme="minorEastAsia" w:hAnsiTheme="minorEastAsia"/>
          <w:bCs/>
          <w:color w:val="000000" w:themeColor="text1"/>
          <w:sz w:val="24"/>
          <w:szCs w:val="24"/>
          <w14:textFill>
            <w14:solidFill>
              <w14:schemeClr w14:val="tx1"/>
            </w14:solidFill>
          </w14:textFill>
        </w:rPr>
      </w:pPr>
    </w:p>
    <w:p>
      <w:pPr>
        <w:snapToGrid w:val="0"/>
        <w:spacing w:line="360" w:lineRule="auto"/>
        <w:jc w:val="left"/>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本公司</w:t>
      </w:r>
      <w:r>
        <w:rPr>
          <w:rFonts w:asciiTheme="minorEastAsia" w:hAnsiTheme="minorEastAsia"/>
          <w:bCs/>
          <w:color w:val="000000" w:themeColor="text1"/>
          <w:sz w:val="24"/>
          <w:szCs w:val="24"/>
          <w14:textFill>
            <w14:solidFill>
              <w14:schemeClr w14:val="tx1"/>
            </w14:solidFill>
          </w14:textFill>
        </w:rPr>
        <w:t>郑重承诺：</w:t>
      </w:r>
    </w:p>
    <w:p>
      <w:pPr>
        <w:numPr>
          <w:ilvl w:val="0"/>
          <w:numId w:val="6"/>
        </w:numPr>
        <w:snapToGrid w:val="0"/>
        <w:spacing w:line="360" w:lineRule="auto"/>
        <w:ind w:firstLine="480" w:firstLineChars="200"/>
        <w:jc w:val="left"/>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承诺接必须接收原项目上拟留用的工作人员</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rPr>
        <w:t>并保证</w:t>
      </w:r>
      <w:r>
        <w:rPr>
          <w:rFonts w:hint="eastAsia" w:cs="宋体" w:asciiTheme="minorEastAsia" w:hAnsiTheme="minorEastAsia"/>
          <w:color w:val="000000"/>
          <w:sz w:val="24"/>
          <w:szCs w:val="24"/>
          <w:lang w:val="en-US" w:eastAsia="zh-CN"/>
        </w:rPr>
        <w:t>6</w:t>
      </w:r>
      <w:r>
        <w:rPr>
          <w:rFonts w:hint="eastAsia" w:cs="宋体" w:asciiTheme="minorEastAsia" w:hAnsiTheme="minorEastAsia"/>
          <w:color w:val="000000"/>
          <w:sz w:val="24"/>
          <w:szCs w:val="24"/>
        </w:rPr>
        <w:t>个月的平稳过渡期，过渡期内原则上禁止开除原工作人员。</w:t>
      </w:r>
      <w:r>
        <w:rPr>
          <w:rFonts w:hint="eastAsia" w:cs="宋体" w:asciiTheme="minorEastAsia" w:hAnsiTheme="minorEastAsia"/>
          <w:color w:val="000000"/>
          <w:sz w:val="24"/>
          <w:szCs w:val="24"/>
          <w:lang w:val="en-US" w:eastAsia="zh-CN"/>
        </w:rPr>
        <w:t>6</w:t>
      </w:r>
      <w:r>
        <w:rPr>
          <w:rFonts w:hint="eastAsia" w:cs="宋体" w:asciiTheme="minorEastAsia" w:hAnsiTheme="minorEastAsia"/>
          <w:color w:val="000000"/>
          <w:sz w:val="24"/>
          <w:szCs w:val="24"/>
        </w:rPr>
        <w:t>个月后根据员工实际工作和考核情况予以调整。</w:t>
      </w:r>
    </w:p>
    <w:p>
      <w:pPr>
        <w:widowControl/>
        <w:spacing w:line="360" w:lineRule="auto"/>
        <w:ind w:firstLine="480" w:firstLineChars="200"/>
        <w:jc w:val="left"/>
        <w:rPr>
          <w:rFonts w:hint="eastAsia" w:cs="宋体" w:asciiTheme="minorEastAsia" w:hAnsiTheme="minorEastAsia"/>
          <w:sz w:val="24"/>
          <w:szCs w:val="24"/>
        </w:rPr>
      </w:pPr>
      <w:r>
        <w:rPr>
          <w:rFonts w:hint="eastAsia" w:cs="宋体" w:asciiTheme="minorEastAsia" w:hAnsiTheme="minorEastAsia"/>
          <w:sz w:val="24"/>
          <w:szCs w:val="24"/>
        </w:rPr>
        <w:t>2、人员配备不低于下表要求数量：</w:t>
      </w:r>
    </w:p>
    <w:tbl>
      <w:tblPr>
        <w:tblStyle w:val="3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01"/>
        <w:gridCol w:w="1247"/>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8" w:type="dxa"/>
            <w:vAlign w:val="center"/>
          </w:tcPr>
          <w:p>
            <w:pPr>
              <w:snapToGrid w:val="0"/>
              <w:spacing w:line="360" w:lineRule="auto"/>
              <w:jc w:val="left"/>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2101"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部门（岗位）</w:t>
            </w:r>
          </w:p>
        </w:tc>
        <w:tc>
          <w:tcPr>
            <w:tcW w:w="1247"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人数最低配置</w:t>
            </w:r>
          </w:p>
        </w:tc>
        <w:tc>
          <w:tcPr>
            <w:tcW w:w="4673"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1</w:t>
            </w:r>
          </w:p>
        </w:tc>
        <w:tc>
          <w:tcPr>
            <w:tcW w:w="2101" w:type="dxa"/>
            <w:vAlign w:val="center"/>
          </w:tcPr>
          <w:p>
            <w:pPr>
              <w:snapToGrid w:val="0"/>
              <w:spacing w:line="360" w:lineRule="auto"/>
              <w:jc w:val="center"/>
              <w:rPr>
                <w:rFonts w:cs="宋体" w:asciiTheme="minorEastAsia" w:hAnsiTheme="minorEastAsia"/>
                <w:color w:val="000000"/>
                <w:sz w:val="24"/>
                <w:szCs w:val="24"/>
              </w:rPr>
            </w:pPr>
            <w:r>
              <w:rPr>
                <w:rFonts w:hint="eastAsia" w:cs="Times New Roman" w:asciiTheme="minorEastAsia" w:hAnsiTheme="minorEastAsia"/>
                <w:color w:val="000000"/>
                <w:sz w:val="24"/>
                <w:szCs w:val="24"/>
              </w:rPr>
              <w:t>项目负责人</w:t>
            </w:r>
          </w:p>
        </w:tc>
        <w:tc>
          <w:tcPr>
            <w:tcW w:w="1247" w:type="dxa"/>
            <w:vAlign w:val="center"/>
          </w:tcPr>
          <w:p>
            <w:pPr>
              <w:keepNext w:val="0"/>
              <w:keepLines w:val="0"/>
              <w:widowControl/>
              <w:suppressLineNumbers w:val="0"/>
              <w:jc w:val="center"/>
              <w:textAlignment w:val="center"/>
              <w:rPr>
                <w:rFonts w:cs="Times New Roman"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4673" w:type="dxa"/>
            <w:vAlign w:val="center"/>
          </w:tcPr>
          <w:p>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男性或女性年龄均在50周岁（含）以下，具有高中（含）以上文化程度、2年以上物业经理经验。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2</w:t>
            </w:r>
          </w:p>
        </w:tc>
        <w:tc>
          <w:tcPr>
            <w:tcW w:w="2101" w:type="dxa"/>
            <w:vAlign w:val="center"/>
          </w:tcPr>
          <w:p>
            <w:pPr>
              <w:snapToGrid w:val="0"/>
              <w:spacing w:line="360" w:lineRule="auto"/>
              <w:jc w:val="center"/>
              <w:rPr>
                <w:rFonts w:cs="宋体" w:asciiTheme="minorEastAsia" w:hAnsiTheme="minorEastAsia"/>
                <w:color w:val="000000"/>
                <w:sz w:val="24"/>
                <w:szCs w:val="24"/>
              </w:rPr>
            </w:pPr>
            <w:r>
              <w:rPr>
                <w:rFonts w:hint="eastAsia" w:cs="Times New Roman" w:asciiTheme="minorEastAsia" w:hAnsiTheme="minorEastAsia"/>
                <w:color w:val="000000"/>
                <w:sz w:val="24"/>
                <w:szCs w:val="24"/>
              </w:rPr>
              <w:t>客服兼内勤及档案信息管理</w:t>
            </w:r>
          </w:p>
        </w:tc>
        <w:tc>
          <w:tcPr>
            <w:tcW w:w="1247" w:type="dxa"/>
            <w:vAlign w:val="center"/>
          </w:tcPr>
          <w:p>
            <w:pPr>
              <w:keepNext w:val="0"/>
              <w:keepLines w:val="0"/>
              <w:widowControl/>
              <w:suppressLineNumbers w:val="0"/>
              <w:jc w:val="center"/>
              <w:textAlignment w:val="center"/>
              <w:rPr>
                <w:rFonts w:cs="Times New Roman"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4673" w:type="dxa"/>
            <w:vAlign w:val="center"/>
          </w:tcPr>
          <w:p>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大专（含）以上文化程度，身体健康。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3</w:t>
            </w:r>
          </w:p>
        </w:tc>
        <w:tc>
          <w:tcPr>
            <w:tcW w:w="2101" w:type="dxa"/>
            <w:vAlign w:val="center"/>
          </w:tcPr>
          <w:p>
            <w:pPr>
              <w:snapToGrid w:val="0"/>
              <w:spacing w:line="360" w:lineRule="auto"/>
              <w:jc w:val="center"/>
              <w:rPr>
                <w:rFonts w:cs="宋体" w:asciiTheme="minorEastAsia" w:hAnsiTheme="minorEastAsia"/>
                <w:color w:val="000000"/>
                <w:sz w:val="24"/>
                <w:szCs w:val="24"/>
              </w:rPr>
            </w:pPr>
            <w:r>
              <w:rPr>
                <w:rFonts w:hint="eastAsia" w:cs="Times New Roman" w:asciiTheme="minorEastAsia" w:hAnsiTheme="minorEastAsia"/>
                <w:color w:val="000000"/>
                <w:sz w:val="24"/>
                <w:szCs w:val="24"/>
              </w:rPr>
              <w:t>水电工、维修人员</w:t>
            </w:r>
          </w:p>
        </w:tc>
        <w:tc>
          <w:tcPr>
            <w:tcW w:w="1247" w:type="dxa"/>
            <w:vAlign w:val="center"/>
          </w:tcPr>
          <w:p>
            <w:pPr>
              <w:keepNext w:val="0"/>
              <w:keepLines w:val="0"/>
              <w:widowControl/>
              <w:suppressLineNumbers w:val="0"/>
              <w:jc w:val="center"/>
              <w:textAlignment w:val="center"/>
              <w:rPr>
                <w:rFonts w:cs="Times New Roman"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4673" w:type="dxa"/>
            <w:vAlign w:val="center"/>
          </w:tcPr>
          <w:p>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50周岁以下，身体健康，具有高中以上文化程度，持有电工进网作业许可证、特种作业操作证，从事水电气维修工作三年以上经验，精通水电气维修。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4</w:t>
            </w:r>
          </w:p>
        </w:tc>
        <w:tc>
          <w:tcPr>
            <w:tcW w:w="2101" w:type="dxa"/>
            <w:vAlign w:val="center"/>
          </w:tcPr>
          <w:p>
            <w:pPr>
              <w:snapToGrid w:val="0"/>
              <w:spacing w:line="360" w:lineRule="auto"/>
              <w:jc w:val="center"/>
              <w:rPr>
                <w:rFonts w:hint="default" w:cs="Times New Roman" w:asciiTheme="minorEastAsia" w:hAnsiTheme="minorEastAsia" w:eastAsiaTheme="minorEastAsia"/>
                <w:color w:val="000000"/>
                <w:sz w:val="24"/>
                <w:szCs w:val="24"/>
                <w:lang w:val="en-US" w:eastAsia="zh-CN"/>
              </w:rPr>
            </w:pPr>
            <w:r>
              <w:rPr>
                <w:rFonts w:hint="eastAsia" w:cs="Times New Roman" w:asciiTheme="minorEastAsia" w:hAnsiTheme="minorEastAsia"/>
                <w:color w:val="000000"/>
                <w:sz w:val="24"/>
                <w:szCs w:val="24"/>
                <w:lang w:val="en-US" w:eastAsia="zh-CN"/>
              </w:rPr>
              <w:t>消防安全人员</w:t>
            </w:r>
          </w:p>
        </w:tc>
        <w:tc>
          <w:tcPr>
            <w:tcW w:w="1247" w:type="dxa"/>
            <w:vAlign w:val="center"/>
          </w:tcPr>
          <w:p>
            <w:pPr>
              <w:keepNext w:val="0"/>
              <w:keepLines w:val="0"/>
              <w:widowControl/>
              <w:suppressLineNumbers w:val="0"/>
              <w:jc w:val="center"/>
              <w:textAlignment w:val="center"/>
              <w:rPr>
                <w:rFonts w:cs="Times New Roman"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4673" w:type="dxa"/>
            <w:vAlign w:val="center"/>
          </w:tcPr>
          <w:p>
            <w:pPr>
              <w:snapToGrid w:val="0"/>
              <w:spacing w:line="360" w:lineRule="auto"/>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5</w:t>
            </w:r>
          </w:p>
        </w:tc>
        <w:tc>
          <w:tcPr>
            <w:tcW w:w="2101" w:type="dxa"/>
            <w:vAlign w:val="center"/>
          </w:tcPr>
          <w:p>
            <w:pPr>
              <w:snapToGrid w:val="0"/>
              <w:spacing w:line="360" w:lineRule="auto"/>
              <w:jc w:val="center"/>
              <w:rPr>
                <w:rFonts w:cs="宋体" w:asciiTheme="minorEastAsia" w:hAnsiTheme="minorEastAsia"/>
                <w:color w:val="000000"/>
                <w:sz w:val="24"/>
                <w:szCs w:val="24"/>
              </w:rPr>
            </w:pPr>
            <w:r>
              <w:rPr>
                <w:rFonts w:hint="eastAsia" w:cs="Times New Roman" w:asciiTheme="minorEastAsia" w:hAnsiTheme="minorEastAsia"/>
                <w:color w:val="000000"/>
                <w:sz w:val="24"/>
                <w:szCs w:val="24"/>
              </w:rPr>
              <w:t>秩序维护员</w:t>
            </w:r>
          </w:p>
        </w:tc>
        <w:tc>
          <w:tcPr>
            <w:tcW w:w="1247" w:type="dxa"/>
            <w:vAlign w:val="center"/>
          </w:tcPr>
          <w:p>
            <w:pPr>
              <w:keepNext w:val="0"/>
              <w:keepLines w:val="0"/>
              <w:widowControl/>
              <w:suppressLineNumbers w:val="0"/>
              <w:jc w:val="center"/>
              <w:textAlignment w:val="center"/>
              <w:rPr>
                <w:rFonts w:cs="Times New Roman"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7</w:t>
            </w:r>
          </w:p>
        </w:tc>
        <w:tc>
          <w:tcPr>
            <w:tcW w:w="4673" w:type="dxa"/>
            <w:vAlign w:val="center"/>
          </w:tcPr>
          <w:p>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6</w:t>
            </w:r>
          </w:p>
        </w:tc>
        <w:tc>
          <w:tcPr>
            <w:tcW w:w="2101" w:type="dxa"/>
            <w:vAlign w:val="center"/>
          </w:tcPr>
          <w:p>
            <w:pPr>
              <w:snapToGrid w:val="0"/>
              <w:spacing w:line="360" w:lineRule="auto"/>
              <w:jc w:val="center"/>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车辆管理</w:t>
            </w:r>
          </w:p>
        </w:tc>
        <w:tc>
          <w:tcPr>
            <w:tcW w:w="1247" w:type="dxa"/>
            <w:vAlign w:val="center"/>
          </w:tcPr>
          <w:p>
            <w:pPr>
              <w:keepNext w:val="0"/>
              <w:keepLines w:val="0"/>
              <w:widowControl/>
              <w:suppressLineNumbers w:val="0"/>
              <w:jc w:val="center"/>
              <w:textAlignment w:val="center"/>
              <w:rPr>
                <w:rFonts w:cs="Times New Roman"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1</w:t>
            </w:r>
          </w:p>
        </w:tc>
        <w:tc>
          <w:tcPr>
            <w:tcW w:w="4673" w:type="dxa"/>
            <w:vAlign w:val="center"/>
          </w:tcPr>
          <w:p>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napToGrid w:val="0"/>
              <w:spacing w:line="360" w:lineRule="auto"/>
              <w:jc w:val="center"/>
              <w:rPr>
                <w:rFonts w:cs="Times New Roman" w:asciiTheme="minorEastAsia" w:hAnsiTheme="minorEastAsia"/>
                <w:sz w:val="24"/>
                <w:szCs w:val="24"/>
              </w:rPr>
            </w:pPr>
            <w:r>
              <w:rPr>
                <w:rFonts w:hint="eastAsia" w:cs="Times New Roman" w:asciiTheme="minorEastAsia" w:hAnsiTheme="minorEastAsia"/>
                <w:sz w:val="24"/>
                <w:szCs w:val="24"/>
              </w:rPr>
              <w:t>7</w:t>
            </w:r>
          </w:p>
        </w:tc>
        <w:tc>
          <w:tcPr>
            <w:tcW w:w="2101" w:type="dxa"/>
            <w:vAlign w:val="center"/>
          </w:tcPr>
          <w:p>
            <w:pPr>
              <w:snapToGrid w:val="0"/>
              <w:spacing w:line="360" w:lineRule="auto"/>
              <w:jc w:val="center"/>
              <w:rPr>
                <w:rFonts w:cs="宋体" w:asciiTheme="minorEastAsia" w:hAnsiTheme="minorEastAsia"/>
                <w:color w:val="000000"/>
                <w:sz w:val="24"/>
                <w:szCs w:val="24"/>
              </w:rPr>
            </w:pPr>
            <w:r>
              <w:rPr>
                <w:rFonts w:hint="eastAsia" w:cs="Times New Roman" w:asciiTheme="minorEastAsia" w:hAnsiTheme="minorEastAsia"/>
                <w:color w:val="000000"/>
                <w:sz w:val="24"/>
                <w:szCs w:val="24"/>
              </w:rPr>
              <w:t>保洁员</w:t>
            </w:r>
          </w:p>
        </w:tc>
        <w:tc>
          <w:tcPr>
            <w:tcW w:w="1247" w:type="dxa"/>
            <w:vAlign w:val="center"/>
          </w:tcPr>
          <w:p>
            <w:pPr>
              <w:keepNext w:val="0"/>
              <w:keepLines w:val="0"/>
              <w:widowControl/>
              <w:suppressLineNumbers w:val="0"/>
              <w:jc w:val="center"/>
              <w:textAlignment w:val="center"/>
              <w:rPr>
                <w:rFonts w:cs="宋体"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22</w:t>
            </w:r>
          </w:p>
        </w:tc>
        <w:tc>
          <w:tcPr>
            <w:tcW w:w="4673" w:type="dxa"/>
            <w:vAlign w:val="center"/>
          </w:tcPr>
          <w:p>
            <w:pPr>
              <w:snapToGrid w:val="0"/>
              <w:spacing w:line="360" w:lineRule="auto"/>
              <w:rPr>
                <w:rFonts w:cs="Times New Roman" w:asciiTheme="minorEastAsia" w:hAnsiTheme="minorEastAsia"/>
                <w:sz w:val="24"/>
                <w:szCs w:val="24"/>
              </w:rPr>
            </w:pPr>
            <w:r>
              <w:rPr>
                <w:rFonts w:hint="eastAsia" w:cs="Times New Roman" w:asciiTheme="minorEastAsia" w:hAnsiTheme="minorEastAsia"/>
                <w:sz w:val="24"/>
                <w:szCs w:val="24"/>
              </w:rPr>
              <w:t>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snapToGrid w:val="0"/>
              <w:spacing w:line="360" w:lineRule="auto"/>
              <w:jc w:val="center"/>
              <w:rPr>
                <w:rFonts w:cs="Times New Roman" w:asciiTheme="minorEastAsia" w:hAnsiTheme="minorEastAsia"/>
                <w:sz w:val="24"/>
                <w:szCs w:val="24"/>
              </w:rPr>
            </w:pPr>
          </w:p>
        </w:tc>
        <w:tc>
          <w:tcPr>
            <w:tcW w:w="2101" w:type="dxa"/>
            <w:vAlign w:val="center"/>
          </w:tcPr>
          <w:p>
            <w:pPr>
              <w:snapToGrid w:val="0"/>
              <w:spacing w:line="360" w:lineRule="auto"/>
              <w:jc w:val="center"/>
              <w:rPr>
                <w:rFonts w:cs="宋体" w:asciiTheme="minorEastAsia" w:hAnsiTheme="minorEastAsia"/>
                <w:color w:val="000000"/>
                <w:sz w:val="24"/>
                <w:szCs w:val="24"/>
              </w:rPr>
            </w:pPr>
            <w:r>
              <w:rPr>
                <w:rFonts w:hint="eastAsia" w:cs="Times New Roman" w:asciiTheme="minorEastAsia" w:hAnsiTheme="minorEastAsia"/>
                <w:color w:val="000000"/>
                <w:sz w:val="24"/>
                <w:szCs w:val="24"/>
              </w:rPr>
              <w:t>合计</w:t>
            </w:r>
          </w:p>
        </w:tc>
        <w:tc>
          <w:tcPr>
            <w:tcW w:w="1247" w:type="dxa"/>
            <w:vAlign w:val="center"/>
          </w:tcPr>
          <w:p>
            <w:pPr>
              <w:keepNext w:val="0"/>
              <w:keepLines w:val="0"/>
              <w:widowControl/>
              <w:suppressLineNumbers w:val="0"/>
              <w:jc w:val="center"/>
              <w:textAlignment w:val="center"/>
              <w:rPr>
                <w:rFonts w:cs="宋体" w:asciiTheme="minorEastAsia" w:hAnsiTheme="minorEastAsia"/>
                <w:color w:val="000000"/>
                <w:sz w:val="24"/>
                <w:szCs w:val="24"/>
                <w:highlight w:val="yellow"/>
              </w:rPr>
            </w:pPr>
            <w:r>
              <w:rPr>
                <w:rFonts w:hint="eastAsia" w:ascii="宋体" w:hAnsi="宋体" w:eastAsia="宋体" w:cs="宋体"/>
                <w:i w:val="0"/>
                <w:iCs w:val="0"/>
                <w:color w:val="000000"/>
                <w:kern w:val="0"/>
                <w:sz w:val="24"/>
                <w:szCs w:val="24"/>
                <w:highlight w:val="yellow"/>
                <w:u w:val="none"/>
                <w:lang w:val="en-US" w:eastAsia="zh-CN" w:bidi="ar"/>
              </w:rPr>
              <w:t>34</w:t>
            </w:r>
          </w:p>
        </w:tc>
        <w:tc>
          <w:tcPr>
            <w:tcW w:w="4673" w:type="dxa"/>
            <w:vAlign w:val="center"/>
          </w:tcPr>
          <w:p>
            <w:pPr>
              <w:snapToGrid w:val="0"/>
              <w:spacing w:line="360" w:lineRule="auto"/>
              <w:jc w:val="center"/>
              <w:rPr>
                <w:rFonts w:cs="Times New Roman" w:asciiTheme="minorEastAsia" w:hAnsiTheme="minorEastAsia"/>
                <w:color w:val="FF0000"/>
                <w:sz w:val="24"/>
                <w:szCs w:val="24"/>
              </w:rPr>
            </w:pPr>
          </w:p>
        </w:tc>
      </w:tr>
    </w:tbl>
    <w:p>
      <w:pPr>
        <w:widowControl/>
        <w:numPr>
          <w:ilvl w:val="0"/>
          <w:numId w:val="6"/>
        </w:numPr>
        <w:spacing w:line="360" w:lineRule="auto"/>
        <w:ind w:left="0" w:leftChars="0" w:firstLine="480" w:firstLineChars="200"/>
        <w:jc w:val="left"/>
        <w:rPr>
          <w:rFonts w:hint="eastAsia" w:cs="宋体" w:asciiTheme="minorEastAsia" w:hAnsiTheme="minorEastAsia"/>
          <w:b/>
          <w:bCs/>
          <w:color w:val="FF0000"/>
          <w:sz w:val="24"/>
          <w:szCs w:val="24"/>
        </w:rPr>
      </w:pPr>
      <w:r>
        <w:rPr>
          <w:rFonts w:hint="eastAsia" w:cs="宋体" w:asciiTheme="minorEastAsia" w:hAnsiTheme="minorEastAsia"/>
          <w:b/>
          <w:bCs/>
          <w:color w:val="FF0000"/>
          <w:sz w:val="24"/>
          <w:szCs w:val="24"/>
        </w:rPr>
        <w:t>比选文件中，</w:t>
      </w:r>
      <w:r>
        <w:rPr>
          <w:rFonts w:hint="eastAsia" w:cs="宋体" w:asciiTheme="minorEastAsia" w:hAnsiTheme="minorEastAsia"/>
          <w:b/>
          <w:bCs/>
          <w:color w:val="FF0000"/>
          <w:sz w:val="24"/>
          <w:szCs w:val="24"/>
          <w:lang w:val="en-US" w:eastAsia="zh-CN"/>
        </w:rPr>
        <w:t>其他</w:t>
      </w:r>
      <w:r>
        <w:rPr>
          <w:rFonts w:hint="eastAsia" w:cs="宋体" w:asciiTheme="minorEastAsia" w:hAnsiTheme="minorEastAsia"/>
          <w:b/>
          <w:bCs/>
          <w:color w:val="FF0000"/>
          <w:sz w:val="24"/>
          <w:szCs w:val="24"/>
        </w:rPr>
        <w:t>需要作出承诺的请自行添加。</w:t>
      </w:r>
    </w:p>
    <w:p>
      <w:pPr>
        <w:widowControl/>
        <w:numPr>
          <w:ilvl w:val="0"/>
          <w:numId w:val="0"/>
        </w:numPr>
        <w:spacing w:line="360" w:lineRule="auto"/>
        <w:jc w:val="left"/>
        <w:rPr>
          <w:rFonts w:hint="eastAsia" w:cs="宋体" w:asciiTheme="minorEastAsia" w:hAnsiTheme="minorEastAsia" w:eastAsiaTheme="minorEastAsia"/>
          <w:sz w:val="24"/>
          <w:szCs w:val="24"/>
          <w:lang w:val="en-US" w:eastAsia="zh-CN"/>
        </w:rPr>
      </w:pPr>
    </w:p>
    <w:p>
      <w:pPr>
        <w:widowControl/>
        <w:jc w:val="left"/>
        <w:rPr>
          <w:rFonts w:cs="宋体" w:asciiTheme="minorEastAsia" w:hAnsiTheme="minorEastAsia"/>
          <w:sz w:val="24"/>
          <w:szCs w:val="24"/>
        </w:rPr>
      </w:pPr>
      <w:r>
        <w:rPr>
          <w:rFonts w:hint="eastAsia" w:cs="宋体" w:asciiTheme="minorEastAsia" w:hAnsiTheme="minorEastAsia"/>
          <w:sz w:val="24"/>
          <w:szCs w:val="24"/>
        </w:rPr>
        <w:br w:type="textWrapping"/>
      </w:r>
    </w:p>
    <w:p>
      <w:pPr>
        <w:widowControl/>
        <w:spacing w:line="360" w:lineRule="auto"/>
        <w:jc w:val="left"/>
        <w:rPr>
          <w:rFonts w:hint="eastAsia" w:asciiTheme="minorEastAsia" w:hAnsiTheme="minorEastAsia"/>
          <w:b/>
          <w:bCs/>
          <w:color w:val="000000" w:themeColor="text1"/>
          <w:sz w:val="24"/>
          <w:szCs w:val="24"/>
          <w:u w:val="single"/>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企业名称（盖章）：</w:t>
      </w:r>
      <w:r>
        <w:rPr>
          <w:rFonts w:hint="eastAsia" w:asciiTheme="minorEastAsia" w:hAnsiTheme="minorEastAsia"/>
          <w:b/>
          <w:bCs/>
          <w:color w:val="000000" w:themeColor="text1"/>
          <w:sz w:val="24"/>
          <w:szCs w:val="24"/>
          <w:u w:val="single"/>
          <w14:textFill>
            <w14:solidFill>
              <w14:schemeClr w14:val="tx1"/>
            </w14:solidFill>
          </w14:textFill>
        </w:rPr>
        <w:t>______________________________</w:t>
      </w:r>
    </w:p>
    <w:p>
      <w:pPr>
        <w:widowControl/>
        <w:spacing w:line="360" w:lineRule="auto"/>
        <w:jc w:val="left"/>
        <w:rPr>
          <w:rFonts w:hint="eastAsia" w:asciiTheme="minorEastAsia" w:hAnsiTheme="minorEastAsia"/>
          <w:b/>
          <w:bCs/>
          <w:color w:val="000000" w:themeColor="text1"/>
          <w:sz w:val="24"/>
          <w:szCs w:val="24"/>
          <w:u w:val="single"/>
          <w14:textFill>
            <w14:solidFill>
              <w14:schemeClr w14:val="tx1"/>
            </w14:solidFill>
          </w14:textFill>
        </w:rPr>
      </w:pPr>
    </w:p>
    <w:p>
      <w:pPr>
        <w:widowControl/>
        <w:spacing w:line="360" w:lineRule="auto"/>
        <w:jc w:val="left"/>
        <w:rPr>
          <w:rFonts w:cs="宋体" w:asciiTheme="minorEastAsia" w:hAnsiTheme="minorEastAsia"/>
          <w:sz w:val="24"/>
          <w:szCs w:val="24"/>
        </w:rPr>
      </w:pPr>
      <w:r>
        <w:rPr>
          <w:rFonts w:hint="eastAsia" w:asciiTheme="minorEastAsia" w:hAnsiTheme="minorEastAsia"/>
          <w:b/>
          <w:bCs/>
          <w:color w:val="000000" w:themeColor="text1"/>
          <w:sz w:val="24"/>
          <w:szCs w:val="24"/>
          <w14:textFill>
            <w14:solidFill>
              <w14:schemeClr w14:val="tx1"/>
            </w14:solidFill>
          </w14:textFill>
        </w:rPr>
        <w:t>日           期：______________________________</w:t>
      </w:r>
    </w:p>
    <w:p>
      <w:pPr>
        <w:widowControl/>
        <w:jc w:val="left"/>
        <w:rPr>
          <w:rFonts w:cs="宋体" w:asciiTheme="minorEastAsia" w:hAnsiTheme="minorEastAsia"/>
          <w:sz w:val="24"/>
          <w:szCs w:val="24"/>
        </w:rPr>
      </w:pPr>
      <w:r>
        <w:rPr>
          <w:rFonts w:cs="宋体" w:asciiTheme="minorEastAsia" w:hAnsiTheme="minorEastAsia"/>
          <w:sz w:val="24"/>
          <w:szCs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（八）项目人员配置表</w:t>
      </w:r>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 表格不够可自行延长。</w:t>
      </w:r>
    </w:p>
    <w:p>
      <w:pPr>
        <w:widowControl/>
        <w:jc w:val="left"/>
        <w:rPr>
          <w:rFonts w:hint="eastAsia" w:ascii="黑体" w:hAnsi="宋体" w:eastAsia="黑体"/>
          <w:bCs/>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br w:type="page"/>
      </w:r>
      <w:bookmarkEnd w:id="81"/>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w:t>
      </w:r>
      <w:r>
        <w:rPr>
          <w:rFonts w:hint="eastAsia" w:ascii="黑体" w:hAnsi="宋体" w:eastAsia="黑体"/>
          <w:bCs/>
          <w:color w:val="000000" w:themeColor="text1"/>
          <w:sz w:val="24"/>
          <w:szCs w:val="24"/>
          <w:lang w:eastAsia="zh-CN"/>
          <w14:textFill>
            <w14:solidFill>
              <w14:schemeClr w14:val="tx1"/>
            </w14:solidFill>
          </w14:textFill>
        </w:rPr>
        <w:t>九</w:t>
      </w:r>
      <w:r>
        <w:rPr>
          <w:rFonts w:hint="eastAsia" w:ascii="黑体" w:hAnsi="宋体" w:eastAsia="黑体"/>
          <w:bCs/>
          <w:color w:val="000000" w:themeColor="text1"/>
          <w:sz w:val="24"/>
          <w:szCs w:val="24"/>
          <w14:textFill>
            <w14:solidFill>
              <w14:schemeClr w14:val="tx1"/>
            </w14:solidFill>
          </w14:textFill>
        </w:rPr>
        <w:t>）疫情期间参与政府采购活动开评标人员健康信息登记表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疫情期间参与政府采购活动开评标人员健康信息登记表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pStyle w:val="110"/>
              <w:numPr>
                <w:ilvl w:val="0"/>
                <w:numId w:val="7"/>
              </w:numPr>
              <w:ind w:firstLineChars="0"/>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pPr>
      <w:r>
        <w:br w:type="page"/>
      </w:r>
    </w:p>
    <w:p>
      <w:pPr>
        <w:pStyle w:val="122"/>
      </w:pPr>
      <w:bookmarkStart w:id="88" w:name="_Toc70403691"/>
      <w:r>
        <w:rPr>
          <w:rFonts w:hint="eastAsia"/>
        </w:rPr>
        <w:t>友 情 提 醒</w:t>
      </w:r>
      <w:bookmarkEnd w:id="88"/>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请谨记比选文件上表述的各项事宜时间节点，特别是开标时间和地点，迟到的将一律不能进入开标室。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w:t>
      </w:r>
      <w:r>
        <w:rPr>
          <w:rFonts w:hint="eastAsia" w:asciiTheme="minorEastAsia" w:hAnsiTheme="minorEastAsia"/>
          <w:color w:val="000000" w:themeColor="text1"/>
          <w:sz w:val="24"/>
          <w:szCs w:val="24"/>
          <w14:textFill>
            <w14:solidFill>
              <w14:schemeClr w14:val="tx1"/>
            </w14:solidFill>
          </w14:textFill>
        </w:rPr>
        <w:t>U</w:t>
      </w:r>
      <w:r>
        <w:rPr>
          <w:rFonts w:asciiTheme="minorEastAsia" w:hAnsiTheme="minorEastAsia"/>
          <w:color w:val="000000" w:themeColor="text1"/>
          <w:sz w:val="24"/>
          <w:szCs w:val="24"/>
          <w14:textFill>
            <w14:solidFill>
              <w14:schemeClr w14:val="tx1"/>
            </w14:solidFill>
          </w14:textFill>
        </w:rPr>
        <w:t>盘单独密封，并在封袋上加盖供应商公章。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响应文件须按比选文件《二、供应商须知》及《六、响应文件格式》中相关要求装订、密封、标记、盖章和签署。响应文件封袋须加盖供应商公章。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需要提供样品的，请严格按比选文件要求提供，同时注意密封、隐蔽标签的相关要求。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因比选文件文字表述有限，鼓励您现场踏勘，可以在投标前充分了解现场环境、项目进度和质量要求等信息，为贵单位有针对性的制作响应文件积累充分的原始资料。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请精心仔细审阅比选文件，特别是加粗部分的文字。如有疑问，请按比选文件要求进行询疑。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本比选文件的最终解释权归常州中采招投标有限公司所有。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p>
      <w:pPr>
        <w:rPr>
          <w:rFonts w:ascii="黑体" w:hAnsi="黑体" w:eastAsia="黑体"/>
          <w:color w:val="000000" w:themeColor="text1"/>
          <w:sz w:val="28"/>
          <w:szCs w:val="28"/>
          <w14:textFill>
            <w14:solidFill>
              <w14:schemeClr w14:val="tx1"/>
            </w14:solidFill>
          </w14:textFill>
        </w:rPr>
      </w:pPr>
    </w:p>
    <w:sectPr>
      <w:headerReference r:id="rId10" w:type="first"/>
      <w:footerReference r:id="rId12" w:type="first"/>
      <w:headerReference r:id="rId8" w:type="default"/>
      <w:footerReference r:id="rId11" w:type="default"/>
      <w:headerReference r:id="rId9" w:type="even"/>
      <w:pgSz w:w="11906" w:h="16838"/>
      <w:pgMar w:top="1097" w:right="851" w:bottom="1276" w:left="1134" w:header="426" w:footer="54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1600753"/>
    </w:sdtPr>
    <w:sdtContent>
      <w:sdt>
        <w:sdtPr>
          <w:id w:val="-124156221"/>
        </w:sdtPr>
        <w:sdtContent>
          <w:p>
            <w:pPr>
              <w:pStyle w:val="20"/>
              <w:jc w:val="center"/>
            </w:pPr>
            <w:r>
              <w:rPr>
                <w:rFonts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20</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t>页</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lang w:val="zh-CN"/>
              </w:rPr>
              <w:t>共</w:t>
            </w:r>
            <w:r>
              <w:rPr>
                <w:rFonts w:hint="eastAsia" w:asciiTheme="minorEastAsia" w:hAnsiTheme="minorEastAsia" w:eastAsiaTheme="minorEastAsia"/>
                <w:bCs/>
                <w:sz w:val="21"/>
                <w:szCs w:val="21"/>
              </w:rPr>
              <w:t>61</w:t>
            </w:r>
            <w:r>
              <w:rPr>
                <w:rFonts w:asciiTheme="minorEastAsia" w:hAnsiTheme="minorEastAsia" w:eastAsiaTheme="minorEastAsia"/>
                <w:bCs/>
                <w:sz w:val="21"/>
                <w:szCs w:val="21"/>
              </w:rPr>
              <w:t>页</w:t>
            </w:r>
          </w:p>
        </w:sdtContent>
      </w:sdt>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1</w:t>
    </w:r>
    <w:r>
      <w:rPr>
        <w:rStyle w:val="36"/>
      </w:rP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496990"/>
    </w:sdtPr>
    <w:sdtContent>
      <w:p>
        <w:pPr>
          <w:pStyle w:val="20"/>
          <w:jc w:val="center"/>
        </w:pPr>
        <w:r>
          <w:rPr>
            <w:rFonts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54</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t>页</w:t>
        </w:r>
        <w:r>
          <w:rPr>
            <w:rFonts w:hint="eastAsia" w:asciiTheme="minorEastAsia" w:hAnsiTheme="minorEastAsia" w:eastAsiaTheme="minorEastAsia"/>
            <w:bCs/>
            <w:sz w:val="21"/>
            <w:szCs w:val="21"/>
          </w:rPr>
          <w:t>，</w:t>
        </w:r>
        <w:r>
          <w:rPr>
            <w:rFonts w:hint="eastAsia" w:asciiTheme="minorEastAsia" w:hAnsiTheme="minorEastAsia" w:eastAsiaTheme="minorEastAsia"/>
            <w:sz w:val="21"/>
            <w:szCs w:val="21"/>
            <w:lang w:val="zh-CN"/>
          </w:rPr>
          <w:t>共</w:t>
        </w:r>
        <w:r>
          <w:rPr>
            <w:rFonts w:hint="eastAsia" w:asciiTheme="minorEastAsia" w:hAnsiTheme="minorEastAsia" w:eastAsiaTheme="minorEastAsia"/>
            <w:bCs/>
            <w:sz w:val="21"/>
            <w:szCs w:val="21"/>
            <w:lang w:val="en-US" w:eastAsia="zh-CN"/>
          </w:rPr>
          <w:t>72</w:t>
        </w:r>
        <w:r>
          <w:rPr>
            <w:rFonts w:asciiTheme="minorEastAsia" w:hAnsiTheme="minorEastAsia" w:eastAsiaTheme="minorEastAsia"/>
            <w:bCs/>
            <w:sz w:val="21"/>
            <w:szCs w:val="21"/>
          </w:rPr>
          <w:t>页</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6"/>
      </w:rPr>
      <w:id w:val="-368604791"/>
    </w:sdtPr>
    <w:sdtEndPr>
      <w:rPr>
        <w:rStyle w:val="36"/>
      </w:rPr>
    </w:sdtEndPr>
    <w:sdtContent>
      <w:p>
        <w:pPr>
          <w:pStyle w:val="20"/>
          <w:framePr w:wrap="auto" w:vAnchor="text" w:hAnchor="margin" w:xAlign="center" w:y="1"/>
          <w:rPr>
            <w:rStyle w:val="36"/>
          </w:rPr>
        </w:pPr>
        <w:r>
          <w:rPr>
            <w:rStyle w:val="36"/>
          </w:rPr>
          <w:fldChar w:fldCharType="begin"/>
        </w:r>
        <w:r>
          <w:rPr>
            <w:rStyle w:val="36"/>
          </w:rPr>
          <w:instrText xml:space="preserve"> PAGE </w:instrText>
        </w:r>
        <w:r>
          <w:rPr>
            <w:rStyle w:val="36"/>
          </w:rPr>
          <w:fldChar w:fldCharType="separate"/>
        </w:r>
        <w:r>
          <w:rPr>
            <w:rStyle w:val="36"/>
          </w:rPr>
          <w:t>1</w:t>
        </w:r>
        <w:r>
          <w:rPr>
            <w:rStyle w:val="36"/>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2"/>
      </w:pBdr>
      <w:tabs>
        <w:tab w:val="left" w:pos="10065"/>
      </w:tabs>
      <w:ind w:right="-2"/>
      <w:jc w:val="both"/>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1765300</wp:posOffset>
          </wp:positionH>
          <wp:positionV relativeFrom="paragraph">
            <wp:posOffset>-64770</wp:posOffset>
          </wp:positionV>
          <wp:extent cx="2016760" cy="204470"/>
          <wp:effectExtent l="0" t="0" r="2540" b="508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60950" cy="5080000"/>
          <wp:effectExtent l="0" t="0" r="6350" b="6350"/>
          <wp:wrapNone/>
          <wp:docPr id="10"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4384" behindDoc="0" locked="0" layoutInCell="1" allowOverlap="1">
          <wp:simplePos x="0" y="0"/>
          <wp:positionH relativeFrom="column">
            <wp:posOffset>2276475</wp:posOffset>
          </wp:positionH>
          <wp:positionV relativeFrom="paragraph">
            <wp:posOffset>-64770</wp:posOffset>
          </wp:positionV>
          <wp:extent cx="2016760" cy="204470"/>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2101215</wp:posOffset>
          </wp:positionH>
          <wp:positionV relativeFrom="paragraph">
            <wp:posOffset>-55245</wp:posOffset>
          </wp:positionV>
          <wp:extent cx="2016760" cy="204470"/>
          <wp:effectExtent l="0" t="0" r="2540" b="50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60950" cy="5080000"/>
          <wp:effectExtent l="0" t="0" r="0" b="0"/>
          <wp:wrapNone/>
          <wp:docPr id="7" name="图片 7"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C490D"/>
    <w:multiLevelType w:val="singleLevel"/>
    <w:tmpl w:val="900C490D"/>
    <w:lvl w:ilvl="0" w:tentative="0">
      <w:start w:val="1"/>
      <w:numFmt w:val="decimal"/>
      <w:suff w:val="nothing"/>
      <w:lvlText w:val="%1、"/>
      <w:lvlJc w:val="left"/>
    </w:lvl>
  </w:abstractNum>
  <w:abstractNum w:abstractNumId="1">
    <w:nsid w:val="085007CF"/>
    <w:multiLevelType w:val="multilevel"/>
    <w:tmpl w:val="085007CF"/>
    <w:lvl w:ilvl="0" w:tentative="0">
      <w:start w:val="1"/>
      <w:numFmt w:val="decimal"/>
      <w:lvlText w:val="%1."/>
      <w:lvlJc w:val="left"/>
      <w:pPr>
        <w:tabs>
          <w:tab w:val="left" w:pos="704"/>
        </w:tabs>
        <w:ind w:left="704" w:hanging="420"/>
      </w:pPr>
      <w:rPr>
        <w:rFonts w:cs="Times New Roman"/>
      </w:rPr>
    </w:lvl>
    <w:lvl w:ilvl="1" w:tentative="0">
      <w:start w:val="1"/>
      <w:numFmt w:val="decimal"/>
      <w:lvlText w:val="（%2）"/>
      <w:lvlJc w:val="left"/>
      <w:pPr>
        <w:tabs>
          <w:tab w:val="left" w:pos="3615"/>
        </w:tabs>
        <w:ind w:left="3615" w:hanging="360"/>
      </w:pPr>
      <w:rPr>
        <w:rFonts w:ascii="宋体" w:hAnsi="宋体" w:eastAsia="宋体" w:cs="Times New Roman"/>
        <w:color w:val="auto"/>
        <w:lang w:val="en-US"/>
      </w:rPr>
    </w:lvl>
    <w:lvl w:ilvl="2" w:tentative="0">
      <w:start w:val="1"/>
      <w:numFmt w:val="lowerRoman"/>
      <w:lvlText w:val="%3."/>
      <w:lvlJc w:val="right"/>
      <w:pPr>
        <w:tabs>
          <w:tab w:val="left" w:pos="4095"/>
        </w:tabs>
        <w:ind w:left="4095" w:hanging="420"/>
      </w:pPr>
      <w:rPr>
        <w:rFonts w:cs="Times New Roman"/>
      </w:rPr>
    </w:lvl>
    <w:lvl w:ilvl="3" w:tentative="0">
      <w:start w:val="1"/>
      <w:numFmt w:val="decimal"/>
      <w:lvlText w:val="%4."/>
      <w:lvlJc w:val="left"/>
      <w:pPr>
        <w:tabs>
          <w:tab w:val="left" w:pos="4515"/>
        </w:tabs>
        <w:ind w:left="4515" w:hanging="420"/>
      </w:pPr>
      <w:rPr>
        <w:rFonts w:cs="Times New Roman"/>
      </w:rPr>
    </w:lvl>
    <w:lvl w:ilvl="4" w:tentative="0">
      <w:start w:val="1"/>
      <w:numFmt w:val="lowerLetter"/>
      <w:lvlText w:val="%5)"/>
      <w:lvlJc w:val="left"/>
      <w:pPr>
        <w:tabs>
          <w:tab w:val="left" w:pos="4935"/>
        </w:tabs>
        <w:ind w:left="4935" w:hanging="420"/>
      </w:pPr>
      <w:rPr>
        <w:rFonts w:cs="Times New Roman"/>
      </w:rPr>
    </w:lvl>
    <w:lvl w:ilvl="5" w:tentative="0">
      <w:start w:val="1"/>
      <w:numFmt w:val="lowerRoman"/>
      <w:lvlText w:val="%6."/>
      <w:lvlJc w:val="right"/>
      <w:pPr>
        <w:tabs>
          <w:tab w:val="left" w:pos="5355"/>
        </w:tabs>
        <w:ind w:left="5355" w:hanging="420"/>
      </w:pPr>
      <w:rPr>
        <w:rFonts w:cs="Times New Roman"/>
      </w:rPr>
    </w:lvl>
    <w:lvl w:ilvl="6" w:tentative="0">
      <w:start w:val="1"/>
      <w:numFmt w:val="decimal"/>
      <w:lvlText w:val="%7."/>
      <w:lvlJc w:val="left"/>
      <w:pPr>
        <w:tabs>
          <w:tab w:val="left" w:pos="5775"/>
        </w:tabs>
        <w:ind w:left="5775" w:hanging="420"/>
      </w:pPr>
      <w:rPr>
        <w:rFonts w:cs="Times New Roman"/>
      </w:rPr>
    </w:lvl>
    <w:lvl w:ilvl="7" w:tentative="0">
      <w:start w:val="1"/>
      <w:numFmt w:val="lowerLetter"/>
      <w:lvlText w:val="%8)"/>
      <w:lvlJc w:val="left"/>
      <w:pPr>
        <w:tabs>
          <w:tab w:val="left" w:pos="6195"/>
        </w:tabs>
        <w:ind w:left="6195" w:hanging="420"/>
      </w:pPr>
      <w:rPr>
        <w:rFonts w:cs="Times New Roman"/>
      </w:rPr>
    </w:lvl>
    <w:lvl w:ilvl="8" w:tentative="0">
      <w:start w:val="1"/>
      <w:numFmt w:val="lowerRoman"/>
      <w:lvlText w:val="%9."/>
      <w:lvlJc w:val="right"/>
      <w:pPr>
        <w:tabs>
          <w:tab w:val="left" w:pos="6615"/>
        </w:tabs>
        <w:ind w:left="6615" w:hanging="420"/>
      </w:pPr>
      <w:rPr>
        <w:rFonts w:cs="Times New Roman"/>
      </w:rPr>
    </w:lvl>
  </w:abstractNum>
  <w:abstractNum w:abstractNumId="2">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4">
    <w:nsid w:val="64607A38"/>
    <w:multiLevelType w:val="multilevel"/>
    <w:tmpl w:val="64607A38"/>
    <w:lvl w:ilvl="0" w:tentative="0">
      <w:start w:val="1"/>
      <w:numFmt w:val="japaneseCounting"/>
      <w:lvlText w:val="%1、"/>
      <w:lvlJc w:val="left"/>
      <w:pPr>
        <w:tabs>
          <w:tab w:val="left" w:pos="1980"/>
        </w:tabs>
        <w:ind w:left="1980"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s>
  <w:rsids>
    <w:rsidRoot w:val="00202940"/>
    <w:rsid w:val="00002CEF"/>
    <w:rsid w:val="000048AE"/>
    <w:rsid w:val="00005C31"/>
    <w:rsid w:val="00007965"/>
    <w:rsid w:val="00007D9A"/>
    <w:rsid w:val="00011B5A"/>
    <w:rsid w:val="00013662"/>
    <w:rsid w:val="000207AD"/>
    <w:rsid w:val="00021B35"/>
    <w:rsid w:val="000221B5"/>
    <w:rsid w:val="00022D3C"/>
    <w:rsid w:val="00023F37"/>
    <w:rsid w:val="00025CDA"/>
    <w:rsid w:val="00027136"/>
    <w:rsid w:val="000352ED"/>
    <w:rsid w:val="0003756D"/>
    <w:rsid w:val="000407E4"/>
    <w:rsid w:val="00040D3C"/>
    <w:rsid w:val="0004340F"/>
    <w:rsid w:val="000467D6"/>
    <w:rsid w:val="00047F4C"/>
    <w:rsid w:val="00050C6E"/>
    <w:rsid w:val="00051DDF"/>
    <w:rsid w:val="00051F5C"/>
    <w:rsid w:val="00052155"/>
    <w:rsid w:val="000532E3"/>
    <w:rsid w:val="000542BD"/>
    <w:rsid w:val="00055659"/>
    <w:rsid w:val="00056580"/>
    <w:rsid w:val="00056FC0"/>
    <w:rsid w:val="00057274"/>
    <w:rsid w:val="0006088C"/>
    <w:rsid w:val="0006261F"/>
    <w:rsid w:val="000628AA"/>
    <w:rsid w:val="00064546"/>
    <w:rsid w:val="00064F9E"/>
    <w:rsid w:val="0006775D"/>
    <w:rsid w:val="00071CFE"/>
    <w:rsid w:val="00072395"/>
    <w:rsid w:val="000723C6"/>
    <w:rsid w:val="0007466C"/>
    <w:rsid w:val="000750D9"/>
    <w:rsid w:val="0007607E"/>
    <w:rsid w:val="00081646"/>
    <w:rsid w:val="00085025"/>
    <w:rsid w:val="000853A3"/>
    <w:rsid w:val="0008643C"/>
    <w:rsid w:val="0009001D"/>
    <w:rsid w:val="00090DF6"/>
    <w:rsid w:val="00091725"/>
    <w:rsid w:val="00091930"/>
    <w:rsid w:val="000935DA"/>
    <w:rsid w:val="00096B78"/>
    <w:rsid w:val="000A01C4"/>
    <w:rsid w:val="000A0BCE"/>
    <w:rsid w:val="000A611A"/>
    <w:rsid w:val="000A6A2A"/>
    <w:rsid w:val="000B48FA"/>
    <w:rsid w:val="000B5A22"/>
    <w:rsid w:val="000B60E3"/>
    <w:rsid w:val="000B7BF4"/>
    <w:rsid w:val="000C394C"/>
    <w:rsid w:val="000C3CE0"/>
    <w:rsid w:val="000C5E7F"/>
    <w:rsid w:val="000D034A"/>
    <w:rsid w:val="000D308E"/>
    <w:rsid w:val="000D3354"/>
    <w:rsid w:val="000D7793"/>
    <w:rsid w:val="000E0666"/>
    <w:rsid w:val="000E5708"/>
    <w:rsid w:val="000F08EC"/>
    <w:rsid w:val="000F13DD"/>
    <w:rsid w:val="000F18E1"/>
    <w:rsid w:val="000F3F52"/>
    <w:rsid w:val="000F4EF1"/>
    <w:rsid w:val="000F5E0F"/>
    <w:rsid w:val="000F5F4C"/>
    <w:rsid w:val="00101B15"/>
    <w:rsid w:val="0010372C"/>
    <w:rsid w:val="001059EA"/>
    <w:rsid w:val="0010690C"/>
    <w:rsid w:val="00110852"/>
    <w:rsid w:val="001111BA"/>
    <w:rsid w:val="00114F5B"/>
    <w:rsid w:val="001152F7"/>
    <w:rsid w:val="00120495"/>
    <w:rsid w:val="00121CF3"/>
    <w:rsid w:val="0012261C"/>
    <w:rsid w:val="00123E77"/>
    <w:rsid w:val="00125078"/>
    <w:rsid w:val="001313B9"/>
    <w:rsid w:val="0013250F"/>
    <w:rsid w:val="0013265E"/>
    <w:rsid w:val="00132C07"/>
    <w:rsid w:val="00133344"/>
    <w:rsid w:val="00133FEA"/>
    <w:rsid w:val="0013492C"/>
    <w:rsid w:val="00136D32"/>
    <w:rsid w:val="00136D88"/>
    <w:rsid w:val="001370A3"/>
    <w:rsid w:val="0013765A"/>
    <w:rsid w:val="00140402"/>
    <w:rsid w:val="00143589"/>
    <w:rsid w:val="00151AAE"/>
    <w:rsid w:val="00153554"/>
    <w:rsid w:val="00153F19"/>
    <w:rsid w:val="00161412"/>
    <w:rsid w:val="0016169A"/>
    <w:rsid w:val="00161974"/>
    <w:rsid w:val="001623C6"/>
    <w:rsid w:val="001645F2"/>
    <w:rsid w:val="00164C83"/>
    <w:rsid w:val="001661B4"/>
    <w:rsid w:val="00166A1C"/>
    <w:rsid w:val="00166B9F"/>
    <w:rsid w:val="00170876"/>
    <w:rsid w:val="001724BF"/>
    <w:rsid w:val="001756FB"/>
    <w:rsid w:val="00180119"/>
    <w:rsid w:val="0018151D"/>
    <w:rsid w:val="00182D35"/>
    <w:rsid w:val="00183672"/>
    <w:rsid w:val="0018434D"/>
    <w:rsid w:val="00184781"/>
    <w:rsid w:val="00186C2A"/>
    <w:rsid w:val="00187F97"/>
    <w:rsid w:val="00192ABF"/>
    <w:rsid w:val="0019702C"/>
    <w:rsid w:val="00197209"/>
    <w:rsid w:val="001A0B7A"/>
    <w:rsid w:val="001A3FBC"/>
    <w:rsid w:val="001A4A68"/>
    <w:rsid w:val="001A6D24"/>
    <w:rsid w:val="001A706E"/>
    <w:rsid w:val="001A7A41"/>
    <w:rsid w:val="001B3832"/>
    <w:rsid w:val="001B4A4A"/>
    <w:rsid w:val="001B7080"/>
    <w:rsid w:val="001B76D5"/>
    <w:rsid w:val="001C0091"/>
    <w:rsid w:val="001C0741"/>
    <w:rsid w:val="001C0B47"/>
    <w:rsid w:val="001C0DBC"/>
    <w:rsid w:val="001C1F22"/>
    <w:rsid w:val="001C4F4A"/>
    <w:rsid w:val="001C7E7A"/>
    <w:rsid w:val="001D09F1"/>
    <w:rsid w:val="001D26CC"/>
    <w:rsid w:val="001D3F66"/>
    <w:rsid w:val="001D467C"/>
    <w:rsid w:val="001E0760"/>
    <w:rsid w:val="001E0C35"/>
    <w:rsid w:val="001E150A"/>
    <w:rsid w:val="001E4668"/>
    <w:rsid w:val="001E4B61"/>
    <w:rsid w:val="001E58C3"/>
    <w:rsid w:val="001E6093"/>
    <w:rsid w:val="001F0A78"/>
    <w:rsid w:val="001F4C40"/>
    <w:rsid w:val="00201347"/>
    <w:rsid w:val="00201A79"/>
    <w:rsid w:val="00202940"/>
    <w:rsid w:val="00202D50"/>
    <w:rsid w:val="0020399D"/>
    <w:rsid w:val="002039D9"/>
    <w:rsid w:val="00203A18"/>
    <w:rsid w:val="00204136"/>
    <w:rsid w:val="00204689"/>
    <w:rsid w:val="002063AB"/>
    <w:rsid w:val="00207EEF"/>
    <w:rsid w:val="00220ED1"/>
    <w:rsid w:val="0022401B"/>
    <w:rsid w:val="00225914"/>
    <w:rsid w:val="00226A2A"/>
    <w:rsid w:val="00226E8B"/>
    <w:rsid w:val="00230B6F"/>
    <w:rsid w:val="00230D81"/>
    <w:rsid w:val="002313E0"/>
    <w:rsid w:val="00233DEA"/>
    <w:rsid w:val="00236128"/>
    <w:rsid w:val="00236C0A"/>
    <w:rsid w:val="002372E7"/>
    <w:rsid w:val="00240134"/>
    <w:rsid w:val="002421C7"/>
    <w:rsid w:val="00242E47"/>
    <w:rsid w:val="002445B8"/>
    <w:rsid w:val="00244BC2"/>
    <w:rsid w:val="0024665D"/>
    <w:rsid w:val="002502C7"/>
    <w:rsid w:val="00250429"/>
    <w:rsid w:val="002520C9"/>
    <w:rsid w:val="00255030"/>
    <w:rsid w:val="00257AFA"/>
    <w:rsid w:val="00260899"/>
    <w:rsid w:val="00261EC1"/>
    <w:rsid w:val="00274DB6"/>
    <w:rsid w:val="00277872"/>
    <w:rsid w:val="00277DD9"/>
    <w:rsid w:val="00280BDD"/>
    <w:rsid w:val="00282792"/>
    <w:rsid w:val="00283719"/>
    <w:rsid w:val="00284350"/>
    <w:rsid w:val="0028526A"/>
    <w:rsid w:val="002856D4"/>
    <w:rsid w:val="0028759F"/>
    <w:rsid w:val="002910AF"/>
    <w:rsid w:val="00294538"/>
    <w:rsid w:val="002946D4"/>
    <w:rsid w:val="00294F38"/>
    <w:rsid w:val="00297379"/>
    <w:rsid w:val="002A00E4"/>
    <w:rsid w:val="002A5F8F"/>
    <w:rsid w:val="002A6C7C"/>
    <w:rsid w:val="002A7AF7"/>
    <w:rsid w:val="002A7FED"/>
    <w:rsid w:val="002B0BDB"/>
    <w:rsid w:val="002B0D61"/>
    <w:rsid w:val="002B150D"/>
    <w:rsid w:val="002B4BC3"/>
    <w:rsid w:val="002B685A"/>
    <w:rsid w:val="002B6AD1"/>
    <w:rsid w:val="002C6557"/>
    <w:rsid w:val="002D03B7"/>
    <w:rsid w:val="002D3797"/>
    <w:rsid w:val="002D5175"/>
    <w:rsid w:val="002D6B2A"/>
    <w:rsid w:val="002D7397"/>
    <w:rsid w:val="002E0E56"/>
    <w:rsid w:val="002E1DAC"/>
    <w:rsid w:val="002E1F11"/>
    <w:rsid w:val="002E23ED"/>
    <w:rsid w:val="002E2B64"/>
    <w:rsid w:val="002E2D89"/>
    <w:rsid w:val="002E6F43"/>
    <w:rsid w:val="002F260C"/>
    <w:rsid w:val="002F2892"/>
    <w:rsid w:val="002F342E"/>
    <w:rsid w:val="002F72C2"/>
    <w:rsid w:val="002F79C7"/>
    <w:rsid w:val="00301C9C"/>
    <w:rsid w:val="00301DEA"/>
    <w:rsid w:val="00305E08"/>
    <w:rsid w:val="003065D7"/>
    <w:rsid w:val="00310B33"/>
    <w:rsid w:val="003128B5"/>
    <w:rsid w:val="003140CE"/>
    <w:rsid w:val="0032309C"/>
    <w:rsid w:val="003245E2"/>
    <w:rsid w:val="003268BA"/>
    <w:rsid w:val="00327E25"/>
    <w:rsid w:val="0033294C"/>
    <w:rsid w:val="00335F79"/>
    <w:rsid w:val="003373D3"/>
    <w:rsid w:val="00342126"/>
    <w:rsid w:val="003453B0"/>
    <w:rsid w:val="00345ED2"/>
    <w:rsid w:val="00346850"/>
    <w:rsid w:val="00350549"/>
    <w:rsid w:val="00353A2A"/>
    <w:rsid w:val="0035426D"/>
    <w:rsid w:val="00354B67"/>
    <w:rsid w:val="00356747"/>
    <w:rsid w:val="00357D21"/>
    <w:rsid w:val="003606A1"/>
    <w:rsid w:val="0036119C"/>
    <w:rsid w:val="00362634"/>
    <w:rsid w:val="003631D4"/>
    <w:rsid w:val="00367B86"/>
    <w:rsid w:val="003709CC"/>
    <w:rsid w:val="00371CE3"/>
    <w:rsid w:val="003724E1"/>
    <w:rsid w:val="00372FD6"/>
    <w:rsid w:val="00374F99"/>
    <w:rsid w:val="00375644"/>
    <w:rsid w:val="0037573B"/>
    <w:rsid w:val="00377664"/>
    <w:rsid w:val="00387D89"/>
    <w:rsid w:val="003912E4"/>
    <w:rsid w:val="00393FB0"/>
    <w:rsid w:val="00396163"/>
    <w:rsid w:val="003973FB"/>
    <w:rsid w:val="003A2B32"/>
    <w:rsid w:val="003A30AE"/>
    <w:rsid w:val="003B1C96"/>
    <w:rsid w:val="003B413E"/>
    <w:rsid w:val="003B5A33"/>
    <w:rsid w:val="003B5D97"/>
    <w:rsid w:val="003C44D1"/>
    <w:rsid w:val="003C46E2"/>
    <w:rsid w:val="003C64FC"/>
    <w:rsid w:val="003C7950"/>
    <w:rsid w:val="003D33EB"/>
    <w:rsid w:val="003D3D61"/>
    <w:rsid w:val="003E0BAD"/>
    <w:rsid w:val="003E2FFD"/>
    <w:rsid w:val="003F0A6E"/>
    <w:rsid w:val="003F191E"/>
    <w:rsid w:val="003F3A85"/>
    <w:rsid w:val="003F5DD0"/>
    <w:rsid w:val="0040069E"/>
    <w:rsid w:val="0040123D"/>
    <w:rsid w:val="0040178A"/>
    <w:rsid w:val="004037FD"/>
    <w:rsid w:val="004049FA"/>
    <w:rsid w:val="00404C9E"/>
    <w:rsid w:val="0040669C"/>
    <w:rsid w:val="0040751B"/>
    <w:rsid w:val="00410017"/>
    <w:rsid w:val="00410708"/>
    <w:rsid w:val="00410F06"/>
    <w:rsid w:val="00412113"/>
    <w:rsid w:val="0041222C"/>
    <w:rsid w:val="004123BA"/>
    <w:rsid w:val="004128C0"/>
    <w:rsid w:val="00412CF3"/>
    <w:rsid w:val="00413FED"/>
    <w:rsid w:val="0041568D"/>
    <w:rsid w:val="004173ED"/>
    <w:rsid w:val="00420198"/>
    <w:rsid w:val="00421BC3"/>
    <w:rsid w:val="00423A2F"/>
    <w:rsid w:val="00423D1A"/>
    <w:rsid w:val="004318E8"/>
    <w:rsid w:val="004323A6"/>
    <w:rsid w:val="00433266"/>
    <w:rsid w:val="0043343C"/>
    <w:rsid w:val="004345F2"/>
    <w:rsid w:val="00435500"/>
    <w:rsid w:val="00436F70"/>
    <w:rsid w:val="00442363"/>
    <w:rsid w:val="0044360E"/>
    <w:rsid w:val="004438AB"/>
    <w:rsid w:val="00443AAC"/>
    <w:rsid w:val="004466E4"/>
    <w:rsid w:val="00450228"/>
    <w:rsid w:val="004534D3"/>
    <w:rsid w:val="0045725B"/>
    <w:rsid w:val="00457796"/>
    <w:rsid w:val="00462729"/>
    <w:rsid w:val="00463218"/>
    <w:rsid w:val="004635E7"/>
    <w:rsid w:val="00463A00"/>
    <w:rsid w:val="00463E16"/>
    <w:rsid w:val="00464E28"/>
    <w:rsid w:val="004719BA"/>
    <w:rsid w:val="00471E03"/>
    <w:rsid w:val="004737EA"/>
    <w:rsid w:val="00473CE7"/>
    <w:rsid w:val="00475381"/>
    <w:rsid w:val="00476318"/>
    <w:rsid w:val="004773D8"/>
    <w:rsid w:val="00481371"/>
    <w:rsid w:val="00482290"/>
    <w:rsid w:val="004829BA"/>
    <w:rsid w:val="00482E88"/>
    <w:rsid w:val="00483830"/>
    <w:rsid w:val="00483E2F"/>
    <w:rsid w:val="00484AFF"/>
    <w:rsid w:val="00485546"/>
    <w:rsid w:val="00490264"/>
    <w:rsid w:val="00490A1F"/>
    <w:rsid w:val="00490AE2"/>
    <w:rsid w:val="00491052"/>
    <w:rsid w:val="00492B24"/>
    <w:rsid w:val="00494C86"/>
    <w:rsid w:val="00495540"/>
    <w:rsid w:val="004960B6"/>
    <w:rsid w:val="0049762D"/>
    <w:rsid w:val="004A242D"/>
    <w:rsid w:val="004A27F7"/>
    <w:rsid w:val="004A339B"/>
    <w:rsid w:val="004A4748"/>
    <w:rsid w:val="004A5848"/>
    <w:rsid w:val="004B28CE"/>
    <w:rsid w:val="004B47A7"/>
    <w:rsid w:val="004B5D69"/>
    <w:rsid w:val="004B7025"/>
    <w:rsid w:val="004C0608"/>
    <w:rsid w:val="004C152C"/>
    <w:rsid w:val="004C296E"/>
    <w:rsid w:val="004C4A91"/>
    <w:rsid w:val="004D162C"/>
    <w:rsid w:val="004D261A"/>
    <w:rsid w:val="004D48F5"/>
    <w:rsid w:val="004E0145"/>
    <w:rsid w:val="004E1640"/>
    <w:rsid w:val="004E18CD"/>
    <w:rsid w:val="004E3B03"/>
    <w:rsid w:val="004E41A4"/>
    <w:rsid w:val="004E5FB8"/>
    <w:rsid w:val="004F08E1"/>
    <w:rsid w:val="004F15CD"/>
    <w:rsid w:val="004F243A"/>
    <w:rsid w:val="004F4FA2"/>
    <w:rsid w:val="004F580F"/>
    <w:rsid w:val="004F59A2"/>
    <w:rsid w:val="004F7E47"/>
    <w:rsid w:val="00506D80"/>
    <w:rsid w:val="005119EE"/>
    <w:rsid w:val="00513459"/>
    <w:rsid w:val="005175EA"/>
    <w:rsid w:val="00517F93"/>
    <w:rsid w:val="00521C9B"/>
    <w:rsid w:val="005222A7"/>
    <w:rsid w:val="0052245F"/>
    <w:rsid w:val="00522535"/>
    <w:rsid w:val="00523219"/>
    <w:rsid w:val="00524369"/>
    <w:rsid w:val="00526482"/>
    <w:rsid w:val="00526615"/>
    <w:rsid w:val="00526B1D"/>
    <w:rsid w:val="00526D46"/>
    <w:rsid w:val="00527C97"/>
    <w:rsid w:val="00530AD6"/>
    <w:rsid w:val="0053113B"/>
    <w:rsid w:val="005333BD"/>
    <w:rsid w:val="005343D5"/>
    <w:rsid w:val="0053577E"/>
    <w:rsid w:val="005357A9"/>
    <w:rsid w:val="005404BB"/>
    <w:rsid w:val="0054089A"/>
    <w:rsid w:val="00542479"/>
    <w:rsid w:val="005430CC"/>
    <w:rsid w:val="00543C1B"/>
    <w:rsid w:val="00544176"/>
    <w:rsid w:val="005445D1"/>
    <w:rsid w:val="00545525"/>
    <w:rsid w:val="00546D8E"/>
    <w:rsid w:val="0055195C"/>
    <w:rsid w:val="005522C5"/>
    <w:rsid w:val="00553339"/>
    <w:rsid w:val="00556012"/>
    <w:rsid w:val="00560DB9"/>
    <w:rsid w:val="00561A77"/>
    <w:rsid w:val="005626DE"/>
    <w:rsid w:val="0056335D"/>
    <w:rsid w:val="005638EE"/>
    <w:rsid w:val="0056576F"/>
    <w:rsid w:val="005658EF"/>
    <w:rsid w:val="00565EB9"/>
    <w:rsid w:val="00570777"/>
    <w:rsid w:val="00570C84"/>
    <w:rsid w:val="0057125B"/>
    <w:rsid w:val="005718D8"/>
    <w:rsid w:val="00576301"/>
    <w:rsid w:val="00576367"/>
    <w:rsid w:val="00576D88"/>
    <w:rsid w:val="00581718"/>
    <w:rsid w:val="005823CC"/>
    <w:rsid w:val="00584DE3"/>
    <w:rsid w:val="005856CE"/>
    <w:rsid w:val="005913F0"/>
    <w:rsid w:val="00592696"/>
    <w:rsid w:val="0059393F"/>
    <w:rsid w:val="00593B80"/>
    <w:rsid w:val="00594DD7"/>
    <w:rsid w:val="00597EF7"/>
    <w:rsid w:val="005A04E5"/>
    <w:rsid w:val="005A05DD"/>
    <w:rsid w:val="005A0614"/>
    <w:rsid w:val="005A1486"/>
    <w:rsid w:val="005A34BA"/>
    <w:rsid w:val="005A5511"/>
    <w:rsid w:val="005A662E"/>
    <w:rsid w:val="005B0D26"/>
    <w:rsid w:val="005B1391"/>
    <w:rsid w:val="005B2F1F"/>
    <w:rsid w:val="005B3341"/>
    <w:rsid w:val="005B3F52"/>
    <w:rsid w:val="005B62C4"/>
    <w:rsid w:val="005B67A5"/>
    <w:rsid w:val="005C05C5"/>
    <w:rsid w:val="005C1267"/>
    <w:rsid w:val="005C2F0F"/>
    <w:rsid w:val="005D0719"/>
    <w:rsid w:val="005D3EB4"/>
    <w:rsid w:val="005D5F69"/>
    <w:rsid w:val="005E140C"/>
    <w:rsid w:val="005E15AD"/>
    <w:rsid w:val="005E2741"/>
    <w:rsid w:val="005E3FD9"/>
    <w:rsid w:val="005E4D9F"/>
    <w:rsid w:val="005E53C9"/>
    <w:rsid w:val="005E5BA9"/>
    <w:rsid w:val="005F06CD"/>
    <w:rsid w:val="005F0F16"/>
    <w:rsid w:val="005F3AC4"/>
    <w:rsid w:val="005F4C4E"/>
    <w:rsid w:val="005F59AD"/>
    <w:rsid w:val="005F603F"/>
    <w:rsid w:val="005F6732"/>
    <w:rsid w:val="00601A43"/>
    <w:rsid w:val="00601C0F"/>
    <w:rsid w:val="00603685"/>
    <w:rsid w:val="006045D2"/>
    <w:rsid w:val="00606F49"/>
    <w:rsid w:val="00607CEB"/>
    <w:rsid w:val="00610BFE"/>
    <w:rsid w:val="0061201B"/>
    <w:rsid w:val="00612973"/>
    <w:rsid w:val="00612E01"/>
    <w:rsid w:val="00613CEF"/>
    <w:rsid w:val="00614E3A"/>
    <w:rsid w:val="0061534B"/>
    <w:rsid w:val="0061622D"/>
    <w:rsid w:val="00616B3E"/>
    <w:rsid w:val="00617136"/>
    <w:rsid w:val="006177CB"/>
    <w:rsid w:val="00617DCA"/>
    <w:rsid w:val="006205AA"/>
    <w:rsid w:val="006206E6"/>
    <w:rsid w:val="0062745C"/>
    <w:rsid w:val="00627FF7"/>
    <w:rsid w:val="0063000B"/>
    <w:rsid w:val="0063440B"/>
    <w:rsid w:val="00634F19"/>
    <w:rsid w:val="00634FB9"/>
    <w:rsid w:val="00635C8B"/>
    <w:rsid w:val="00636C20"/>
    <w:rsid w:val="00636E84"/>
    <w:rsid w:val="00644095"/>
    <w:rsid w:val="006445BC"/>
    <w:rsid w:val="006446A8"/>
    <w:rsid w:val="00645A16"/>
    <w:rsid w:val="00646147"/>
    <w:rsid w:val="006469F7"/>
    <w:rsid w:val="006474D8"/>
    <w:rsid w:val="006522E2"/>
    <w:rsid w:val="00656D3B"/>
    <w:rsid w:val="0065723F"/>
    <w:rsid w:val="00657AB3"/>
    <w:rsid w:val="006605B2"/>
    <w:rsid w:val="00660C5F"/>
    <w:rsid w:val="00660DA3"/>
    <w:rsid w:val="00661355"/>
    <w:rsid w:val="0066527B"/>
    <w:rsid w:val="00671B1D"/>
    <w:rsid w:val="00675965"/>
    <w:rsid w:val="00676436"/>
    <w:rsid w:val="00677517"/>
    <w:rsid w:val="006777BA"/>
    <w:rsid w:val="0067785E"/>
    <w:rsid w:val="00680DF5"/>
    <w:rsid w:val="0068161F"/>
    <w:rsid w:val="006856D2"/>
    <w:rsid w:val="0068649C"/>
    <w:rsid w:val="006866A5"/>
    <w:rsid w:val="00691240"/>
    <w:rsid w:val="00696211"/>
    <w:rsid w:val="0069647A"/>
    <w:rsid w:val="0069738B"/>
    <w:rsid w:val="00697621"/>
    <w:rsid w:val="006A7A51"/>
    <w:rsid w:val="006C02D1"/>
    <w:rsid w:val="006C48BE"/>
    <w:rsid w:val="006C68A2"/>
    <w:rsid w:val="006C6D06"/>
    <w:rsid w:val="006C7D90"/>
    <w:rsid w:val="006D1C29"/>
    <w:rsid w:val="006D3F61"/>
    <w:rsid w:val="006D41F6"/>
    <w:rsid w:val="006D4A4D"/>
    <w:rsid w:val="006D73B5"/>
    <w:rsid w:val="006E15E9"/>
    <w:rsid w:val="006F2C8F"/>
    <w:rsid w:val="006F5130"/>
    <w:rsid w:val="006F545D"/>
    <w:rsid w:val="006F5AEB"/>
    <w:rsid w:val="006F5F68"/>
    <w:rsid w:val="006F62A7"/>
    <w:rsid w:val="006F6F4A"/>
    <w:rsid w:val="006F717D"/>
    <w:rsid w:val="007008D6"/>
    <w:rsid w:val="0070121E"/>
    <w:rsid w:val="007017C2"/>
    <w:rsid w:val="0070333F"/>
    <w:rsid w:val="00703CE0"/>
    <w:rsid w:val="00704DB6"/>
    <w:rsid w:val="007061C1"/>
    <w:rsid w:val="00715100"/>
    <w:rsid w:val="00722856"/>
    <w:rsid w:val="00723A81"/>
    <w:rsid w:val="00723B1D"/>
    <w:rsid w:val="00723F71"/>
    <w:rsid w:val="00724587"/>
    <w:rsid w:val="00724C4E"/>
    <w:rsid w:val="00727356"/>
    <w:rsid w:val="00731841"/>
    <w:rsid w:val="00731A57"/>
    <w:rsid w:val="00732F82"/>
    <w:rsid w:val="00733BB2"/>
    <w:rsid w:val="0073514C"/>
    <w:rsid w:val="007358CC"/>
    <w:rsid w:val="007361FD"/>
    <w:rsid w:val="00736C16"/>
    <w:rsid w:val="00736C20"/>
    <w:rsid w:val="00741676"/>
    <w:rsid w:val="00741FF9"/>
    <w:rsid w:val="00743825"/>
    <w:rsid w:val="00744442"/>
    <w:rsid w:val="00745C42"/>
    <w:rsid w:val="007461A4"/>
    <w:rsid w:val="00747BFB"/>
    <w:rsid w:val="00747C3D"/>
    <w:rsid w:val="00750061"/>
    <w:rsid w:val="007520D2"/>
    <w:rsid w:val="00754655"/>
    <w:rsid w:val="0075660E"/>
    <w:rsid w:val="00757CAA"/>
    <w:rsid w:val="00761377"/>
    <w:rsid w:val="00762816"/>
    <w:rsid w:val="00763E37"/>
    <w:rsid w:val="00766BE9"/>
    <w:rsid w:val="00766C58"/>
    <w:rsid w:val="007707FD"/>
    <w:rsid w:val="007760F7"/>
    <w:rsid w:val="00777308"/>
    <w:rsid w:val="00777BC4"/>
    <w:rsid w:val="00782A8F"/>
    <w:rsid w:val="00782E16"/>
    <w:rsid w:val="00786361"/>
    <w:rsid w:val="007914D0"/>
    <w:rsid w:val="0079236A"/>
    <w:rsid w:val="0079249B"/>
    <w:rsid w:val="007924D5"/>
    <w:rsid w:val="00792B4C"/>
    <w:rsid w:val="007931AD"/>
    <w:rsid w:val="007958D4"/>
    <w:rsid w:val="00796065"/>
    <w:rsid w:val="007A0C5E"/>
    <w:rsid w:val="007A2784"/>
    <w:rsid w:val="007A29A4"/>
    <w:rsid w:val="007A4216"/>
    <w:rsid w:val="007A4CBA"/>
    <w:rsid w:val="007A6C29"/>
    <w:rsid w:val="007A6C6B"/>
    <w:rsid w:val="007B4873"/>
    <w:rsid w:val="007B6250"/>
    <w:rsid w:val="007C008D"/>
    <w:rsid w:val="007C0989"/>
    <w:rsid w:val="007C200A"/>
    <w:rsid w:val="007C3085"/>
    <w:rsid w:val="007D13A4"/>
    <w:rsid w:val="007D1D8A"/>
    <w:rsid w:val="007D1F93"/>
    <w:rsid w:val="007D2AE4"/>
    <w:rsid w:val="007D3D4F"/>
    <w:rsid w:val="007D409E"/>
    <w:rsid w:val="007D4FDA"/>
    <w:rsid w:val="007D6609"/>
    <w:rsid w:val="007D7487"/>
    <w:rsid w:val="007E08B3"/>
    <w:rsid w:val="007E0F57"/>
    <w:rsid w:val="007E3108"/>
    <w:rsid w:val="007E7C05"/>
    <w:rsid w:val="007E7CF1"/>
    <w:rsid w:val="007F0718"/>
    <w:rsid w:val="007F08D6"/>
    <w:rsid w:val="007F265F"/>
    <w:rsid w:val="007F288F"/>
    <w:rsid w:val="007F29CE"/>
    <w:rsid w:val="007F2B33"/>
    <w:rsid w:val="007F2EE7"/>
    <w:rsid w:val="007F5F43"/>
    <w:rsid w:val="007F79AD"/>
    <w:rsid w:val="00801153"/>
    <w:rsid w:val="00801F50"/>
    <w:rsid w:val="008023B6"/>
    <w:rsid w:val="00805A17"/>
    <w:rsid w:val="00806C06"/>
    <w:rsid w:val="00807505"/>
    <w:rsid w:val="00811E89"/>
    <w:rsid w:val="00812E0E"/>
    <w:rsid w:val="00813408"/>
    <w:rsid w:val="00823AA1"/>
    <w:rsid w:val="00823AD0"/>
    <w:rsid w:val="00824828"/>
    <w:rsid w:val="00824AC5"/>
    <w:rsid w:val="008317C3"/>
    <w:rsid w:val="008333AB"/>
    <w:rsid w:val="0083444F"/>
    <w:rsid w:val="00842802"/>
    <w:rsid w:val="008439EA"/>
    <w:rsid w:val="00845C90"/>
    <w:rsid w:val="0084602D"/>
    <w:rsid w:val="00846AEC"/>
    <w:rsid w:val="00850AA2"/>
    <w:rsid w:val="008516DF"/>
    <w:rsid w:val="0085451C"/>
    <w:rsid w:val="00855D06"/>
    <w:rsid w:val="00856B91"/>
    <w:rsid w:val="00861B70"/>
    <w:rsid w:val="008624F4"/>
    <w:rsid w:val="00862560"/>
    <w:rsid w:val="00864082"/>
    <w:rsid w:val="00865EF6"/>
    <w:rsid w:val="00865F96"/>
    <w:rsid w:val="008663DF"/>
    <w:rsid w:val="0086672B"/>
    <w:rsid w:val="0086673B"/>
    <w:rsid w:val="0086699A"/>
    <w:rsid w:val="008712A3"/>
    <w:rsid w:val="00874EF3"/>
    <w:rsid w:val="00875A1D"/>
    <w:rsid w:val="00875BEC"/>
    <w:rsid w:val="00876B1C"/>
    <w:rsid w:val="00877260"/>
    <w:rsid w:val="0087730C"/>
    <w:rsid w:val="00880BD8"/>
    <w:rsid w:val="00883714"/>
    <w:rsid w:val="00883776"/>
    <w:rsid w:val="00883AEB"/>
    <w:rsid w:val="008841D3"/>
    <w:rsid w:val="0088562E"/>
    <w:rsid w:val="0088637D"/>
    <w:rsid w:val="0088663F"/>
    <w:rsid w:val="00890027"/>
    <w:rsid w:val="0089291B"/>
    <w:rsid w:val="00893294"/>
    <w:rsid w:val="00894B56"/>
    <w:rsid w:val="0089517B"/>
    <w:rsid w:val="008966BD"/>
    <w:rsid w:val="00896C30"/>
    <w:rsid w:val="0089731A"/>
    <w:rsid w:val="00897357"/>
    <w:rsid w:val="008A15DF"/>
    <w:rsid w:val="008A1C5A"/>
    <w:rsid w:val="008A22E0"/>
    <w:rsid w:val="008A2ECD"/>
    <w:rsid w:val="008A5ECC"/>
    <w:rsid w:val="008A6412"/>
    <w:rsid w:val="008A6AEF"/>
    <w:rsid w:val="008A7FF8"/>
    <w:rsid w:val="008B0C6D"/>
    <w:rsid w:val="008B5565"/>
    <w:rsid w:val="008C0E76"/>
    <w:rsid w:val="008C3E2E"/>
    <w:rsid w:val="008C435E"/>
    <w:rsid w:val="008C5372"/>
    <w:rsid w:val="008C6643"/>
    <w:rsid w:val="008C6F75"/>
    <w:rsid w:val="008D075F"/>
    <w:rsid w:val="008D0D50"/>
    <w:rsid w:val="008D1CFF"/>
    <w:rsid w:val="008D480A"/>
    <w:rsid w:val="008E1E9A"/>
    <w:rsid w:val="008E3D52"/>
    <w:rsid w:val="008E446E"/>
    <w:rsid w:val="008F1893"/>
    <w:rsid w:val="008F1DE8"/>
    <w:rsid w:val="008F3AC5"/>
    <w:rsid w:val="008F513E"/>
    <w:rsid w:val="008F68AC"/>
    <w:rsid w:val="008F7809"/>
    <w:rsid w:val="008F7BCF"/>
    <w:rsid w:val="0090009F"/>
    <w:rsid w:val="00901172"/>
    <w:rsid w:val="00903BF5"/>
    <w:rsid w:val="009074EF"/>
    <w:rsid w:val="009141DF"/>
    <w:rsid w:val="00914675"/>
    <w:rsid w:val="009152FE"/>
    <w:rsid w:val="00917498"/>
    <w:rsid w:val="00924DDB"/>
    <w:rsid w:val="00925A6F"/>
    <w:rsid w:val="00932960"/>
    <w:rsid w:val="0093404F"/>
    <w:rsid w:val="00934E93"/>
    <w:rsid w:val="00935A8E"/>
    <w:rsid w:val="009409F6"/>
    <w:rsid w:val="00942491"/>
    <w:rsid w:val="00942E16"/>
    <w:rsid w:val="00943480"/>
    <w:rsid w:val="009438D9"/>
    <w:rsid w:val="009447C5"/>
    <w:rsid w:val="0094561A"/>
    <w:rsid w:val="00945C18"/>
    <w:rsid w:val="00950746"/>
    <w:rsid w:val="009521C2"/>
    <w:rsid w:val="00952783"/>
    <w:rsid w:val="0095758D"/>
    <w:rsid w:val="00963166"/>
    <w:rsid w:val="009666D2"/>
    <w:rsid w:val="009672D8"/>
    <w:rsid w:val="009705FE"/>
    <w:rsid w:val="009717DD"/>
    <w:rsid w:val="00971EF0"/>
    <w:rsid w:val="00971F8D"/>
    <w:rsid w:val="00972BEB"/>
    <w:rsid w:val="0097392D"/>
    <w:rsid w:val="00975B86"/>
    <w:rsid w:val="0097647B"/>
    <w:rsid w:val="00976596"/>
    <w:rsid w:val="00977902"/>
    <w:rsid w:val="00980FC6"/>
    <w:rsid w:val="00981606"/>
    <w:rsid w:val="00981814"/>
    <w:rsid w:val="009842D1"/>
    <w:rsid w:val="00985ECC"/>
    <w:rsid w:val="009863E9"/>
    <w:rsid w:val="00987443"/>
    <w:rsid w:val="00987F06"/>
    <w:rsid w:val="00990C1F"/>
    <w:rsid w:val="0099184F"/>
    <w:rsid w:val="00991BF9"/>
    <w:rsid w:val="00993817"/>
    <w:rsid w:val="0099412D"/>
    <w:rsid w:val="009942E5"/>
    <w:rsid w:val="00994A86"/>
    <w:rsid w:val="00995F4A"/>
    <w:rsid w:val="009A78DF"/>
    <w:rsid w:val="009B119A"/>
    <w:rsid w:val="009B25C6"/>
    <w:rsid w:val="009B7BB0"/>
    <w:rsid w:val="009C228A"/>
    <w:rsid w:val="009C5894"/>
    <w:rsid w:val="009C7E4A"/>
    <w:rsid w:val="009D107D"/>
    <w:rsid w:val="009D45ED"/>
    <w:rsid w:val="009D5E5A"/>
    <w:rsid w:val="009D6776"/>
    <w:rsid w:val="009D7C01"/>
    <w:rsid w:val="009E0241"/>
    <w:rsid w:val="009E5E15"/>
    <w:rsid w:val="009F174D"/>
    <w:rsid w:val="009F5499"/>
    <w:rsid w:val="009F571B"/>
    <w:rsid w:val="009F5E81"/>
    <w:rsid w:val="009F6022"/>
    <w:rsid w:val="00A02F7E"/>
    <w:rsid w:val="00A03484"/>
    <w:rsid w:val="00A044A8"/>
    <w:rsid w:val="00A04A45"/>
    <w:rsid w:val="00A06C97"/>
    <w:rsid w:val="00A10335"/>
    <w:rsid w:val="00A11D6B"/>
    <w:rsid w:val="00A12125"/>
    <w:rsid w:val="00A14AAB"/>
    <w:rsid w:val="00A15462"/>
    <w:rsid w:val="00A16545"/>
    <w:rsid w:val="00A17C62"/>
    <w:rsid w:val="00A214C9"/>
    <w:rsid w:val="00A24ADC"/>
    <w:rsid w:val="00A2675E"/>
    <w:rsid w:val="00A30862"/>
    <w:rsid w:val="00A311C2"/>
    <w:rsid w:val="00A3237C"/>
    <w:rsid w:val="00A32AF8"/>
    <w:rsid w:val="00A33178"/>
    <w:rsid w:val="00A3373D"/>
    <w:rsid w:val="00A357C2"/>
    <w:rsid w:val="00A3615B"/>
    <w:rsid w:val="00A36AB2"/>
    <w:rsid w:val="00A4232D"/>
    <w:rsid w:val="00A44C50"/>
    <w:rsid w:val="00A45084"/>
    <w:rsid w:val="00A45208"/>
    <w:rsid w:val="00A45384"/>
    <w:rsid w:val="00A46430"/>
    <w:rsid w:val="00A47566"/>
    <w:rsid w:val="00A52C98"/>
    <w:rsid w:val="00A52E96"/>
    <w:rsid w:val="00A53ED0"/>
    <w:rsid w:val="00A54422"/>
    <w:rsid w:val="00A54912"/>
    <w:rsid w:val="00A63FA0"/>
    <w:rsid w:val="00A67D39"/>
    <w:rsid w:val="00A70042"/>
    <w:rsid w:val="00A70373"/>
    <w:rsid w:val="00A7044D"/>
    <w:rsid w:val="00A7070F"/>
    <w:rsid w:val="00A74EB5"/>
    <w:rsid w:val="00A75069"/>
    <w:rsid w:val="00A76753"/>
    <w:rsid w:val="00A7765D"/>
    <w:rsid w:val="00A81174"/>
    <w:rsid w:val="00A82858"/>
    <w:rsid w:val="00A82E61"/>
    <w:rsid w:val="00A83D02"/>
    <w:rsid w:val="00A915B3"/>
    <w:rsid w:val="00A916D0"/>
    <w:rsid w:val="00A922DD"/>
    <w:rsid w:val="00A933B0"/>
    <w:rsid w:val="00A94252"/>
    <w:rsid w:val="00A94C4E"/>
    <w:rsid w:val="00A95566"/>
    <w:rsid w:val="00A97430"/>
    <w:rsid w:val="00AA1D00"/>
    <w:rsid w:val="00AA48ED"/>
    <w:rsid w:val="00AA4B94"/>
    <w:rsid w:val="00AA4F0C"/>
    <w:rsid w:val="00AA6090"/>
    <w:rsid w:val="00AA6110"/>
    <w:rsid w:val="00AA64C3"/>
    <w:rsid w:val="00AA6885"/>
    <w:rsid w:val="00AA78B0"/>
    <w:rsid w:val="00AB0A41"/>
    <w:rsid w:val="00AB1AAE"/>
    <w:rsid w:val="00AB2031"/>
    <w:rsid w:val="00AB29E8"/>
    <w:rsid w:val="00AB49D7"/>
    <w:rsid w:val="00AB5FBD"/>
    <w:rsid w:val="00AB62BB"/>
    <w:rsid w:val="00AC1CB1"/>
    <w:rsid w:val="00AC26E1"/>
    <w:rsid w:val="00AC5887"/>
    <w:rsid w:val="00AC6297"/>
    <w:rsid w:val="00AC68A3"/>
    <w:rsid w:val="00AC70BE"/>
    <w:rsid w:val="00AD029D"/>
    <w:rsid w:val="00AD1E17"/>
    <w:rsid w:val="00AD2FE6"/>
    <w:rsid w:val="00AD4F7A"/>
    <w:rsid w:val="00AD6A03"/>
    <w:rsid w:val="00AE0BF8"/>
    <w:rsid w:val="00AE18A3"/>
    <w:rsid w:val="00AE1D21"/>
    <w:rsid w:val="00AE2251"/>
    <w:rsid w:val="00AE4429"/>
    <w:rsid w:val="00AE4F6D"/>
    <w:rsid w:val="00AE5201"/>
    <w:rsid w:val="00AE6098"/>
    <w:rsid w:val="00AF2FCB"/>
    <w:rsid w:val="00AF3353"/>
    <w:rsid w:val="00B0737E"/>
    <w:rsid w:val="00B1059A"/>
    <w:rsid w:val="00B15872"/>
    <w:rsid w:val="00B16459"/>
    <w:rsid w:val="00B16936"/>
    <w:rsid w:val="00B20C8D"/>
    <w:rsid w:val="00B21D6F"/>
    <w:rsid w:val="00B226FB"/>
    <w:rsid w:val="00B25D0E"/>
    <w:rsid w:val="00B278AB"/>
    <w:rsid w:val="00B31203"/>
    <w:rsid w:val="00B32392"/>
    <w:rsid w:val="00B3324F"/>
    <w:rsid w:val="00B340F0"/>
    <w:rsid w:val="00B34A76"/>
    <w:rsid w:val="00B3582B"/>
    <w:rsid w:val="00B40679"/>
    <w:rsid w:val="00B41C14"/>
    <w:rsid w:val="00B43A62"/>
    <w:rsid w:val="00B45B47"/>
    <w:rsid w:val="00B46484"/>
    <w:rsid w:val="00B50CC6"/>
    <w:rsid w:val="00B50DCC"/>
    <w:rsid w:val="00B516EF"/>
    <w:rsid w:val="00B525BD"/>
    <w:rsid w:val="00B572FF"/>
    <w:rsid w:val="00B57E69"/>
    <w:rsid w:val="00B6010A"/>
    <w:rsid w:val="00B60C02"/>
    <w:rsid w:val="00B61C6A"/>
    <w:rsid w:val="00B64016"/>
    <w:rsid w:val="00B651E1"/>
    <w:rsid w:val="00B65504"/>
    <w:rsid w:val="00B65957"/>
    <w:rsid w:val="00B66323"/>
    <w:rsid w:val="00B66EA0"/>
    <w:rsid w:val="00B67BE4"/>
    <w:rsid w:val="00B7213C"/>
    <w:rsid w:val="00B73026"/>
    <w:rsid w:val="00B80449"/>
    <w:rsid w:val="00B83231"/>
    <w:rsid w:val="00B91A6A"/>
    <w:rsid w:val="00B92A27"/>
    <w:rsid w:val="00B92D19"/>
    <w:rsid w:val="00B936D6"/>
    <w:rsid w:val="00B96226"/>
    <w:rsid w:val="00B96341"/>
    <w:rsid w:val="00B966ED"/>
    <w:rsid w:val="00BA1EF2"/>
    <w:rsid w:val="00BA3FC9"/>
    <w:rsid w:val="00BA708B"/>
    <w:rsid w:val="00BB3EFD"/>
    <w:rsid w:val="00BB70AD"/>
    <w:rsid w:val="00BC026E"/>
    <w:rsid w:val="00BC06C8"/>
    <w:rsid w:val="00BC21F9"/>
    <w:rsid w:val="00BC4C05"/>
    <w:rsid w:val="00BC4F13"/>
    <w:rsid w:val="00BC6208"/>
    <w:rsid w:val="00BC67D9"/>
    <w:rsid w:val="00BC723B"/>
    <w:rsid w:val="00BD037E"/>
    <w:rsid w:val="00BD3546"/>
    <w:rsid w:val="00BD3F67"/>
    <w:rsid w:val="00BD4706"/>
    <w:rsid w:val="00BD4E1B"/>
    <w:rsid w:val="00BD5921"/>
    <w:rsid w:val="00BD5F25"/>
    <w:rsid w:val="00BD6F4C"/>
    <w:rsid w:val="00BE0257"/>
    <w:rsid w:val="00BE05D6"/>
    <w:rsid w:val="00BE19AA"/>
    <w:rsid w:val="00BE19AC"/>
    <w:rsid w:val="00BE2195"/>
    <w:rsid w:val="00BF00D8"/>
    <w:rsid w:val="00BF10CF"/>
    <w:rsid w:val="00BF2E28"/>
    <w:rsid w:val="00BF4006"/>
    <w:rsid w:val="00BF42C1"/>
    <w:rsid w:val="00BF4DA0"/>
    <w:rsid w:val="00BF582C"/>
    <w:rsid w:val="00BF5BFA"/>
    <w:rsid w:val="00BF67D7"/>
    <w:rsid w:val="00BF6B03"/>
    <w:rsid w:val="00BF6F51"/>
    <w:rsid w:val="00C005AF"/>
    <w:rsid w:val="00C01A0F"/>
    <w:rsid w:val="00C0674A"/>
    <w:rsid w:val="00C103A3"/>
    <w:rsid w:val="00C12842"/>
    <w:rsid w:val="00C148F7"/>
    <w:rsid w:val="00C158B9"/>
    <w:rsid w:val="00C16CB1"/>
    <w:rsid w:val="00C206A1"/>
    <w:rsid w:val="00C20E61"/>
    <w:rsid w:val="00C232F5"/>
    <w:rsid w:val="00C23F31"/>
    <w:rsid w:val="00C23FAA"/>
    <w:rsid w:val="00C273A9"/>
    <w:rsid w:val="00C3084B"/>
    <w:rsid w:val="00C314A5"/>
    <w:rsid w:val="00C32026"/>
    <w:rsid w:val="00C32179"/>
    <w:rsid w:val="00C33D8C"/>
    <w:rsid w:val="00C3646B"/>
    <w:rsid w:val="00C365AA"/>
    <w:rsid w:val="00C40ACA"/>
    <w:rsid w:val="00C42C72"/>
    <w:rsid w:val="00C45685"/>
    <w:rsid w:val="00C46B06"/>
    <w:rsid w:val="00C50959"/>
    <w:rsid w:val="00C52244"/>
    <w:rsid w:val="00C523C8"/>
    <w:rsid w:val="00C530C8"/>
    <w:rsid w:val="00C5362D"/>
    <w:rsid w:val="00C54C86"/>
    <w:rsid w:val="00C57092"/>
    <w:rsid w:val="00C570C4"/>
    <w:rsid w:val="00C61569"/>
    <w:rsid w:val="00C61D69"/>
    <w:rsid w:val="00C62791"/>
    <w:rsid w:val="00C633A5"/>
    <w:rsid w:val="00C65DBC"/>
    <w:rsid w:val="00C65F6C"/>
    <w:rsid w:val="00C678E0"/>
    <w:rsid w:val="00C718EB"/>
    <w:rsid w:val="00C720A7"/>
    <w:rsid w:val="00C729BC"/>
    <w:rsid w:val="00C74828"/>
    <w:rsid w:val="00C752F2"/>
    <w:rsid w:val="00C80189"/>
    <w:rsid w:val="00C8063F"/>
    <w:rsid w:val="00C81CB5"/>
    <w:rsid w:val="00C82C3C"/>
    <w:rsid w:val="00C82EA4"/>
    <w:rsid w:val="00C84452"/>
    <w:rsid w:val="00C8468B"/>
    <w:rsid w:val="00C86003"/>
    <w:rsid w:val="00C87CC8"/>
    <w:rsid w:val="00C925A2"/>
    <w:rsid w:val="00C93603"/>
    <w:rsid w:val="00C937EB"/>
    <w:rsid w:val="00C9419C"/>
    <w:rsid w:val="00CA228C"/>
    <w:rsid w:val="00CA24DC"/>
    <w:rsid w:val="00CA5CD2"/>
    <w:rsid w:val="00CA69D6"/>
    <w:rsid w:val="00CA6C5E"/>
    <w:rsid w:val="00CB00F5"/>
    <w:rsid w:val="00CB1DFA"/>
    <w:rsid w:val="00CB481B"/>
    <w:rsid w:val="00CB496C"/>
    <w:rsid w:val="00CB60F5"/>
    <w:rsid w:val="00CC1A08"/>
    <w:rsid w:val="00CC1F4B"/>
    <w:rsid w:val="00CC234A"/>
    <w:rsid w:val="00CC30B6"/>
    <w:rsid w:val="00CC3E8E"/>
    <w:rsid w:val="00CC4C52"/>
    <w:rsid w:val="00CC6205"/>
    <w:rsid w:val="00CD0B46"/>
    <w:rsid w:val="00CD7590"/>
    <w:rsid w:val="00CE012D"/>
    <w:rsid w:val="00CE0132"/>
    <w:rsid w:val="00CE1157"/>
    <w:rsid w:val="00CE2177"/>
    <w:rsid w:val="00CE41C6"/>
    <w:rsid w:val="00CE50DC"/>
    <w:rsid w:val="00CE5BAC"/>
    <w:rsid w:val="00CE79DC"/>
    <w:rsid w:val="00CE7B2C"/>
    <w:rsid w:val="00CF2A13"/>
    <w:rsid w:val="00CF4206"/>
    <w:rsid w:val="00CF49F4"/>
    <w:rsid w:val="00CF4EF4"/>
    <w:rsid w:val="00D05BF3"/>
    <w:rsid w:val="00D05F26"/>
    <w:rsid w:val="00D12BDE"/>
    <w:rsid w:val="00D14AB0"/>
    <w:rsid w:val="00D151D8"/>
    <w:rsid w:val="00D17286"/>
    <w:rsid w:val="00D17E71"/>
    <w:rsid w:val="00D21159"/>
    <w:rsid w:val="00D212AC"/>
    <w:rsid w:val="00D2178F"/>
    <w:rsid w:val="00D219B1"/>
    <w:rsid w:val="00D21FF3"/>
    <w:rsid w:val="00D22BDC"/>
    <w:rsid w:val="00D24BFB"/>
    <w:rsid w:val="00D26503"/>
    <w:rsid w:val="00D2693E"/>
    <w:rsid w:val="00D26E15"/>
    <w:rsid w:val="00D26E2F"/>
    <w:rsid w:val="00D26E4F"/>
    <w:rsid w:val="00D30EAE"/>
    <w:rsid w:val="00D331C8"/>
    <w:rsid w:val="00D33CB3"/>
    <w:rsid w:val="00D34E72"/>
    <w:rsid w:val="00D3615A"/>
    <w:rsid w:val="00D40D27"/>
    <w:rsid w:val="00D419B2"/>
    <w:rsid w:val="00D42742"/>
    <w:rsid w:val="00D437C3"/>
    <w:rsid w:val="00D4430C"/>
    <w:rsid w:val="00D44571"/>
    <w:rsid w:val="00D44CB0"/>
    <w:rsid w:val="00D44D9B"/>
    <w:rsid w:val="00D459B7"/>
    <w:rsid w:val="00D52C98"/>
    <w:rsid w:val="00D56FB3"/>
    <w:rsid w:val="00D6434A"/>
    <w:rsid w:val="00D711FC"/>
    <w:rsid w:val="00D71615"/>
    <w:rsid w:val="00D7259C"/>
    <w:rsid w:val="00D7269C"/>
    <w:rsid w:val="00D73609"/>
    <w:rsid w:val="00D80B6D"/>
    <w:rsid w:val="00D8192E"/>
    <w:rsid w:val="00D85A4A"/>
    <w:rsid w:val="00D86895"/>
    <w:rsid w:val="00D9196A"/>
    <w:rsid w:val="00D923F5"/>
    <w:rsid w:val="00D9261D"/>
    <w:rsid w:val="00D93A8D"/>
    <w:rsid w:val="00D95F91"/>
    <w:rsid w:val="00D96261"/>
    <w:rsid w:val="00D97ACA"/>
    <w:rsid w:val="00D97D84"/>
    <w:rsid w:val="00D97F38"/>
    <w:rsid w:val="00DA2066"/>
    <w:rsid w:val="00DA4302"/>
    <w:rsid w:val="00DA591C"/>
    <w:rsid w:val="00DA5F28"/>
    <w:rsid w:val="00DB0A68"/>
    <w:rsid w:val="00DB1399"/>
    <w:rsid w:val="00DB1BF0"/>
    <w:rsid w:val="00DB27C7"/>
    <w:rsid w:val="00DB3378"/>
    <w:rsid w:val="00DB6A15"/>
    <w:rsid w:val="00DB7163"/>
    <w:rsid w:val="00DB72E8"/>
    <w:rsid w:val="00DC1784"/>
    <w:rsid w:val="00DC2123"/>
    <w:rsid w:val="00DC2181"/>
    <w:rsid w:val="00DC47BA"/>
    <w:rsid w:val="00DC691B"/>
    <w:rsid w:val="00DC7240"/>
    <w:rsid w:val="00DC774E"/>
    <w:rsid w:val="00DD0983"/>
    <w:rsid w:val="00DD2ED6"/>
    <w:rsid w:val="00DD4FBA"/>
    <w:rsid w:val="00DD5E50"/>
    <w:rsid w:val="00DD618F"/>
    <w:rsid w:val="00DD6A43"/>
    <w:rsid w:val="00DE0C70"/>
    <w:rsid w:val="00DE1C60"/>
    <w:rsid w:val="00DE5195"/>
    <w:rsid w:val="00DE6763"/>
    <w:rsid w:val="00DF25DE"/>
    <w:rsid w:val="00DF26E9"/>
    <w:rsid w:val="00DF59F7"/>
    <w:rsid w:val="00DF618C"/>
    <w:rsid w:val="00DF62E0"/>
    <w:rsid w:val="00DF7896"/>
    <w:rsid w:val="00E01598"/>
    <w:rsid w:val="00E03606"/>
    <w:rsid w:val="00E03BA4"/>
    <w:rsid w:val="00E04047"/>
    <w:rsid w:val="00E04524"/>
    <w:rsid w:val="00E0502F"/>
    <w:rsid w:val="00E06AA0"/>
    <w:rsid w:val="00E10501"/>
    <w:rsid w:val="00E12152"/>
    <w:rsid w:val="00E1278D"/>
    <w:rsid w:val="00E13827"/>
    <w:rsid w:val="00E2007C"/>
    <w:rsid w:val="00E2091D"/>
    <w:rsid w:val="00E217AA"/>
    <w:rsid w:val="00E23555"/>
    <w:rsid w:val="00E31FBB"/>
    <w:rsid w:val="00E3335C"/>
    <w:rsid w:val="00E34CFD"/>
    <w:rsid w:val="00E356D0"/>
    <w:rsid w:val="00E3647A"/>
    <w:rsid w:val="00E376E0"/>
    <w:rsid w:val="00E37852"/>
    <w:rsid w:val="00E4013E"/>
    <w:rsid w:val="00E41111"/>
    <w:rsid w:val="00E4203F"/>
    <w:rsid w:val="00E42213"/>
    <w:rsid w:val="00E4239D"/>
    <w:rsid w:val="00E425A1"/>
    <w:rsid w:val="00E425F8"/>
    <w:rsid w:val="00E43673"/>
    <w:rsid w:val="00E43FFD"/>
    <w:rsid w:val="00E44B33"/>
    <w:rsid w:val="00E46A46"/>
    <w:rsid w:val="00E50405"/>
    <w:rsid w:val="00E52199"/>
    <w:rsid w:val="00E52510"/>
    <w:rsid w:val="00E53251"/>
    <w:rsid w:val="00E53D98"/>
    <w:rsid w:val="00E53DF3"/>
    <w:rsid w:val="00E56C01"/>
    <w:rsid w:val="00E57719"/>
    <w:rsid w:val="00E57E8F"/>
    <w:rsid w:val="00E626CC"/>
    <w:rsid w:val="00E706A0"/>
    <w:rsid w:val="00E7197A"/>
    <w:rsid w:val="00E71C5E"/>
    <w:rsid w:val="00E7221D"/>
    <w:rsid w:val="00E773B0"/>
    <w:rsid w:val="00E82488"/>
    <w:rsid w:val="00E83108"/>
    <w:rsid w:val="00E83580"/>
    <w:rsid w:val="00E83988"/>
    <w:rsid w:val="00E84B37"/>
    <w:rsid w:val="00E85328"/>
    <w:rsid w:val="00E90A9E"/>
    <w:rsid w:val="00E9185C"/>
    <w:rsid w:val="00E926BC"/>
    <w:rsid w:val="00E9365C"/>
    <w:rsid w:val="00E9560F"/>
    <w:rsid w:val="00E9561A"/>
    <w:rsid w:val="00EA4409"/>
    <w:rsid w:val="00EA6787"/>
    <w:rsid w:val="00EA6A80"/>
    <w:rsid w:val="00EB07B1"/>
    <w:rsid w:val="00EB0CB7"/>
    <w:rsid w:val="00EB2DF5"/>
    <w:rsid w:val="00EB38DE"/>
    <w:rsid w:val="00EB5776"/>
    <w:rsid w:val="00EB5F33"/>
    <w:rsid w:val="00EB7F8E"/>
    <w:rsid w:val="00EC2E19"/>
    <w:rsid w:val="00EC5FD0"/>
    <w:rsid w:val="00EC6523"/>
    <w:rsid w:val="00EC67D4"/>
    <w:rsid w:val="00EC7F1A"/>
    <w:rsid w:val="00EC7FBD"/>
    <w:rsid w:val="00ED1BF6"/>
    <w:rsid w:val="00ED257E"/>
    <w:rsid w:val="00ED290E"/>
    <w:rsid w:val="00ED2D47"/>
    <w:rsid w:val="00ED361F"/>
    <w:rsid w:val="00ED5D78"/>
    <w:rsid w:val="00EE19F1"/>
    <w:rsid w:val="00EE3926"/>
    <w:rsid w:val="00EF0017"/>
    <w:rsid w:val="00EF048E"/>
    <w:rsid w:val="00EF150E"/>
    <w:rsid w:val="00EF190F"/>
    <w:rsid w:val="00EF19B4"/>
    <w:rsid w:val="00EF1B15"/>
    <w:rsid w:val="00EF2BF8"/>
    <w:rsid w:val="00EF33C0"/>
    <w:rsid w:val="00EF3D99"/>
    <w:rsid w:val="00EF4C18"/>
    <w:rsid w:val="00EF5366"/>
    <w:rsid w:val="00EF53AE"/>
    <w:rsid w:val="00EF5DF2"/>
    <w:rsid w:val="00EF6F57"/>
    <w:rsid w:val="00EF7CF5"/>
    <w:rsid w:val="00F01FEB"/>
    <w:rsid w:val="00F0235F"/>
    <w:rsid w:val="00F0294E"/>
    <w:rsid w:val="00F0340B"/>
    <w:rsid w:val="00F0403A"/>
    <w:rsid w:val="00F0408A"/>
    <w:rsid w:val="00F056F4"/>
    <w:rsid w:val="00F05AB4"/>
    <w:rsid w:val="00F05CDB"/>
    <w:rsid w:val="00F13EF7"/>
    <w:rsid w:val="00F14DF3"/>
    <w:rsid w:val="00F204B5"/>
    <w:rsid w:val="00F235A5"/>
    <w:rsid w:val="00F23A32"/>
    <w:rsid w:val="00F26CBC"/>
    <w:rsid w:val="00F26F7C"/>
    <w:rsid w:val="00F27FC4"/>
    <w:rsid w:val="00F31331"/>
    <w:rsid w:val="00F3572C"/>
    <w:rsid w:val="00F371AF"/>
    <w:rsid w:val="00F40892"/>
    <w:rsid w:val="00F4261B"/>
    <w:rsid w:val="00F436A7"/>
    <w:rsid w:val="00F43789"/>
    <w:rsid w:val="00F45272"/>
    <w:rsid w:val="00F456DA"/>
    <w:rsid w:val="00F45D72"/>
    <w:rsid w:val="00F508F9"/>
    <w:rsid w:val="00F5586A"/>
    <w:rsid w:val="00F5641D"/>
    <w:rsid w:val="00F56F14"/>
    <w:rsid w:val="00F60559"/>
    <w:rsid w:val="00F61D42"/>
    <w:rsid w:val="00F62790"/>
    <w:rsid w:val="00F62BB8"/>
    <w:rsid w:val="00F65F81"/>
    <w:rsid w:val="00F66C89"/>
    <w:rsid w:val="00F66FD0"/>
    <w:rsid w:val="00F67465"/>
    <w:rsid w:val="00F67DA1"/>
    <w:rsid w:val="00F7216E"/>
    <w:rsid w:val="00F74AEC"/>
    <w:rsid w:val="00F75850"/>
    <w:rsid w:val="00F77178"/>
    <w:rsid w:val="00F81001"/>
    <w:rsid w:val="00F8434F"/>
    <w:rsid w:val="00F85F24"/>
    <w:rsid w:val="00F862F8"/>
    <w:rsid w:val="00F8737D"/>
    <w:rsid w:val="00F9038C"/>
    <w:rsid w:val="00F92044"/>
    <w:rsid w:val="00F92FAD"/>
    <w:rsid w:val="00F949F0"/>
    <w:rsid w:val="00FA0738"/>
    <w:rsid w:val="00FA2D92"/>
    <w:rsid w:val="00FA2E64"/>
    <w:rsid w:val="00FA300B"/>
    <w:rsid w:val="00FA33A1"/>
    <w:rsid w:val="00FA34CE"/>
    <w:rsid w:val="00FA4293"/>
    <w:rsid w:val="00FA71A7"/>
    <w:rsid w:val="00FA7242"/>
    <w:rsid w:val="00FB0C5E"/>
    <w:rsid w:val="00FB1F91"/>
    <w:rsid w:val="00FB27B6"/>
    <w:rsid w:val="00FB29A7"/>
    <w:rsid w:val="00FB4E2F"/>
    <w:rsid w:val="00FB5B17"/>
    <w:rsid w:val="00FB5CEF"/>
    <w:rsid w:val="00FB75CE"/>
    <w:rsid w:val="00FB760F"/>
    <w:rsid w:val="00FC6707"/>
    <w:rsid w:val="00FD2746"/>
    <w:rsid w:val="00FD4C16"/>
    <w:rsid w:val="00FE02D3"/>
    <w:rsid w:val="00FE124C"/>
    <w:rsid w:val="00FE1B3A"/>
    <w:rsid w:val="00FE48E5"/>
    <w:rsid w:val="00FE684C"/>
    <w:rsid w:val="00FE719E"/>
    <w:rsid w:val="00FE725F"/>
    <w:rsid w:val="00FF020B"/>
    <w:rsid w:val="00FF2191"/>
    <w:rsid w:val="00FF22CE"/>
    <w:rsid w:val="00FF323F"/>
    <w:rsid w:val="00FF4F25"/>
    <w:rsid w:val="00FF543C"/>
    <w:rsid w:val="00FF5693"/>
    <w:rsid w:val="00FF7B14"/>
    <w:rsid w:val="00FF7E9E"/>
    <w:rsid w:val="02B546C0"/>
    <w:rsid w:val="052C7CFA"/>
    <w:rsid w:val="06734B80"/>
    <w:rsid w:val="07106873"/>
    <w:rsid w:val="076C28FF"/>
    <w:rsid w:val="09582C52"/>
    <w:rsid w:val="095F57C8"/>
    <w:rsid w:val="0A4725AB"/>
    <w:rsid w:val="0B016603"/>
    <w:rsid w:val="0B464611"/>
    <w:rsid w:val="0D7C256C"/>
    <w:rsid w:val="0DFF319D"/>
    <w:rsid w:val="0EA6044A"/>
    <w:rsid w:val="0F85087D"/>
    <w:rsid w:val="13493FB2"/>
    <w:rsid w:val="16551653"/>
    <w:rsid w:val="17DD7FFC"/>
    <w:rsid w:val="19E14E08"/>
    <w:rsid w:val="1AA2382E"/>
    <w:rsid w:val="1AA6778A"/>
    <w:rsid w:val="1C1753F9"/>
    <w:rsid w:val="1D9E353D"/>
    <w:rsid w:val="22876948"/>
    <w:rsid w:val="24353091"/>
    <w:rsid w:val="25B056E3"/>
    <w:rsid w:val="272D57DE"/>
    <w:rsid w:val="287A6446"/>
    <w:rsid w:val="28C22D23"/>
    <w:rsid w:val="2A044F34"/>
    <w:rsid w:val="2AF04872"/>
    <w:rsid w:val="2B334568"/>
    <w:rsid w:val="2CCE2260"/>
    <w:rsid w:val="2E364476"/>
    <w:rsid w:val="2EAA1CCA"/>
    <w:rsid w:val="32D764D0"/>
    <w:rsid w:val="34983ADE"/>
    <w:rsid w:val="36891DE3"/>
    <w:rsid w:val="36B42076"/>
    <w:rsid w:val="371C146A"/>
    <w:rsid w:val="390034C5"/>
    <w:rsid w:val="398147FC"/>
    <w:rsid w:val="3F2D2FAC"/>
    <w:rsid w:val="40FE6C38"/>
    <w:rsid w:val="41630D72"/>
    <w:rsid w:val="41B16CE3"/>
    <w:rsid w:val="41DB6B36"/>
    <w:rsid w:val="44AA66FD"/>
    <w:rsid w:val="453B6F54"/>
    <w:rsid w:val="47B42327"/>
    <w:rsid w:val="490D01E0"/>
    <w:rsid w:val="4AF25825"/>
    <w:rsid w:val="51CD4BC1"/>
    <w:rsid w:val="528D3D34"/>
    <w:rsid w:val="538871F3"/>
    <w:rsid w:val="55751488"/>
    <w:rsid w:val="55C6733D"/>
    <w:rsid w:val="5D137698"/>
    <w:rsid w:val="5D656FA2"/>
    <w:rsid w:val="5E593028"/>
    <w:rsid w:val="5EAB331D"/>
    <w:rsid w:val="5F596771"/>
    <w:rsid w:val="6173016B"/>
    <w:rsid w:val="61B362BB"/>
    <w:rsid w:val="63351AF5"/>
    <w:rsid w:val="636D4099"/>
    <w:rsid w:val="676567BB"/>
    <w:rsid w:val="67EE793D"/>
    <w:rsid w:val="68A2415B"/>
    <w:rsid w:val="6AD40E1E"/>
    <w:rsid w:val="6B8F25DF"/>
    <w:rsid w:val="6D656B9A"/>
    <w:rsid w:val="6D7C6E3B"/>
    <w:rsid w:val="6EF418E0"/>
    <w:rsid w:val="72024529"/>
    <w:rsid w:val="73DC65DE"/>
    <w:rsid w:val="74B53185"/>
    <w:rsid w:val="764B60BF"/>
    <w:rsid w:val="7713222E"/>
    <w:rsid w:val="796237E0"/>
    <w:rsid w:val="79BA62C9"/>
    <w:rsid w:val="7A611EC9"/>
    <w:rsid w:val="7AF20ADA"/>
    <w:rsid w:val="7D7A448B"/>
    <w:rsid w:val="7E462FD2"/>
    <w:rsid w:val="7EA96DF8"/>
    <w:rsid w:val="7F4D732E"/>
    <w:rsid w:val="7F9D0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9"/>
    <w:pPr>
      <w:keepNext/>
      <w:jc w:val="center"/>
      <w:outlineLvl w:val="0"/>
    </w:pPr>
    <w:rPr>
      <w:rFonts w:ascii="楷体_GB2312" w:hAnsi="Times New Roman" w:eastAsia="楷体_GB2312" w:cs="Times New Roman"/>
      <w:b/>
      <w:kern w:val="0"/>
      <w:sz w:val="28"/>
      <w:szCs w:val="20"/>
    </w:rPr>
  </w:style>
  <w:style w:type="paragraph" w:styleId="3">
    <w:name w:val="heading 2"/>
    <w:basedOn w:val="1"/>
    <w:next w:val="1"/>
    <w:link w:val="42"/>
    <w:qFormat/>
    <w:uiPriority w:val="99"/>
    <w:pPr>
      <w:keepNext/>
      <w:jc w:val="center"/>
      <w:outlineLvl w:val="1"/>
    </w:pPr>
    <w:rPr>
      <w:rFonts w:ascii="楷体_GB2312" w:hAnsi="Times New Roman" w:eastAsia="楷体_GB2312" w:cs="Times New Roman"/>
      <w:b/>
      <w:bCs/>
      <w:kern w:val="0"/>
      <w:sz w:val="18"/>
      <w:szCs w:val="20"/>
    </w:rPr>
  </w:style>
  <w:style w:type="paragraph" w:styleId="4">
    <w:name w:val="heading 3"/>
    <w:basedOn w:val="1"/>
    <w:next w:val="1"/>
    <w:link w:val="43"/>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44"/>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45"/>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7">
    <w:name w:val="heading 6"/>
    <w:basedOn w:val="1"/>
    <w:next w:val="1"/>
    <w:link w:val="11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semiHidden/>
    <w:unhideWhenUsed/>
    <w:qFormat/>
    <w:uiPriority w:val="39"/>
    <w:pPr>
      <w:ind w:left="1260"/>
      <w:jc w:val="left"/>
    </w:pPr>
    <w:rPr>
      <w:sz w:val="20"/>
      <w:szCs w:val="20"/>
    </w:rPr>
  </w:style>
  <w:style w:type="paragraph" w:styleId="9">
    <w:name w:val="Normal Indent"/>
    <w:basedOn w:val="1"/>
    <w:link w:val="124"/>
    <w:qFormat/>
    <w:uiPriority w:val="0"/>
    <w:pPr>
      <w:ind w:firstLine="420"/>
    </w:pPr>
    <w:rPr>
      <w:rFonts w:ascii="Times New Roman" w:hAnsi="Times New Roman" w:eastAsia="宋体" w:cs="Times New Roman"/>
      <w:szCs w:val="20"/>
    </w:rPr>
  </w:style>
  <w:style w:type="paragraph" w:styleId="10">
    <w:name w:val="Document Map"/>
    <w:basedOn w:val="1"/>
    <w:link w:val="106"/>
    <w:semiHidden/>
    <w:qFormat/>
    <w:uiPriority w:val="99"/>
    <w:pPr>
      <w:shd w:val="clear" w:color="auto" w:fill="000080"/>
    </w:pPr>
    <w:rPr>
      <w:rFonts w:ascii="Times New Roman" w:hAnsi="Times New Roman" w:eastAsia="宋体" w:cs="Times New Roman"/>
      <w:kern w:val="0"/>
      <w:sz w:val="20"/>
      <w:szCs w:val="20"/>
    </w:rPr>
  </w:style>
  <w:style w:type="paragraph" w:styleId="11">
    <w:name w:val="annotation text"/>
    <w:basedOn w:val="1"/>
    <w:link w:val="113"/>
    <w:unhideWhenUsed/>
    <w:qFormat/>
    <w:uiPriority w:val="0"/>
    <w:pPr>
      <w:jc w:val="left"/>
    </w:pPr>
  </w:style>
  <w:style w:type="paragraph" w:styleId="12">
    <w:name w:val="Body Text"/>
    <w:basedOn w:val="1"/>
    <w:link w:val="50"/>
    <w:qFormat/>
    <w:uiPriority w:val="99"/>
    <w:rPr>
      <w:rFonts w:ascii="华文中宋" w:hAnsi="Times New Roman" w:eastAsia="华文中宋" w:cs="Times New Roman"/>
      <w:bCs/>
      <w:kern w:val="0"/>
      <w:sz w:val="28"/>
      <w:szCs w:val="20"/>
    </w:rPr>
  </w:style>
  <w:style w:type="paragraph" w:styleId="13">
    <w:name w:val="Body Text Indent"/>
    <w:basedOn w:val="1"/>
    <w:link w:val="47"/>
    <w:qFormat/>
    <w:uiPriority w:val="99"/>
    <w:pPr>
      <w:ind w:firstLine="576"/>
    </w:pPr>
    <w:rPr>
      <w:rFonts w:ascii="Times New Roman" w:hAnsi="Times New Roman" w:eastAsia="宋体" w:cs="Times New Roman"/>
      <w:b/>
      <w:kern w:val="0"/>
      <w:sz w:val="30"/>
      <w:szCs w:val="20"/>
    </w:rPr>
  </w:style>
  <w:style w:type="paragraph" w:styleId="14">
    <w:name w:val="toc 5"/>
    <w:basedOn w:val="1"/>
    <w:next w:val="1"/>
    <w:semiHidden/>
    <w:unhideWhenUsed/>
    <w:qFormat/>
    <w:uiPriority w:val="39"/>
    <w:pPr>
      <w:ind w:left="840"/>
      <w:jc w:val="left"/>
    </w:pPr>
    <w:rPr>
      <w:sz w:val="20"/>
      <w:szCs w:val="20"/>
    </w:rPr>
  </w:style>
  <w:style w:type="paragraph" w:styleId="15">
    <w:name w:val="toc 3"/>
    <w:basedOn w:val="1"/>
    <w:next w:val="1"/>
    <w:unhideWhenUsed/>
    <w:qFormat/>
    <w:uiPriority w:val="39"/>
    <w:pPr>
      <w:ind w:left="420"/>
      <w:jc w:val="left"/>
    </w:pPr>
    <w:rPr>
      <w:sz w:val="20"/>
      <w:szCs w:val="20"/>
    </w:rPr>
  </w:style>
  <w:style w:type="paragraph" w:styleId="16">
    <w:name w:val="toc 8"/>
    <w:basedOn w:val="1"/>
    <w:next w:val="1"/>
    <w:semiHidden/>
    <w:unhideWhenUsed/>
    <w:qFormat/>
    <w:uiPriority w:val="39"/>
    <w:pPr>
      <w:ind w:left="1470"/>
      <w:jc w:val="left"/>
    </w:pPr>
    <w:rPr>
      <w:sz w:val="20"/>
      <w:szCs w:val="20"/>
    </w:rPr>
  </w:style>
  <w:style w:type="paragraph" w:styleId="17">
    <w:name w:val="Date"/>
    <w:basedOn w:val="1"/>
    <w:next w:val="1"/>
    <w:link w:val="46"/>
    <w:qFormat/>
    <w:uiPriority w:val="0"/>
    <w:rPr>
      <w:rFonts w:ascii="Times New Roman" w:hAnsi="Times New Roman" w:eastAsia="黑体" w:cs="Times New Roman"/>
      <w:b/>
      <w:kern w:val="0"/>
      <w:sz w:val="36"/>
      <w:szCs w:val="20"/>
    </w:rPr>
  </w:style>
  <w:style w:type="paragraph" w:styleId="18">
    <w:name w:val="Body Text Indent 2"/>
    <w:basedOn w:val="1"/>
    <w:link w:val="51"/>
    <w:qFormat/>
    <w:uiPriority w:val="99"/>
    <w:pPr>
      <w:ind w:left="900"/>
    </w:pPr>
    <w:rPr>
      <w:rFonts w:ascii="楷体_GB2312" w:hAnsi="Times New Roman" w:eastAsia="楷体_GB2312" w:cs="Times New Roman"/>
      <w:b/>
      <w:kern w:val="0"/>
      <w:sz w:val="28"/>
      <w:szCs w:val="20"/>
    </w:rPr>
  </w:style>
  <w:style w:type="paragraph" w:styleId="19">
    <w:name w:val="Balloon Text"/>
    <w:basedOn w:val="1"/>
    <w:link w:val="112"/>
    <w:semiHidden/>
    <w:unhideWhenUsed/>
    <w:qFormat/>
    <w:uiPriority w:val="99"/>
    <w:rPr>
      <w:rFonts w:ascii="Times New Roman" w:hAnsi="Times New Roman" w:eastAsia="宋体" w:cs="Times New Roman"/>
      <w:sz w:val="18"/>
      <w:szCs w:val="18"/>
    </w:rPr>
  </w:style>
  <w:style w:type="paragraph" w:styleId="20">
    <w:name w:val="footer"/>
    <w:basedOn w:val="1"/>
    <w:link w:val="48"/>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1">
    <w:name w:val="header"/>
    <w:basedOn w:val="1"/>
    <w:link w:val="4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2">
    <w:name w:val="toc 1"/>
    <w:basedOn w:val="1"/>
    <w:next w:val="1"/>
    <w:unhideWhenUsed/>
    <w:qFormat/>
    <w:uiPriority w:val="39"/>
    <w:pPr>
      <w:tabs>
        <w:tab w:val="right" w:leader="dot" w:pos="9911"/>
      </w:tabs>
      <w:jc w:val="left"/>
    </w:pPr>
    <w:rPr>
      <w:rFonts w:eastAsia="黑体"/>
      <w:sz w:val="28"/>
      <w:szCs w:val="28"/>
    </w:rPr>
  </w:style>
  <w:style w:type="paragraph" w:styleId="23">
    <w:name w:val="toc 4"/>
    <w:basedOn w:val="1"/>
    <w:next w:val="1"/>
    <w:semiHidden/>
    <w:unhideWhenUsed/>
    <w:qFormat/>
    <w:uiPriority w:val="39"/>
    <w:pPr>
      <w:ind w:left="630"/>
      <w:jc w:val="left"/>
    </w:pPr>
    <w:rPr>
      <w:sz w:val="20"/>
      <w:szCs w:val="20"/>
    </w:rPr>
  </w:style>
  <w:style w:type="paragraph" w:styleId="24">
    <w:name w:val="toc 6"/>
    <w:basedOn w:val="1"/>
    <w:next w:val="1"/>
    <w:semiHidden/>
    <w:unhideWhenUsed/>
    <w:qFormat/>
    <w:uiPriority w:val="39"/>
    <w:pPr>
      <w:ind w:left="1050"/>
      <w:jc w:val="left"/>
    </w:pPr>
    <w:rPr>
      <w:sz w:val="20"/>
      <w:szCs w:val="20"/>
    </w:rPr>
  </w:style>
  <w:style w:type="paragraph" w:styleId="25">
    <w:name w:val="Body Text Indent 3"/>
    <w:basedOn w:val="1"/>
    <w:link w:val="52"/>
    <w:qFormat/>
    <w:uiPriority w:val="99"/>
    <w:pPr>
      <w:ind w:left="359" w:leftChars="171" w:firstLine="359" w:firstLineChars="171"/>
    </w:pPr>
    <w:rPr>
      <w:rFonts w:ascii="Times New Roman" w:hAnsi="Times New Roman" w:eastAsia="宋体" w:cs="Times New Roman"/>
      <w:kern w:val="0"/>
      <w:sz w:val="20"/>
      <w:szCs w:val="20"/>
    </w:rPr>
  </w:style>
  <w:style w:type="paragraph" w:styleId="26">
    <w:name w:val="toc 2"/>
    <w:basedOn w:val="1"/>
    <w:next w:val="1"/>
    <w:unhideWhenUsed/>
    <w:qFormat/>
    <w:uiPriority w:val="39"/>
    <w:pPr>
      <w:spacing w:before="120"/>
      <w:ind w:left="210"/>
      <w:jc w:val="left"/>
    </w:pPr>
    <w:rPr>
      <w:i/>
      <w:iCs/>
      <w:sz w:val="20"/>
      <w:szCs w:val="20"/>
    </w:rPr>
  </w:style>
  <w:style w:type="paragraph" w:styleId="27">
    <w:name w:val="toc 9"/>
    <w:basedOn w:val="1"/>
    <w:next w:val="1"/>
    <w:semiHidden/>
    <w:unhideWhenUsed/>
    <w:qFormat/>
    <w:uiPriority w:val="39"/>
    <w:pPr>
      <w:ind w:left="1680"/>
      <w:jc w:val="left"/>
    </w:pPr>
    <w:rPr>
      <w:sz w:val="20"/>
      <w:szCs w:val="20"/>
    </w:rPr>
  </w:style>
  <w:style w:type="paragraph" w:styleId="28">
    <w:name w:val="Body Text 2"/>
    <w:basedOn w:val="1"/>
    <w:link w:val="107"/>
    <w:qFormat/>
    <w:uiPriority w:val="99"/>
    <w:pPr>
      <w:spacing w:after="120" w:line="480" w:lineRule="auto"/>
    </w:pPr>
    <w:rPr>
      <w:rFonts w:ascii="Times New Roman" w:hAnsi="Times New Roman" w:eastAsia="宋体" w:cs="Times New Roman"/>
      <w:kern w:val="0"/>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1"/>
    <w:next w:val="11"/>
    <w:link w:val="114"/>
    <w:semiHidden/>
    <w:unhideWhenUsed/>
    <w:qFormat/>
    <w:uiPriority w:val="99"/>
    <w:rPr>
      <w:b/>
      <w:bCs/>
    </w:rPr>
  </w:style>
  <w:style w:type="paragraph" w:styleId="31">
    <w:name w:val="Body Text First Indent 2"/>
    <w:basedOn w:val="13"/>
    <w:link w:val="133"/>
    <w:semiHidden/>
    <w:unhideWhenUsed/>
    <w:qFormat/>
    <w:uiPriority w:val="99"/>
    <w:pPr>
      <w:spacing w:after="120"/>
      <w:ind w:left="420" w:leftChars="200" w:firstLine="420" w:firstLineChars="200"/>
    </w:pPr>
    <w:rPr>
      <w:rFonts w:asciiTheme="minorHAnsi" w:hAnsiTheme="minorHAnsi" w:eastAsiaTheme="minorEastAsia" w:cstheme="minorBidi"/>
      <w:b w:val="0"/>
      <w:kern w:val="2"/>
      <w:sz w:val="21"/>
      <w:szCs w:val="2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99"/>
    <w:rPr>
      <w:rFonts w:cs="Times New Roman"/>
      <w:b/>
      <w:bCs/>
    </w:rPr>
  </w:style>
  <w:style w:type="character" w:styleId="36">
    <w:name w:val="page number"/>
    <w:qFormat/>
    <w:uiPriority w:val="99"/>
    <w:rPr>
      <w:rFonts w:cs="Times New Roman"/>
    </w:rPr>
  </w:style>
  <w:style w:type="character" w:styleId="37">
    <w:name w:val="FollowedHyperlink"/>
    <w:semiHidden/>
    <w:unhideWhenUsed/>
    <w:qFormat/>
    <w:uiPriority w:val="99"/>
    <w:rPr>
      <w:color w:val="800080"/>
      <w:u w:val="single"/>
    </w:rPr>
  </w:style>
  <w:style w:type="character" w:styleId="38">
    <w:name w:val="HTML Typewriter"/>
    <w:qFormat/>
    <w:uiPriority w:val="99"/>
    <w:rPr>
      <w:rFonts w:ascii="宋体" w:hAnsi="宋体" w:eastAsia="宋体" w:cs="宋体"/>
      <w:sz w:val="24"/>
      <w:szCs w:val="24"/>
    </w:rPr>
  </w:style>
  <w:style w:type="character" w:styleId="39">
    <w:name w:val="Hyperlink"/>
    <w:qFormat/>
    <w:uiPriority w:val="99"/>
    <w:rPr>
      <w:rFonts w:cs="Times New Roman"/>
      <w:color w:val="auto"/>
      <w:u w:val="none"/>
    </w:rPr>
  </w:style>
  <w:style w:type="character" w:styleId="40">
    <w:name w:val="annotation reference"/>
    <w:basedOn w:val="34"/>
    <w:unhideWhenUsed/>
    <w:qFormat/>
    <w:uiPriority w:val="0"/>
    <w:rPr>
      <w:sz w:val="21"/>
      <w:szCs w:val="21"/>
    </w:rPr>
  </w:style>
  <w:style w:type="character" w:customStyle="1" w:styleId="41">
    <w:name w:val="标题 1 Char"/>
    <w:basedOn w:val="34"/>
    <w:link w:val="2"/>
    <w:qFormat/>
    <w:uiPriority w:val="99"/>
    <w:rPr>
      <w:rFonts w:ascii="楷体_GB2312" w:hAnsi="Times New Roman" w:eastAsia="楷体_GB2312" w:cs="Times New Roman"/>
      <w:b/>
      <w:kern w:val="0"/>
      <w:sz w:val="28"/>
      <w:szCs w:val="20"/>
    </w:rPr>
  </w:style>
  <w:style w:type="character" w:customStyle="1" w:styleId="42">
    <w:name w:val="标题 2 Char"/>
    <w:basedOn w:val="34"/>
    <w:link w:val="3"/>
    <w:qFormat/>
    <w:uiPriority w:val="99"/>
    <w:rPr>
      <w:rFonts w:ascii="楷体_GB2312" w:hAnsi="Times New Roman" w:eastAsia="楷体_GB2312" w:cs="Times New Roman"/>
      <w:b/>
      <w:bCs/>
      <w:kern w:val="0"/>
      <w:sz w:val="18"/>
      <w:szCs w:val="20"/>
    </w:rPr>
  </w:style>
  <w:style w:type="character" w:customStyle="1" w:styleId="43">
    <w:name w:val="标题 3 Char"/>
    <w:basedOn w:val="34"/>
    <w:link w:val="4"/>
    <w:qFormat/>
    <w:uiPriority w:val="99"/>
    <w:rPr>
      <w:rFonts w:ascii="Times New Roman" w:hAnsi="Times New Roman" w:eastAsia="楷体_GB2312" w:cs="Times New Roman"/>
      <w:b/>
      <w:bCs/>
      <w:kern w:val="0"/>
      <w:sz w:val="15"/>
      <w:szCs w:val="20"/>
    </w:rPr>
  </w:style>
  <w:style w:type="character" w:customStyle="1" w:styleId="44">
    <w:name w:val="标题 4 Char"/>
    <w:basedOn w:val="34"/>
    <w:link w:val="5"/>
    <w:qFormat/>
    <w:uiPriority w:val="99"/>
    <w:rPr>
      <w:rFonts w:ascii="Times New Roman" w:hAnsi="Times New Roman" w:eastAsia="楷体_GB2312" w:cs="Times New Roman"/>
      <w:b/>
      <w:bCs/>
      <w:kern w:val="0"/>
      <w:sz w:val="13"/>
      <w:szCs w:val="20"/>
    </w:rPr>
  </w:style>
  <w:style w:type="character" w:customStyle="1" w:styleId="45">
    <w:name w:val="标题 5 Char"/>
    <w:basedOn w:val="34"/>
    <w:link w:val="6"/>
    <w:qFormat/>
    <w:uiPriority w:val="99"/>
    <w:rPr>
      <w:rFonts w:ascii="楷体_GB2312" w:hAnsi="Times New Roman" w:eastAsia="楷体_GB2312" w:cs="Times New Roman"/>
      <w:bCs/>
      <w:kern w:val="0"/>
      <w:sz w:val="28"/>
      <w:szCs w:val="20"/>
    </w:rPr>
  </w:style>
  <w:style w:type="character" w:customStyle="1" w:styleId="46">
    <w:name w:val="日期 Char"/>
    <w:basedOn w:val="34"/>
    <w:link w:val="17"/>
    <w:qFormat/>
    <w:uiPriority w:val="99"/>
    <w:rPr>
      <w:rFonts w:ascii="Times New Roman" w:hAnsi="Times New Roman" w:eastAsia="黑体" w:cs="Times New Roman"/>
      <w:b/>
      <w:kern w:val="0"/>
      <w:sz w:val="36"/>
      <w:szCs w:val="20"/>
    </w:rPr>
  </w:style>
  <w:style w:type="character" w:customStyle="1" w:styleId="47">
    <w:name w:val="正文文本缩进 Char"/>
    <w:basedOn w:val="34"/>
    <w:link w:val="13"/>
    <w:qFormat/>
    <w:uiPriority w:val="99"/>
    <w:rPr>
      <w:rFonts w:ascii="Times New Roman" w:hAnsi="Times New Roman" w:eastAsia="宋体" w:cs="Times New Roman"/>
      <w:b/>
      <w:kern w:val="0"/>
      <w:sz w:val="30"/>
      <w:szCs w:val="20"/>
    </w:rPr>
  </w:style>
  <w:style w:type="character" w:customStyle="1" w:styleId="48">
    <w:name w:val="页脚 Char"/>
    <w:basedOn w:val="34"/>
    <w:link w:val="20"/>
    <w:qFormat/>
    <w:uiPriority w:val="99"/>
    <w:rPr>
      <w:rFonts w:ascii="Times New Roman" w:hAnsi="Times New Roman" w:eastAsia="宋体" w:cs="Times New Roman"/>
      <w:kern w:val="0"/>
      <w:sz w:val="18"/>
      <w:szCs w:val="20"/>
    </w:rPr>
  </w:style>
  <w:style w:type="character" w:customStyle="1" w:styleId="49">
    <w:name w:val="页眉 Char"/>
    <w:basedOn w:val="34"/>
    <w:link w:val="21"/>
    <w:qFormat/>
    <w:uiPriority w:val="99"/>
    <w:rPr>
      <w:rFonts w:ascii="Times New Roman" w:hAnsi="Times New Roman" w:eastAsia="宋体" w:cs="Times New Roman"/>
      <w:kern w:val="0"/>
      <w:sz w:val="18"/>
      <w:szCs w:val="20"/>
    </w:rPr>
  </w:style>
  <w:style w:type="character" w:customStyle="1" w:styleId="50">
    <w:name w:val="正文文本 Char"/>
    <w:basedOn w:val="34"/>
    <w:link w:val="12"/>
    <w:qFormat/>
    <w:uiPriority w:val="99"/>
    <w:rPr>
      <w:rFonts w:ascii="华文中宋" w:hAnsi="Times New Roman" w:eastAsia="华文中宋" w:cs="Times New Roman"/>
      <w:bCs/>
      <w:kern w:val="0"/>
      <w:sz w:val="28"/>
      <w:szCs w:val="20"/>
    </w:rPr>
  </w:style>
  <w:style w:type="character" w:customStyle="1" w:styleId="51">
    <w:name w:val="正文文本缩进 2 Char"/>
    <w:basedOn w:val="34"/>
    <w:link w:val="18"/>
    <w:qFormat/>
    <w:uiPriority w:val="99"/>
    <w:rPr>
      <w:rFonts w:ascii="楷体_GB2312" w:hAnsi="Times New Roman" w:eastAsia="楷体_GB2312" w:cs="Times New Roman"/>
      <w:b/>
      <w:kern w:val="0"/>
      <w:sz w:val="28"/>
      <w:szCs w:val="20"/>
    </w:rPr>
  </w:style>
  <w:style w:type="character" w:customStyle="1" w:styleId="52">
    <w:name w:val="正文文本缩进 3 Char"/>
    <w:basedOn w:val="34"/>
    <w:link w:val="25"/>
    <w:qFormat/>
    <w:uiPriority w:val="99"/>
    <w:rPr>
      <w:rFonts w:ascii="Times New Roman" w:hAnsi="Times New Roman" w:eastAsia="宋体" w:cs="Times New Roman"/>
      <w:kern w:val="0"/>
      <w:sz w:val="20"/>
      <w:szCs w:val="20"/>
    </w:rPr>
  </w:style>
  <w:style w:type="paragraph" w:customStyle="1" w:styleId="53">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4">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5">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6">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7">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6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7">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70">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1">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5">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6">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7">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0">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2">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5">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8">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9">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1">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7">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8">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9">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00">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1">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2">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3">
    <w:name w:val="case31"/>
    <w:qFormat/>
    <w:uiPriority w:val="99"/>
    <w:rPr>
      <w:rFonts w:cs="Times New Roman"/>
      <w:spacing w:val="390"/>
      <w:sz w:val="21"/>
      <w:szCs w:val="21"/>
    </w:rPr>
  </w:style>
  <w:style w:type="paragraph" w:customStyle="1" w:styleId="104">
    <w:name w:val="普通文字"/>
    <w:basedOn w:val="1"/>
    <w:next w:val="1"/>
    <w:qFormat/>
    <w:uiPriority w:val="99"/>
    <w:rPr>
      <w:rFonts w:ascii="宋体" w:hAnsi="Times New Roman" w:eastAsia="宋体" w:cs="Times New Roman"/>
      <w:kern w:val="0"/>
      <w:sz w:val="24"/>
      <w:szCs w:val="20"/>
      <w:u w:color="000000"/>
    </w:rPr>
  </w:style>
  <w:style w:type="paragraph" w:customStyle="1" w:styleId="105">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6">
    <w:name w:val="文档结构图 Char"/>
    <w:basedOn w:val="34"/>
    <w:link w:val="10"/>
    <w:semiHidden/>
    <w:qFormat/>
    <w:uiPriority w:val="99"/>
    <w:rPr>
      <w:rFonts w:ascii="Times New Roman" w:hAnsi="Times New Roman" w:eastAsia="宋体" w:cs="Times New Roman"/>
      <w:kern w:val="0"/>
      <w:sz w:val="20"/>
      <w:szCs w:val="20"/>
      <w:shd w:val="clear" w:color="auto" w:fill="000080"/>
    </w:rPr>
  </w:style>
  <w:style w:type="character" w:customStyle="1" w:styleId="107">
    <w:name w:val="正文文本 2 Char"/>
    <w:basedOn w:val="34"/>
    <w:link w:val="28"/>
    <w:qFormat/>
    <w:uiPriority w:val="99"/>
    <w:rPr>
      <w:rFonts w:ascii="Times New Roman" w:hAnsi="Times New Roman" w:eastAsia="宋体" w:cs="Times New Roman"/>
      <w:kern w:val="0"/>
      <w:sz w:val="20"/>
      <w:szCs w:val="20"/>
    </w:rPr>
  </w:style>
  <w:style w:type="paragraph" w:customStyle="1" w:styleId="108">
    <w:name w:val="Char Char Char Char"/>
    <w:basedOn w:val="10"/>
    <w:qFormat/>
    <w:uiPriority w:val="99"/>
    <w:pPr>
      <w:adjustRightInd w:val="0"/>
      <w:snapToGrid w:val="0"/>
      <w:spacing w:line="360" w:lineRule="auto"/>
    </w:pPr>
    <w:rPr>
      <w:rFonts w:ascii="Tahoma" w:hAnsi="Tahoma"/>
      <w:sz w:val="24"/>
      <w:szCs w:val="24"/>
    </w:rPr>
  </w:style>
  <w:style w:type="paragraph" w:customStyle="1" w:styleId="109">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styleId="110">
    <w:name w:val="List Paragraph"/>
    <w:basedOn w:val="1"/>
    <w:qFormat/>
    <w:uiPriority w:val="99"/>
    <w:pPr>
      <w:ind w:firstLine="420" w:firstLineChars="200"/>
    </w:pPr>
    <w:rPr>
      <w:rFonts w:ascii="Times New Roman" w:hAnsi="Times New Roman" w:eastAsia="宋体" w:cs="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character" w:customStyle="1" w:styleId="112">
    <w:name w:val="批注框文本 Char"/>
    <w:basedOn w:val="34"/>
    <w:link w:val="19"/>
    <w:semiHidden/>
    <w:qFormat/>
    <w:uiPriority w:val="99"/>
    <w:rPr>
      <w:rFonts w:ascii="Times New Roman" w:hAnsi="Times New Roman" w:eastAsia="宋体" w:cs="Times New Roman"/>
      <w:sz w:val="18"/>
      <w:szCs w:val="18"/>
    </w:rPr>
  </w:style>
  <w:style w:type="character" w:customStyle="1" w:styleId="113">
    <w:name w:val="批注文字 Char"/>
    <w:basedOn w:val="34"/>
    <w:link w:val="11"/>
    <w:qFormat/>
    <w:uiPriority w:val="0"/>
  </w:style>
  <w:style w:type="character" w:customStyle="1" w:styleId="114">
    <w:name w:val="批注主题 Char"/>
    <w:basedOn w:val="113"/>
    <w:link w:val="30"/>
    <w:semiHidden/>
    <w:qFormat/>
    <w:uiPriority w:val="99"/>
    <w:rPr>
      <w:b/>
      <w:bCs/>
    </w:rPr>
  </w:style>
  <w:style w:type="paragraph" w:customStyle="1" w:styleId="115">
    <w:name w:val="列表段落1"/>
    <w:basedOn w:val="1"/>
    <w:qFormat/>
    <w:uiPriority w:val="99"/>
    <w:pPr>
      <w:ind w:firstLine="420" w:firstLineChars="200"/>
    </w:pPr>
    <w:rPr>
      <w:rFonts w:ascii="Times New Roman" w:hAnsi="Times New Roman" w:eastAsia="宋体" w:cs="Times New Roman"/>
      <w:szCs w:val="21"/>
    </w:rPr>
  </w:style>
  <w:style w:type="character" w:customStyle="1" w:styleId="116">
    <w:name w:val="标题 6 Char"/>
    <w:basedOn w:val="34"/>
    <w:link w:val="7"/>
    <w:qFormat/>
    <w:uiPriority w:val="9"/>
    <w:rPr>
      <w:rFonts w:asciiTheme="majorHAnsi" w:hAnsiTheme="majorHAnsi" w:eastAsiaTheme="majorEastAsia" w:cstheme="majorBidi"/>
      <w:b/>
      <w:bCs/>
      <w:kern w:val="2"/>
      <w:sz w:val="24"/>
      <w:szCs w:val="24"/>
    </w:rPr>
  </w:style>
  <w:style w:type="paragraph" w:customStyle="1" w:styleId="117">
    <w:name w:val="TOC 标题1"/>
    <w:basedOn w:val="2"/>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8">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9">
    <w:name w:val="Í¼±íÕýÎÄ"/>
    <w:basedOn w:val="1"/>
    <w:next w:val="9"/>
    <w:qFormat/>
    <w:uiPriority w:val="0"/>
    <w:pPr>
      <w:ind w:firstLine="420" w:firstLineChars="200"/>
    </w:pPr>
    <w:rPr>
      <w:rFonts w:ascii="Times New Roman" w:hAnsi="Times New Roman" w:eastAsia="宋体" w:cs="Times New Roman"/>
      <w:sz w:val="24"/>
      <w:szCs w:val="20"/>
    </w:rPr>
  </w:style>
  <w:style w:type="character" w:customStyle="1" w:styleId="120">
    <w:name w:val="未处理的提及1"/>
    <w:basedOn w:val="34"/>
    <w:semiHidden/>
    <w:unhideWhenUsed/>
    <w:qFormat/>
    <w:uiPriority w:val="99"/>
    <w:rPr>
      <w:color w:val="605E5C"/>
      <w:shd w:val="clear" w:color="auto" w:fill="E1DFDD"/>
    </w:rPr>
  </w:style>
  <w:style w:type="paragraph" w:customStyle="1" w:styleId="121">
    <w:name w:val="标题2"/>
    <w:basedOn w:val="3"/>
    <w:next w:val="1"/>
    <w:qFormat/>
    <w:uiPriority w:val="0"/>
    <w:pPr>
      <w:spacing w:line="360" w:lineRule="auto"/>
    </w:pPr>
    <w:rPr>
      <w:rFonts w:ascii="黑体" w:hAnsi="黑体" w:eastAsia="黑体"/>
      <w:b w:val="0"/>
      <w:sz w:val="32"/>
      <w:szCs w:val="32"/>
    </w:rPr>
  </w:style>
  <w:style w:type="paragraph" w:customStyle="1" w:styleId="122">
    <w:name w:val="标题1"/>
    <w:basedOn w:val="2"/>
    <w:next w:val="1"/>
    <w:qFormat/>
    <w:uiPriority w:val="0"/>
    <w:pPr>
      <w:spacing w:line="360" w:lineRule="auto"/>
    </w:pPr>
    <w:rPr>
      <w:rFonts w:ascii="黑体" w:hAnsi="黑体" w:eastAsia="黑体"/>
      <w:b w:val="0"/>
      <w:bCs/>
      <w:szCs w:val="28"/>
    </w:rPr>
  </w:style>
  <w:style w:type="paragraph" w:customStyle="1" w:styleId="123">
    <w:name w:val="标题1-1"/>
    <w:basedOn w:val="2"/>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4">
    <w:name w:val="正文缩进 Char"/>
    <w:link w:val="9"/>
    <w:qFormat/>
    <w:uiPriority w:val="0"/>
    <w:rPr>
      <w:rFonts w:ascii="Times New Roman" w:hAnsi="Times New Roman" w:eastAsia="宋体" w:cs="Times New Roman"/>
      <w:kern w:val="2"/>
      <w:sz w:val="21"/>
    </w:rPr>
  </w:style>
  <w:style w:type="table" w:customStyle="1" w:styleId="125">
    <w:name w:val="网格型浅色1"/>
    <w:basedOn w:val="3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26">
    <w:name w:val="正文缩进1"/>
    <w:basedOn w:val="1"/>
    <w:qFormat/>
    <w:uiPriority w:val="0"/>
    <w:pPr>
      <w:autoSpaceDE w:val="0"/>
      <w:autoSpaceDN w:val="0"/>
      <w:adjustRightInd w:val="0"/>
      <w:ind w:firstLine="420"/>
      <w:jc w:val="left"/>
    </w:pPr>
    <w:rPr>
      <w:rFonts w:ascii="宋体"/>
      <w:sz w:val="24"/>
    </w:rPr>
  </w:style>
  <w:style w:type="paragraph" w:customStyle="1" w:styleId="127">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128">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29">
    <w:name w:val="日期 字符1"/>
    <w:qFormat/>
    <w:locked/>
    <w:uiPriority w:val="0"/>
    <w:rPr>
      <w:kern w:val="2"/>
      <w:sz w:val="24"/>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1">
    <w:name w:val="列出段落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2">
    <w:name w:val="纯文本1"/>
    <w:basedOn w:val="1"/>
    <w:qFormat/>
    <w:uiPriority w:val="0"/>
    <w:rPr>
      <w:rFonts w:ascii="宋体" w:hAnsi="Courier New" w:eastAsia="宋体" w:cs="Times New Roman"/>
      <w:kern w:val="0"/>
      <w:sz w:val="20"/>
      <w:szCs w:val="20"/>
    </w:rPr>
  </w:style>
  <w:style w:type="character" w:customStyle="1" w:styleId="133">
    <w:name w:val="正文首行缩进 2 Char"/>
    <w:basedOn w:val="47"/>
    <w:link w:val="31"/>
    <w:semiHidden/>
    <w:qFormat/>
    <w:uiPriority w:val="99"/>
    <w:rPr>
      <w:rFonts w:ascii="Times New Roman" w:hAnsi="Times New Roman" w:eastAsia="宋体" w:cs="Times New Roman"/>
      <w:b w:val="0"/>
      <w:kern w:val="2"/>
      <w:sz w:val="21"/>
      <w:szCs w:val="22"/>
    </w:rPr>
  </w:style>
  <w:style w:type="paragraph" w:customStyle="1" w:styleId="134">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35">
    <w:name w:val="申报正文"/>
    <w:basedOn w:val="1"/>
    <w:qFormat/>
    <w:uiPriority w:val="0"/>
    <w:pPr>
      <w:tabs>
        <w:tab w:val="left" w:pos="420"/>
      </w:tabs>
      <w:spacing w:line="360" w:lineRule="auto"/>
      <w:ind w:left="170" w:hanging="170"/>
    </w:pPr>
    <w:rPr>
      <w:rFonts w:ascii="Times New Roman" w:hAnsi="Times New Roman" w:eastAsia="仿宋_GB2312" w:cs="宋体"/>
      <w:sz w:val="28"/>
      <w:szCs w:val="20"/>
    </w:rPr>
  </w:style>
  <w:style w:type="paragraph" w:customStyle="1" w:styleId="136">
    <w:name w:val="列出段落2"/>
    <w:basedOn w:val="1"/>
    <w:unhideWhenUsed/>
    <w:qFormat/>
    <w:uiPriority w:val="34"/>
    <w:pPr>
      <w:ind w:firstLine="420" w:firstLineChars="200"/>
    </w:pPr>
    <w:rPr>
      <w:rFonts w:ascii="Times New Roman" w:hAnsi="Times New Roman" w:eastAsia="宋体" w:cs="Times New Roman"/>
      <w:szCs w:val="20"/>
    </w:rPr>
  </w:style>
  <w:style w:type="table" w:customStyle="1" w:styleId="137">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38">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3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65A8-2128-42DA-A123-014E13B84E2A}">
  <ds:schemaRefs/>
</ds:datastoreItem>
</file>

<file path=docProps/app.xml><?xml version="1.0" encoding="utf-8"?>
<Properties xmlns="http://schemas.openxmlformats.org/officeDocument/2006/extended-properties" xmlns:vt="http://schemas.openxmlformats.org/officeDocument/2006/docPropsVTypes">
  <Template>Normal</Template>
  <Company>LenovoCop</Company>
  <Pages>73</Pages>
  <Words>31370</Words>
  <Characters>32431</Characters>
  <Lines>272</Lines>
  <Paragraphs>76</Paragraphs>
  <TotalTime>2</TotalTime>
  <ScaleCrop>false</ScaleCrop>
  <LinksUpToDate>false</LinksUpToDate>
  <CharactersWithSpaces>35068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2022-08-25T02:31:00Z</dcterms:created>
  <dc:creator>黄炜</dc:creator>
  <cp:lastModifiedBy>WPS_1668409306</cp:lastModifiedBy>
  <cp:lastPrinted>2021-11-26T03:08:00Z</cp:lastPrinted>
  <dcterms:modified xsi:type="dcterms:W3CDTF">2022-11-14T09:01:16Z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8D9907E1BD0A4109AC911A0A072CD1EC</vt:lpwstr>
  </property>
</Properties>
</file>