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ind w:left="660"/>
        <w:rPr>
          <w:rFonts w:ascii="楷体_GB2312" w:eastAsia="楷体_GB2312"/>
          <w:bCs/>
          <w:color w:val="000000" w:themeColor="text1"/>
          <w:sz w:val="30"/>
          <w14:textFill>
            <w14:solidFill>
              <w14:schemeClr w14:val="tx1"/>
            </w14:solidFill>
          </w14:textFill>
        </w:rPr>
      </w:pPr>
    </w:p>
    <w:p>
      <w:pPr>
        <w:snapToGrid w:val="0"/>
        <w:spacing w:line="360" w:lineRule="auto"/>
        <w:jc w:val="center"/>
        <w:rPr>
          <w:rFonts w:ascii="华文中宋" w:hAnsi="华文中宋" w:eastAsia="华文中宋"/>
          <w:bCs/>
          <w:color w:val="000000" w:themeColor="text1"/>
          <w:sz w:val="30"/>
          <w14:textFill>
            <w14:solidFill>
              <w14:schemeClr w14:val="tx1"/>
            </w14:solidFill>
          </w14:textFill>
        </w:rPr>
      </w:pPr>
      <w:r>
        <w:rPr>
          <w:rFonts w:hint="eastAsia" w:ascii="黑体" w:hAnsi="黑体" w:eastAsia="黑体" w:cs="黑体"/>
          <w:b/>
          <w:spacing w:val="170"/>
          <w:kern w:val="0"/>
          <w:sz w:val="84"/>
          <w:szCs w:val="84"/>
        </w:rPr>
        <w:t>采购</w:t>
      </w:r>
      <w:r>
        <w:rPr>
          <w:rFonts w:hint="eastAsia" w:ascii="黑体" w:hAnsi="黑体" w:eastAsia="黑体"/>
          <w:b/>
          <w:spacing w:val="170"/>
          <w:sz w:val="84"/>
          <w:szCs w:val="84"/>
        </w:rPr>
        <w:t>文件</w:t>
      </w:r>
    </w:p>
    <w:p>
      <w:pPr>
        <w:jc w:val="center"/>
        <w:rPr>
          <w:rFonts w:ascii="华文中宋" w:hAnsi="华文中宋" w:eastAsia="华文中宋"/>
          <w:bCs/>
          <w:color w:val="000000" w:themeColor="text1"/>
          <w:sz w:val="30"/>
          <w14:textFill>
            <w14:solidFill>
              <w14:schemeClr w14:val="tx1"/>
            </w14:solidFill>
          </w14:textFill>
        </w:rPr>
      </w:pPr>
      <w:r>
        <w:rPr>
          <w:rFonts w:hint="eastAsia" w:ascii="华文中宋" w:hAnsi="华文中宋" w:eastAsia="华文中宋"/>
          <w:bCs/>
          <w:color w:val="000000" w:themeColor="text1"/>
          <w:sz w:val="30"/>
          <w14:textFill>
            <w14:solidFill>
              <w14:schemeClr w14:val="tx1"/>
            </w14:solidFill>
          </w14:textFill>
        </w:rPr>
        <w:t>（</w:t>
      </w:r>
      <w:r>
        <w:rPr>
          <w:rFonts w:hint="eastAsia" w:ascii="华文中宋" w:hAnsi="华文中宋" w:eastAsia="华文中宋"/>
          <w:bCs/>
          <w:color w:val="000000" w:themeColor="text1"/>
          <w:sz w:val="30"/>
          <w:lang w:val="en-US" w:eastAsia="zh-CN"/>
          <w14:textFill>
            <w14:solidFill>
              <w14:schemeClr w14:val="tx1"/>
            </w14:solidFill>
          </w14:textFill>
        </w:rPr>
        <w:t>服务</w:t>
      </w:r>
      <w:r>
        <w:rPr>
          <w:rFonts w:hint="eastAsia" w:ascii="华文中宋" w:hAnsi="华文中宋" w:eastAsia="华文中宋"/>
          <w:bCs/>
          <w:color w:val="000000" w:themeColor="text1"/>
          <w:sz w:val="30"/>
          <w14:textFill>
            <w14:solidFill>
              <w14:schemeClr w14:val="tx1"/>
            </w14:solidFill>
          </w14:textFill>
        </w:rPr>
        <w:t>类）</w:t>
      </w: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黑体" w:hAnsi="华文中宋" w:eastAsia="黑体"/>
          <w:bCs/>
          <w:color w:val="000000" w:themeColor="text1"/>
          <w:spacing w:val="20"/>
          <w:w w:val="90"/>
          <w:sz w:val="48"/>
          <w:szCs w:val="48"/>
          <w14:textFill>
            <w14:solidFill>
              <w14:schemeClr w14:val="tx1"/>
            </w14:solidFill>
          </w14:textFill>
        </w:rPr>
      </w:pPr>
    </w:p>
    <w:p>
      <w:pPr>
        <w:jc w:val="left"/>
        <w:rPr>
          <w:rFonts w:ascii="华文中宋" w:hAnsi="华文中宋" w:eastAsia="华文中宋"/>
          <w:bCs/>
          <w:color w:val="000000" w:themeColor="text1"/>
          <w:sz w:val="30"/>
          <w14:textFill>
            <w14:solidFill>
              <w14:schemeClr w14:val="tx1"/>
            </w14:solidFill>
          </w14:textFill>
        </w:rPr>
      </w:pPr>
    </w:p>
    <w:p>
      <w:pPr>
        <w:spacing w:line="360" w:lineRule="auto"/>
        <w:ind w:firstLine="2100" w:firstLineChars="700"/>
        <w:rPr>
          <w:rFonts w:hint="default" w:ascii="黑体" w:hAnsi="华文中宋" w:eastAsia="黑体"/>
          <w:bCs/>
          <w:color w:val="000000" w:themeColor="text1"/>
          <w:sz w:val="30"/>
          <w:szCs w:val="30"/>
          <w:lang w:val="en-US" w:eastAsia="zh-CN"/>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采购项目编号：</w:t>
      </w:r>
      <w:r>
        <w:rPr>
          <w:rFonts w:hint="eastAsia" w:ascii="黑体" w:hAnsi="华文中宋" w:eastAsia="黑体"/>
          <w:bCs/>
          <w:color w:val="000000" w:themeColor="text1"/>
          <w:sz w:val="30"/>
          <w:szCs w:val="30"/>
          <w:lang w:val="en-US" w:eastAsia="zh-CN"/>
          <w14:textFill>
            <w14:solidFill>
              <w14:schemeClr w14:val="tx1"/>
            </w14:solidFill>
          </w14:textFill>
        </w:rPr>
        <w:t xml:space="preserve">CZZCJT2022047        </w:t>
      </w:r>
    </w:p>
    <w:p>
      <w:pPr>
        <w:spacing w:line="360" w:lineRule="auto"/>
        <w:ind w:firstLine="2100" w:firstLineChars="700"/>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采购项目名称：常州市勤业中学文印服务外包项目</w:t>
      </w:r>
    </w:p>
    <w:p>
      <w:pPr>
        <w:spacing w:line="360" w:lineRule="auto"/>
        <w:ind w:firstLine="2100" w:firstLineChars="700"/>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   购   人：常州市勤业中学</w:t>
      </w:r>
    </w:p>
    <w:p>
      <w:pPr>
        <w:spacing w:line="360" w:lineRule="auto"/>
        <w:ind w:firstLine="2100" w:firstLineChars="700"/>
        <w:rPr>
          <w:rFonts w:hint="eastAsia"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采购代理机构：常州中采招投标有限公司</w:t>
      </w:r>
    </w:p>
    <w:p>
      <w:pPr>
        <w:rPr>
          <w:rFonts w:ascii="华文中宋" w:hAnsi="华文中宋" w:eastAsia="华文中宋"/>
          <w:bCs/>
          <w:color w:val="000000" w:themeColor="text1"/>
          <w:sz w:val="32"/>
          <w14:textFill>
            <w14:solidFill>
              <w14:schemeClr w14:val="tx1"/>
            </w14:solidFill>
          </w14:textFill>
        </w:rPr>
      </w:pPr>
    </w:p>
    <w:p>
      <w:pPr>
        <w:rPr>
          <w:rFonts w:ascii="华文中宋" w:hAnsi="华文中宋" w:eastAsia="华文中宋"/>
          <w:bCs/>
          <w:color w:val="000000" w:themeColor="text1"/>
          <w:sz w:val="30"/>
          <w14:textFill>
            <w14:solidFill>
              <w14:schemeClr w14:val="tx1"/>
            </w14:solidFill>
          </w14:textFill>
        </w:rPr>
      </w:pPr>
    </w:p>
    <w:p>
      <w:pPr>
        <w:jc w:val="cente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t>二○二二年</w:t>
      </w:r>
      <w:r>
        <w:rPr>
          <w:rFonts w:hint="eastAsia" w:ascii="黑体" w:hAnsi="华文中宋" w:eastAsia="黑体"/>
          <w:bCs/>
          <w:color w:val="000000" w:themeColor="text1"/>
          <w:sz w:val="30"/>
          <w:szCs w:val="30"/>
          <w:lang w:val="en-US" w:eastAsia="zh-CN"/>
          <w14:textFill>
            <w14:solidFill>
              <w14:schemeClr w14:val="tx1"/>
            </w14:solidFill>
          </w14:textFill>
        </w:rPr>
        <w:t>十</w:t>
      </w:r>
      <w:r>
        <w:rPr>
          <w:rFonts w:hint="eastAsia" w:ascii="黑体" w:hAnsi="华文中宋" w:eastAsia="黑体"/>
          <w:bCs/>
          <w:color w:val="000000" w:themeColor="text1"/>
          <w:sz w:val="30"/>
          <w:szCs w:val="30"/>
          <w14:textFill>
            <w14:solidFill>
              <w14:schemeClr w14:val="tx1"/>
            </w14:solidFill>
          </w14:textFill>
        </w:rPr>
        <w:t xml:space="preserve">月 </w:t>
      </w:r>
      <w:bookmarkStart w:id="0" w:name="报价方须知前附表"/>
      <w:bookmarkEnd w:id="0"/>
      <w:bookmarkStart w:id="1" w:name="_Toc55147045"/>
    </w:p>
    <w:p>
      <w:pPr>
        <w:rPr>
          <w:rFonts w:ascii="黑体" w:hAnsi="华文中宋" w:eastAsia="黑体"/>
          <w:bCs/>
          <w:color w:val="000000" w:themeColor="text1"/>
          <w:sz w:val="30"/>
          <w:szCs w:val="30"/>
          <w14:textFill>
            <w14:solidFill>
              <w14:schemeClr w14:val="tx1"/>
            </w14:solidFill>
          </w14:textFill>
        </w:rPr>
      </w:pPr>
      <w:r>
        <w:rPr>
          <w:rFonts w:hint="eastAsia" w:ascii="黑体" w:hAnsi="华文中宋" w:eastAsia="黑体"/>
          <w:bCs/>
          <w:color w:val="000000" w:themeColor="text1"/>
          <w:sz w:val="30"/>
          <w:szCs w:val="30"/>
          <w14:textFill>
            <w14:solidFill>
              <w14:schemeClr w14:val="tx1"/>
            </w14:solidFill>
          </w14:textFill>
        </w:rPr>
        <w:br w:type="page"/>
      </w:r>
    </w:p>
    <w:p>
      <w:pPr>
        <w:jc w:val="center"/>
        <w:rPr>
          <w:rFonts w:ascii="黑体" w:hAnsi="华文中宋" w:eastAsia="黑体"/>
          <w:bCs/>
          <w:color w:val="000000" w:themeColor="text1"/>
          <w:sz w:val="30"/>
          <w:szCs w:val="30"/>
          <w14:textFill>
            <w14:solidFill>
              <w14:schemeClr w14:val="tx1"/>
            </w14:solidFill>
          </w14:textFill>
        </w:rPr>
      </w:pPr>
    </w:p>
    <w:sdt>
      <w:sdtPr>
        <w:rPr>
          <w:rFonts w:asciiTheme="minorHAnsi" w:hAnsiTheme="minorHAnsi" w:eastAsiaTheme="minorEastAsia" w:cstheme="minorBidi"/>
          <w:b w:val="0"/>
          <w:bCs w:val="0"/>
          <w:color w:val="auto"/>
          <w:kern w:val="2"/>
          <w:sz w:val="21"/>
          <w:szCs w:val="22"/>
          <w:lang w:val="zh-CN"/>
        </w:rPr>
        <w:id w:val="-1880626030"/>
        <w:docPartObj>
          <w:docPartGallery w:val="Table of Contents"/>
          <w:docPartUnique/>
        </w:docPartObj>
      </w:sdtPr>
      <w:sdtEndPr>
        <w:rPr>
          <w:rFonts w:ascii="Calibri" w:hAnsi="Calibri" w:eastAsia="黑体" w:cstheme="minorBidi"/>
          <w:b w:val="0"/>
          <w:bCs w:val="0"/>
          <w:color w:val="auto"/>
          <w:kern w:val="2"/>
          <w:sz w:val="30"/>
          <w:szCs w:val="30"/>
          <w:lang w:val="en-US"/>
        </w:rPr>
      </w:sdtEndPr>
      <w:sdtContent>
        <w:p>
          <w:pPr>
            <w:pStyle w:val="116"/>
            <w:jc w:val="center"/>
            <w:rPr>
              <w:rFonts w:ascii="黑体" w:hAnsi="黑体" w:eastAsia="黑体"/>
              <w:color w:val="000000" w:themeColor="text1"/>
              <w:sz w:val="48"/>
              <w:szCs w:val="48"/>
              <w:lang w:val="zh-CN"/>
              <w14:textFill>
                <w14:solidFill>
                  <w14:schemeClr w14:val="tx1"/>
                </w14:solidFill>
              </w14:textFill>
            </w:rPr>
          </w:pPr>
          <w:r>
            <w:rPr>
              <w:rFonts w:ascii="黑体" w:hAnsi="黑体" w:eastAsia="黑体"/>
              <w:color w:val="000000" w:themeColor="text1"/>
              <w:sz w:val="48"/>
              <w:szCs w:val="48"/>
              <w:lang w:val="zh-CN"/>
              <w14:textFill>
                <w14:solidFill>
                  <w14:schemeClr w14:val="tx1"/>
                </w14:solidFill>
              </w14:textFill>
            </w:rPr>
            <w:t>目</w:t>
          </w:r>
          <w:r>
            <w:rPr>
              <w:rFonts w:hint="eastAsia" w:ascii="黑体" w:hAnsi="黑体" w:eastAsia="黑体"/>
              <w:color w:val="000000" w:themeColor="text1"/>
              <w:sz w:val="48"/>
              <w:szCs w:val="48"/>
              <w:lang w:val="zh-CN"/>
              <w14:textFill>
                <w14:solidFill>
                  <w14:schemeClr w14:val="tx1"/>
                </w14:solidFill>
              </w14:textFill>
            </w:rPr>
            <w:t xml:space="preserve"> </w:t>
          </w:r>
          <w:r>
            <w:rPr>
              <w:rFonts w:ascii="黑体" w:hAnsi="黑体" w:eastAsia="黑体"/>
              <w:color w:val="000000" w:themeColor="text1"/>
              <w:sz w:val="48"/>
              <w:szCs w:val="48"/>
              <w:lang w:val="zh-CN"/>
              <w14:textFill>
                <w14:solidFill>
                  <w14:schemeClr w14:val="tx1"/>
                </w14:solidFill>
              </w14:textFill>
            </w:rPr>
            <w:t>录</w:t>
          </w:r>
        </w:p>
        <w:p>
          <w:pPr>
            <w:pStyle w:val="22"/>
            <w:tabs>
              <w:tab w:val="right" w:leader="dot" w:pos="9639"/>
              <w:tab w:val="clear" w:pos="9911"/>
            </w:tabs>
          </w:pPr>
          <w:r>
            <w:rPr>
              <w:rFonts w:cstheme="minorHAnsi"/>
              <w:sz w:val="32"/>
              <w:szCs w:val="32"/>
            </w:rPr>
            <w:fldChar w:fldCharType="begin"/>
          </w:r>
          <w:r>
            <w:rPr>
              <w:rFonts w:cstheme="minorHAnsi"/>
              <w:sz w:val="32"/>
              <w:szCs w:val="32"/>
            </w:rPr>
            <w:instrText xml:space="preserve">TOC \o "1-3" \h \z \u</w:instrText>
          </w:r>
          <w:r>
            <w:rPr>
              <w:rFonts w:cstheme="minorHAnsi"/>
              <w:sz w:val="32"/>
              <w:szCs w:val="32"/>
            </w:rPr>
            <w:fldChar w:fldCharType="separate"/>
          </w:r>
          <w:r>
            <w:fldChar w:fldCharType="begin"/>
          </w:r>
          <w:r>
            <w:instrText xml:space="preserve"> HYPERLINK \l "_Toc5409" </w:instrText>
          </w:r>
          <w:r>
            <w:fldChar w:fldCharType="separate"/>
          </w:r>
          <w:r>
            <w:rPr>
              <w:rFonts w:hint="eastAsia"/>
            </w:rPr>
            <w:t>一．谈判邀请函</w:t>
          </w:r>
          <w:r>
            <w:tab/>
          </w:r>
          <w:r>
            <w:fldChar w:fldCharType="begin"/>
          </w:r>
          <w:r>
            <w:instrText xml:space="preserve"> PAGEREF _Toc5409 \h </w:instrText>
          </w:r>
          <w:r>
            <w:fldChar w:fldCharType="separate"/>
          </w:r>
          <w:r>
            <w:t>1</w:t>
          </w:r>
          <w:r>
            <w:fldChar w:fldCharType="end"/>
          </w:r>
          <w:r>
            <w:fldChar w:fldCharType="end"/>
          </w:r>
        </w:p>
        <w:p>
          <w:pPr>
            <w:pStyle w:val="22"/>
            <w:tabs>
              <w:tab w:val="right" w:leader="dot" w:pos="9639"/>
              <w:tab w:val="clear" w:pos="9911"/>
            </w:tabs>
          </w:pPr>
          <w:r>
            <w:fldChar w:fldCharType="begin"/>
          </w:r>
          <w:r>
            <w:instrText xml:space="preserve"> HYPERLINK \l "_Toc29163" </w:instrText>
          </w:r>
          <w:r>
            <w:fldChar w:fldCharType="separate"/>
          </w:r>
          <w:r>
            <w:rPr>
              <w:rFonts w:hint="eastAsia"/>
            </w:rPr>
            <w:t>二．供应商须知</w:t>
          </w:r>
          <w:r>
            <w:tab/>
          </w:r>
          <w:r>
            <w:fldChar w:fldCharType="begin"/>
          </w:r>
          <w:r>
            <w:instrText xml:space="preserve"> PAGEREF _Toc29163 \h </w:instrText>
          </w:r>
          <w:r>
            <w:fldChar w:fldCharType="separate"/>
          </w:r>
          <w:r>
            <w:t>4</w:t>
          </w:r>
          <w:r>
            <w:fldChar w:fldCharType="end"/>
          </w:r>
          <w:r>
            <w:fldChar w:fldCharType="end"/>
          </w:r>
        </w:p>
        <w:p>
          <w:pPr>
            <w:pStyle w:val="22"/>
            <w:tabs>
              <w:tab w:val="right" w:leader="dot" w:pos="9639"/>
              <w:tab w:val="clear" w:pos="9911"/>
            </w:tabs>
          </w:pPr>
          <w:r>
            <w:fldChar w:fldCharType="begin"/>
          </w:r>
          <w:r>
            <w:instrText xml:space="preserve"> HYPERLINK \l "_Toc17895" </w:instrText>
          </w:r>
          <w:r>
            <w:fldChar w:fldCharType="separate"/>
          </w:r>
          <w:r>
            <w:rPr>
              <w:rFonts w:hint="eastAsia"/>
            </w:rPr>
            <w:t>三．项目技术要求和有关说明</w:t>
          </w:r>
          <w:r>
            <w:tab/>
          </w:r>
          <w:r>
            <w:fldChar w:fldCharType="begin"/>
          </w:r>
          <w:r>
            <w:instrText xml:space="preserve"> PAGEREF _Toc17895 \h </w:instrText>
          </w:r>
          <w:r>
            <w:fldChar w:fldCharType="separate"/>
          </w:r>
          <w:r>
            <w:t>11</w:t>
          </w:r>
          <w:r>
            <w:fldChar w:fldCharType="end"/>
          </w:r>
          <w:r>
            <w:fldChar w:fldCharType="end"/>
          </w:r>
        </w:p>
        <w:p>
          <w:pPr>
            <w:pStyle w:val="22"/>
            <w:tabs>
              <w:tab w:val="right" w:leader="dot" w:pos="9639"/>
              <w:tab w:val="clear" w:pos="9911"/>
            </w:tabs>
            <w:rPr>
              <w:rFonts w:hint="eastAsia" w:eastAsia="黑体"/>
              <w:lang w:val="en-US" w:eastAsia="zh-CN"/>
            </w:rPr>
          </w:pPr>
          <w:r>
            <w:fldChar w:fldCharType="begin"/>
          </w:r>
          <w:r>
            <w:instrText xml:space="preserve"> HYPERLINK \l "_Toc29401" </w:instrText>
          </w:r>
          <w:r>
            <w:fldChar w:fldCharType="separate"/>
          </w:r>
          <w:r>
            <w:rPr>
              <w:rFonts w:hint="eastAsia" w:ascii="黑体" w:hAnsi="黑体" w:cs="Times New Roman"/>
              <w:bCs/>
              <w:kern w:val="0"/>
            </w:rPr>
            <w:t>四．合同条款及格式</w:t>
          </w:r>
          <w:r>
            <w:tab/>
          </w:r>
          <w:r>
            <w:rPr>
              <w:rFonts w:hint="eastAsia"/>
              <w:lang w:val="en-US" w:eastAsia="zh-CN"/>
            </w:rPr>
            <w:t>1</w:t>
          </w:r>
          <w:r>
            <w:fldChar w:fldCharType="end"/>
          </w:r>
          <w:r>
            <w:rPr>
              <w:rFonts w:hint="eastAsia"/>
              <w:lang w:val="en-US" w:eastAsia="zh-CN"/>
            </w:rPr>
            <w:t>7</w:t>
          </w:r>
        </w:p>
        <w:p>
          <w:pPr>
            <w:pStyle w:val="22"/>
            <w:tabs>
              <w:tab w:val="right" w:leader="dot" w:pos="9639"/>
              <w:tab w:val="clear" w:pos="9911"/>
            </w:tabs>
          </w:pPr>
          <w:r>
            <w:fldChar w:fldCharType="begin"/>
          </w:r>
          <w:r>
            <w:instrText xml:space="preserve"> HYPERLINK \l "_Toc31110" </w:instrText>
          </w:r>
          <w:r>
            <w:fldChar w:fldCharType="separate"/>
          </w:r>
          <w:r>
            <w:rPr>
              <w:rFonts w:hint="eastAsia" w:ascii="黑体" w:hAnsi="黑体" w:cs="Times New Roman"/>
              <w:bCs/>
              <w:kern w:val="0"/>
            </w:rPr>
            <w:t>五．响应文件格式</w:t>
          </w:r>
          <w:r>
            <w:tab/>
          </w:r>
          <w:r>
            <w:fldChar w:fldCharType="begin"/>
          </w:r>
          <w:r>
            <w:instrText xml:space="preserve"> PAGEREF _Toc31110 \h </w:instrText>
          </w:r>
          <w:r>
            <w:fldChar w:fldCharType="separate"/>
          </w:r>
          <w:r>
            <w:t>23</w:t>
          </w:r>
          <w:r>
            <w:fldChar w:fldCharType="end"/>
          </w:r>
          <w:r>
            <w:fldChar w:fldCharType="end"/>
          </w:r>
        </w:p>
        <w:p>
          <w:pPr>
            <w:pStyle w:val="22"/>
            <w:tabs>
              <w:tab w:val="right" w:leader="dot" w:pos="9639"/>
              <w:tab w:val="clear" w:pos="9911"/>
            </w:tabs>
          </w:pPr>
          <w:r>
            <w:fldChar w:fldCharType="begin"/>
          </w:r>
          <w:r>
            <w:instrText xml:space="preserve"> HYPERLINK \l "_Toc25701" </w:instrText>
          </w:r>
          <w:r>
            <w:fldChar w:fldCharType="separate"/>
          </w:r>
          <w:r>
            <w:rPr>
              <w:rFonts w:hint="eastAsia" w:ascii="黑体" w:hAnsi="黑体" w:cs="Times New Roman"/>
              <w:bCs/>
              <w:kern w:val="0"/>
            </w:rPr>
            <w:t>友 情 提 醒</w:t>
          </w:r>
          <w:r>
            <w:tab/>
          </w:r>
          <w:r>
            <w:fldChar w:fldCharType="begin"/>
          </w:r>
          <w:r>
            <w:instrText xml:space="preserve"> PAGEREF _Toc25701 \h </w:instrText>
          </w:r>
          <w:r>
            <w:fldChar w:fldCharType="separate"/>
          </w:r>
          <w:r>
            <w:t>38</w:t>
          </w:r>
          <w:r>
            <w:fldChar w:fldCharType="end"/>
          </w:r>
          <w:r>
            <w:fldChar w:fldCharType="end"/>
          </w:r>
        </w:p>
        <w:p>
          <w:pPr>
            <w:tabs>
              <w:tab w:val="left" w:pos="3012"/>
            </w:tabs>
            <w:spacing w:before="120" w:after="120" w:line="360" w:lineRule="auto"/>
            <w:rPr>
              <w:rFonts w:ascii="Calibri" w:hAnsi="Calibri" w:eastAsia="黑体"/>
              <w:sz w:val="30"/>
              <w:szCs w:val="30"/>
            </w:rPr>
            <w:sectPr>
              <w:headerReference r:id="rId5" w:type="first"/>
              <w:headerReference r:id="rId3" w:type="default"/>
              <w:footerReference r:id="rId6" w:type="default"/>
              <w:headerReference r:id="rId4" w:type="even"/>
              <w:footerReference r:id="rId7" w:type="even"/>
              <w:pgSz w:w="11906" w:h="16838"/>
              <w:pgMar w:top="1276" w:right="1133" w:bottom="1418" w:left="1134" w:header="568" w:footer="907" w:gutter="0"/>
              <w:pgNumType w:start="0"/>
              <w:cols w:space="425" w:num="1"/>
              <w:titlePg/>
              <w:docGrid w:type="linesAndChars" w:linePitch="312" w:charSpace="0"/>
            </w:sectPr>
          </w:pPr>
          <w:r>
            <w:rPr>
              <w:rFonts w:eastAsia="黑体" w:cstheme="minorHAnsi"/>
              <w:szCs w:val="32"/>
            </w:rPr>
            <w:fldChar w:fldCharType="end"/>
          </w:r>
          <w:r>
            <w:rPr>
              <w:rFonts w:hint="eastAsia" w:eastAsia="黑体" w:cstheme="minorHAnsi"/>
              <w:szCs w:val="32"/>
            </w:rPr>
            <w:tab/>
          </w:r>
        </w:p>
      </w:sdtContent>
    </w:sdt>
    <w:p>
      <w:pPr>
        <w:pStyle w:val="121"/>
      </w:pPr>
      <w:bookmarkStart w:id="2" w:name="_Toc5409"/>
      <w:r>
        <w:rPr>
          <w:rFonts w:hint="eastAsia"/>
        </w:rPr>
        <w:t>一．谈判邀请函</w:t>
      </w:r>
      <w:bookmarkEnd w:id="1"/>
      <w:bookmarkEnd w:id="2"/>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bookmarkStart w:id="3" w:name="_Toc35393790"/>
      <w:bookmarkStart w:id="4" w:name="_Toc28359079"/>
      <w:bookmarkStart w:id="5" w:name="_Toc28359002"/>
      <w:bookmarkStart w:id="6" w:name="_Toc35393621"/>
      <w:bookmarkStart w:id="7" w:name="_Hlk24379207"/>
      <w:r>
        <w:rPr>
          <w:rFonts w:hint="eastAsia" w:ascii="宋体" w:hAnsi="宋体" w:eastAsia="宋体"/>
          <w:sz w:val="24"/>
          <w:szCs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sz w:val="24"/>
          <w:szCs w:val="24"/>
        </w:rPr>
      </w:pPr>
      <w:r>
        <w:rPr>
          <w:rFonts w:hint="eastAsia" w:ascii="宋体" w:hAnsi="宋体" w:eastAsia="宋体"/>
          <w:sz w:val="24"/>
          <w:szCs w:val="24"/>
          <w:u w:val="single"/>
          <w:lang w:eastAsia="zh-CN"/>
        </w:rPr>
        <w:t>常州市勤业中学文印服务外包</w:t>
      </w:r>
      <w:r>
        <w:rPr>
          <w:rFonts w:hint="eastAsia" w:ascii="宋体" w:hAnsi="宋体" w:eastAsia="宋体"/>
          <w:sz w:val="24"/>
          <w:szCs w:val="24"/>
          <w:u w:val="none"/>
          <w:lang w:val="en-US" w:eastAsia="zh-CN"/>
        </w:rPr>
        <w:t>采购项目</w:t>
      </w:r>
      <w:r>
        <w:rPr>
          <w:rFonts w:hint="eastAsia" w:ascii="宋体" w:hAnsi="宋体" w:eastAsia="宋体"/>
          <w:sz w:val="24"/>
          <w:szCs w:val="24"/>
        </w:rPr>
        <w:t>的潜在供应商应在</w:t>
      </w:r>
      <w:r>
        <w:rPr>
          <w:rFonts w:hint="eastAsia" w:ascii="宋体" w:hAnsi="宋体" w:eastAsia="宋体"/>
          <w:sz w:val="24"/>
          <w:szCs w:val="24"/>
          <w:u w:val="single"/>
        </w:rPr>
        <w:t>“政采云”市场资源交易服务中心（平台）（http://www.czzczb.com/）</w:t>
      </w:r>
      <w:r>
        <w:rPr>
          <w:rFonts w:hint="eastAsia" w:ascii="宋体" w:hAnsi="宋体" w:eastAsia="宋体"/>
          <w:sz w:val="24"/>
          <w:szCs w:val="24"/>
        </w:rPr>
        <w:t>获取采购文件，并于</w:t>
      </w:r>
      <w:r>
        <w:rPr>
          <w:rFonts w:hint="eastAsia" w:ascii="宋体" w:hAnsi="宋体" w:eastAsia="宋体"/>
          <w:bCs/>
          <w:sz w:val="24"/>
          <w:szCs w:val="24"/>
          <w:u w:val="single"/>
        </w:rPr>
        <w:t>2022年</w:t>
      </w:r>
      <w:r>
        <w:rPr>
          <w:rFonts w:hint="eastAsia" w:ascii="宋体" w:hAnsi="宋体" w:eastAsia="宋体"/>
          <w:bCs/>
          <w:sz w:val="24"/>
          <w:szCs w:val="24"/>
          <w:u w:val="single"/>
          <w:lang w:val="en-US" w:eastAsia="zh-CN"/>
        </w:rPr>
        <w:t>10</w:t>
      </w:r>
      <w:r>
        <w:rPr>
          <w:rFonts w:hint="eastAsia" w:ascii="宋体" w:hAnsi="宋体" w:eastAsia="宋体"/>
          <w:bCs/>
          <w:sz w:val="24"/>
          <w:szCs w:val="24"/>
          <w:u w:val="single"/>
        </w:rPr>
        <w:t>月</w:t>
      </w:r>
      <w:r>
        <w:rPr>
          <w:rFonts w:hint="eastAsia" w:ascii="宋体" w:hAnsi="宋体" w:eastAsia="宋体"/>
          <w:bCs/>
          <w:sz w:val="24"/>
          <w:szCs w:val="24"/>
          <w:u w:val="single"/>
          <w:lang w:val="en-US" w:eastAsia="zh-CN"/>
        </w:rPr>
        <w:t xml:space="preserve"> 19</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9</w:t>
      </w:r>
      <w:r>
        <w:rPr>
          <w:rFonts w:hint="eastAsia" w:ascii="宋体" w:hAnsi="宋体" w:eastAsia="宋体"/>
          <w:bCs/>
          <w:sz w:val="24"/>
          <w:szCs w:val="24"/>
          <w:u w:val="single"/>
        </w:rPr>
        <w:t>点</w:t>
      </w:r>
      <w:r>
        <w:rPr>
          <w:rFonts w:hint="eastAsia" w:ascii="宋体" w:hAnsi="宋体" w:eastAsia="宋体"/>
          <w:bCs/>
          <w:sz w:val="24"/>
          <w:szCs w:val="24"/>
          <w:u w:val="single"/>
          <w:lang w:val="en-US" w:eastAsia="zh-CN"/>
        </w:rPr>
        <w:t>30</w:t>
      </w:r>
      <w:r>
        <w:rPr>
          <w:rFonts w:hint="eastAsia" w:ascii="宋体" w:hAnsi="宋体" w:eastAsia="宋体"/>
          <w:bCs/>
          <w:sz w:val="24"/>
          <w:szCs w:val="24"/>
          <w:u w:val="single"/>
        </w:rPr>
        <w:t>分（</w:t>
      </w:r>
      <w:r>
        <w:rPr>
          <w:rFonts w:hint="eastAsia" w:ascii="宋体" w:hAnsi="宋体" w:eastAsia="宋体"/>
          <w:bCs/>
          <w:sz w:val="24"/>
          <w:szCs w:val="24"/>
        </w:rPr>
        <w:t>北京时间）前递交响应文件</w:t>
      </w:r>
      <w:r>
        <w:rPr>
          <w:rFonts w:hint="eastAsia" w:ascii="宋体" w:hAnsi="宋体" w:eastAsia="宋体"/>
          <w:sz w:val="24"/>
          <w:szCs w:val="24"/>
        </w:rPr>
        <w:t>。</w:t>
      </w:r>
    </w:p>
    <w:p>
      <w:pPr>
        <w:snapToGrid w:val="0"/>
        <w:spacing w:line="360" w:lineRule="auto"/>
        <w:ind w:firstLine="240" w:firstLineChars="100"/>
        <w:rPr>
          <w:rFonts w:ascii="Times New Roman" w:hAnsi="Times New Roman"/>
          <w:sz w:val="24"/>
          <w:szCs w:val="24"/>
        </w:rPr>
      </w:pPr>
    </w:p>
    <w:p>
      <w:pPr>
        <w:spacing w:line="360" w:lineRule="auto"/>
        <w:ind w:firstLine="482" w:firstLineChars="200"/>
        <w:rPr>
          <w:b/>
          <w:bCs/>
          <w:sz w:val="24"/>
          <w:szCs w:val="24"/>
        </w:rPr>
      </w:pPr>
      <w:r>
        <w:rPr>
          <w:rFonts w:hint="eastAsia"/>
          <w:b/>
          <w:bCs/>
          <w:sz w:val="24"/>
          <w:szCs w:val="24"/>
        </w:rPr>
        <w:t>一、项目基本情况</w:t>
      </w:r>
      <w:bookmarkEnd w:id="3"/>
      <w:bookmarkEnd w:id="4"/>
      <w:bookmarkEnd w:id="5"/>
      <w:bookmarkEnd w:id="6"/>
    </w:p>
    <w:bookmarkEnd w:id="7"/>
    <w:p>
      <w:pPr>
        <w:snapToGrid w:val="0"/>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项目编号：CZZCJT2022047</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常州市勤业中学文印服务外包项目</w:t>
      </w:r>
    </w:p>
    <w:p>
      <w:pPr>
        <w:snapToGrid w:val="0"/>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采购方式：竞争性</w:t>
      </w:r>
      <w:r>
        <w:rPr>
          <w:rFonts w:hint="eastAsia" w:asciiTheme="minorEastAsia" w:hAnsiTheme="minorEastAsia"/>
          <w:sz w:val="24"/>
          <w:szCs w:val="24"/>
          <w:lang w:val="en-US" w:eastAsia="zh-CN"/>
        </w:rPr>
        <w:t>谈判</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预算金额：本项目采用单价限价，不固定总价，最终按实际数量按实结算。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最高限价：本项目采用单价限价，不固定总价，最终按实际数量按实结算</w:t>
      </w:r>
      <w:bookmarkStart w:id="69" w:name="_GoBack"/>
      <w:bookmarkEnd w:id="69"/>
      <w:r>
        <w:rPr>
          <w:rFonts w:hint="eastAsia" w:asciiTheme="minorEastAsia" w:hAnsiTheme="minorEastAsia"/>
          <w:sz w:val="24"/>
          <w:szCs w:val="24"/>
        </w:rPr>
        <w:t xml:space="preserve">。 </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采购需求：</w:t>
      </w:r>
      <w:r>
        <w:rPr>
          <w:rFonts w:hint="eastAsia" w:asciiTheme="minorEastAsia" w:hAnsiTheme="minorEastAsia"/>
          <w:sz w:val="24"/>
          <w:szCs w:val="24"/>
          <w:lang w:val="en-US" w:eastAsia="zh-CN"/>
        </w:rPr>
        <w:t>本项目为</w:t>
      </w:r>
      <w:r>
        <w:rPr>
          <w:rFonts w:hint="eastAsia" w:asciiTheme="minorEastAsia" w:hAnsiTheme="minorEastAsia"/>
          <w:sz w:val="24"/>
          <w:szCs w:val="24"/>
        </w:rPr>
        <w:t>常州市勤业中学文印服务外包项目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详见项目技术要求和有关说明</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合同履行期限：服务期限三年，合同一年一签，服务期满经考核合格可续签下一年合同，最多续签二年。</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u w:val="single"/>
        </w:rPr>
        <w:t>不接受</w:t>
      </w:r>
      <w:r>
        <w:rPr>
          <w:rFonts w:asciiTheme="minorEastAsia" w:hAnsiTheme="minorEastAsia"/>
          <w:sz w:val="24"/>
          <w:szCs w:val="24"/>
          <w:u w:val="single"/>
        </w:rPr>
        <w:t xml:space="preserve">   </w:t>
      </w:r>
      <w:r>
        <w:rPr>
          <w:rFonts w:hint="eastAsia" w:asciiTheme="minorEastAsia" w:hAnsiTheme="minorEastAsia"/>
          <w:sz w:val="24"/>
          <w:szCs w:val="24"/>
        </w:rPr>
        <w:t>联合体报价。</w:t>
      </w:r>
    </w:p>
    <w:p>
      <w:pPr>
        <w:spacing w:line="360" w:lineRule="auto"/>
        <w:ind w:firstLine="482" w:firstLineChars="200"/>
        <w:rPr>
          <w:b/>
          <w:bCs/>
          <w:sz w:val="24"/>
          <w:szCs w:val="24"/>
        </w:rPr>
      </w:pPr>
      <w:bookmarkStart w:id="8" w:name="_Toc35393791"/>
      <w:bookmarkStart w:id="9" w:name="_Toc28359080"/>
      <w:bookmarkStart w:id="10" w:name="_Toc35393622"/>
      <w:bookmarkStart w:id="11" w:name="_Toc28359003"/>
      <w:r>
        <w:rPr>
          <w:rFonts w:hint="eastAsia"/>
          <w:b/>
          <w:bCs/>
          <w:sz w:val="24"/>
          <w:szCs w:val="24"/>
        </w:rPr>
        <w:t>二、申请人的资格要求</w:t>
      </w:r>
      <w:bookmarkEnd w:id="8"/>
      <w:bookmarkEnd w:id="9"/>
      <w:bookmarkEnd w:id="10"/>
      <w:bookmarkEnd w:id="11"/>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1.满足《中华人民共和国政府采购法》第二十二条规定；</w:t>
      </w:r>
    </w:p>
    <w:p>
      <w:pPr>
        <w:snapToGrid w:val="0"/>
        <w:spacing w:line="360" w:lineRule="auto"/>
        <w:ind w:firstLine="480" w:firstLineChars="200"/>
        <w:rPr>
          <w:rFonts w:asciiTheme="minorEastAsia" w:hAnsiTheme="minorEastAsia"/>
          <w:sz w:val="24"/>
          <w:szCs w:val="24"/>
        </w:rPr>
      </w:pPr>
      <w:bookmarkStart w:id="12" w:name="_Toc28359004"/>
      <w:bookmarkStart w:id="13" w:name="_Toc28359081"/>
      <w:r>
        <w:rPr>
          <w:rFonts w:hint="eastAsia" w:asciiTheme="minorEastAsia" w:hAnsiTheme="minorEastAsia"/>
          <w:sz w:val="24"/>
          <w:szCs w:val="24"/>
        </w:rPr>
        <w:t>2.落实采购政策需满足的资格要求：无</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3.本项目的特定资格要求：</w:t>
      </w:r>
      <w:bookmarkStart w:id="14" w:name="_Toc35393623"/>
      <w:bookmarkStart w:id="15" w:name="_Toc35393792"/>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（1）未被“信用中国”网站（www.creditchina.gov.cn）或“中国政府采购网”网站（www.ccgp.gov.cn）列入失信被执行人、重大税收违法案件当事人名单、采购严重失信行为记录名单；</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（2）单位负责人为同一人或者存在直接控股、管理关系的不同供应商（包含法定代表人为同一个人的两个及两个以上法人，母公司、全资子公司及其控股公司），不得参加同一合同项下的采购活动。</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（3）采购人的其他特定资格要求：/</w:t>
      </w:r>
      <w:r>
        <w:rPr>
          <w:rFonts w:hint="eastAsia" w:asciiTheme="minorEastAsia" w:hAnsiTheme="minorEastAsia"/>
          <w:iCs/>
          <w:sz w:val="24"/>
          <w:szCs w:val="24"/>
        </w:rPr>
        <w:t>。</w:t>
      </w:r>
    </w:p>
    <w:p>
      <w:pPr>
        <w:spacing w:line="360" w:lineRule="auto"/>
        <w:ind w:firstLine="482" w:firstLineChars="200"/>
        <w:rPr>
          <w:b/>
          <w:bCs/>
          <w:sz w:val="24"/>
          <w:szCs w:val="24"/>
        </w:rPr>
      </w:pPr>
      <w:r>
        <w:rPr>
          <w:rFonts w:hint="eastAsia"/>
          <w:b/>
          <w:bCs/>
          <w:sz w:val="24"/>
          <w:szCs w:val="24"/>
        </w:rPr>
        <w:t>三、获取采购文件</w:t>
      </w:r>
      <w:bookmarkEnd w:id="12"/>
      <w:bookmarkEnd w:id="13"/>
      <w:bookmarkEnd w:id="14"/>
      <w:bookmarkEnd w:id="15"/>
    </w:p>
    <w:p>
      <w:pPr>
        <w:spacing w:line="360" w:lineRule="auto"/>
        <w:ind w:firstLine="480" w:firstLineChars="200"/>
        <w:rPr>
          <w:rFonts w:ascii="宋体" w:hAnsi="宋体" w:eastAsia="宋体"/>
          <w:bCs/>
          <w:sz w:val="24"/>
          <w:szCs w:val="24"/>
        </w:rPr>
      </w:pPr>
      <w:bookmarkStart w:id="16" w:name="_Toc28359005"/>
      <w:bookmarkStart w:id="17" w:name="_Toc28359082"/>
      <w:bookmarkStart w:id="18" w:name="_Toc35393624"/>
      <w:bookmarkStart w:id="19" w:name="_Toc35393793"/>
      <w:r>
        <w:rPr>
          <w:rFonts w:hint="eastAsia" w:ascii="宋体" w:hAnsi="宋体" w:eastAsia="宋体"/>
          <w:bCs/>
          <w:sz w:val="24"/>
          <w:szCs w:val="24"/>
        </w:rPr>
        <w:t>1．时间：2022年</w:t>
      </w:r>
      <w:r>
        <w:rPr>
          <w:rFonts w:hint="eastAsia" w:ascii="宋体" w:hAnsi="宋体" w:eastAsia="宋体"/>
          <w:bCs/>
          <w:sz w:val="24"/>
          <w:szCs w:val="24"/>
          <w:lang w:val="en-US" w:eastAsia="zh-CN"/>
        </w:rPr>
        <w:t>10</w:t>
      </w:r>
      <w:r>
        <w:rPr>
          <w:rFonts w:hint="eastAsia" w:ascii="宋体" w:hAnsi="宋体" w:eastAsia="宋体"/>
          <w:bCs/>
          <w:sz w:val="24"/>
          <w:szCs w:val="24"/>
        </w:rPr>
        <w:t>月</w:t>
      </w:r>
      <w:r>
        <w:rPr>
          <w:rFonts w:hint="eastAsia" w:ascii="宋体" w:hAnsi="宋体" w:eastAsia="宋体"/>
          <w:bCs/>
          <w:sz w:val="24"/>
          <w:szCs w:val="24"/>
          <w:lang w:val="en-US" w:eastAsia="zh-CN"/>
        </w:rPr>
        <w:t>14</w:t>
      </w:r>
      <w:r>
        <w:rPr>
          <w:rFonts w:hint="eastAsia" w:ascii="宋体" w:hAnsi="宋体" w:eastAsia="宋体"/>
          <w:bCs/>
          <w:sz w:val="24"/>
          <w:szCs w:val="24"/>
        </w:rPr>
        <w:t>日至2022年</w:t>
      </w:r>
      <w:r>
        <w:rPr>
          <w:rFonts w:hint="eastAsia" w:ascii="宋体" w:hAnsi="宋体" w:eastAsia="宋体"/>
          <w:bCs/>
          <w:sz w:val="24"/>
          <w:szCs w:val="24"/>
          <w:lang w:val="en-US" w:eastAsia="zh-CN"/>
        </w:rPr>
        <w:t>10</w:t>
      </w:r>
      <w:r>
        <w:rPr>
          <w:rFonts w:hint="eastAsia" w:ascii="宋体" w:hAnsi="宋体" w:eastAsia="宋体"/>
          <w:bCs/>
          <w:sz w:val="24"/>
          <w:szCs w:val="24"/>
        </w:rPr>
        <w:t>月</w:t>
      </w:r>
      <w:r>
        <w:rPr>
          <w:rFonts w:hint="eastAsia" w:ascii="宋体" w:hAnsi="宋体" w:eastAsia="宋体"/>
          <w:bCs/>
          <w:sz w:val="24"/>
          <w:szCs w:val="24"/>
          <w:lang w:val="en-US" w:eastAsia="zh-CN"/>
        </w:rPr>
        <w:t>18</w:t>
      </w:r>
      <w:r>
        <w:rPr>
          <w:rFonts w:hint="eastAsia" w:ascii="宋体" w:hAnsi="宋体" w:eastAsia="宋体"/>
          <w:bCs/>
          <w:sz w:val="24"/>
          <w:szCs w:val="24"/>
        </w:rPr>
        <w:t>日，正常工作日上午8:30至11:30，下午13:00至17:00（北京时间，周末、法定节假日除外）。</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2．地点：常州市钟楼区玉龙南路280号常州大数据产业园2号楼19楼1903室常州中采招投标有限公司。</w:t>
      </w:r>
    </w:p>
    <w:p>
      <w:pPr>
        <w:spacing w:line="360" w:lineRule="auto"/>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．领购时须提供以下材料：</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（1）《投标报名申请表》原件一份（</w:t>
      </w:r>
      <w:r>
        <w:rPr>
          <w:rFonts w:hint="eastAsia" w:ascii="宋体" w:hAnsi="宋体" w:eastAsia="宋体"/>
          <w:b/>
          <w:bCs/>
          <w:sz w:val="24"/>
          <w:szCs w:val="24"/>
        </w:rPr>
        <w:t>格式见附件</w:t>
      </w:r>
      <w:r>
        <w:rPr>
          <w:rFonts w:hint="eastAsia" w:ascii="宋体" w:hAnsi="宋体" w:eastAsia="宋体"/>
          <w:bCs/>
          <w:sz w:val="24"/>
          <w:szCs w:val="24"/>
        </w:rPr>
        <w:t>）；</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（2）提供有效企业法人营业执照复印件加盖公章；</w:t>
      </w:r>
    </w:p>
    <w:p>
      <w:pPr>
        <w:spacing w:line="360" w:lineRule="auto"/>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．方式：（供应商可采取以下任一种方式获取采购文件）。</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（1）现场领购：提供领购资料至常州大数据产业园2号楼19楼1903室常州中采招投标有限公司办理。</w:t>
      </w:r>
    </w:p>
    <w:p>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（2）网络领购：若无法现金交纳，请联系熊女士，电话：0519-86661066。交纳成功后，将符合要求的领购资料扫描件和报名费交纳凭证一并发送至邮箱：</w:t>
      </w:r>
      <w:r>
        <w:rPr>
          <w:rFonts w:ascii="宋体" w:hAnsi="宋体" w:eastAsia="宋体"/>
          <w:bCs/>
          <w:sz w:val="24"/>
          <w:szCs w:val="24"/>
        </w:rPr>
        <w:t>czzczb@126.com</w:t>
      </w:r>
      <w:r>
        <w:rPr>
          <w:rFonts w:hint="eastAsia" w:ascii="宋体" w:hAnsi="宋体" w:eastAsia="宋体"/>
          <w:bCs/>
          <w:sz w:val="24"/>
          <w:szCs w:val="24"/>
        </w:rPr>
        <w:t>。</w:t>
      </w:r>
    </w:p>
    <w:p>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 xml:space="preserve"> 售价：人民币</w:t>
      </w:r>
      <w:r>
        <w:rPr>
          <w:rFonts w:hint="eastAsia" w:ascii="宋体" w:hAnsi="宋体" w:eastAsia="宋体"/>
          <w:bCs/>
          <w:sz w:val="24"/>
          <w:szCs w:val="24"/>
          <w:lang w:val="en-US" w:eastAsia="zh-CN"/>
        </w:rPr>
        <w:t>伍</w:t>
      </w:r>
      <w:r>
        <w:rPr>
          <w:rFonts w:hint="eastAsia" w:ascii="宋体" w:hAnsi="宋体" w:eastAsia="宋体"/>
          <w:bCs/>
          <w:sz w:val="24"/>
          <w:szCs w:val="24"/>
        </w:rPr>
        <w:t>佰元整(现金交纳或以公司指定方式支付)，采购文件售后一概不退。</w:t>
      </w:r>
    </w:p>
    <w:p>
      <w:pPr>
        <w:spacing w:line="360" w:lineRule="auto"/>
        <w:ind w:firstLine="482" w:firstLineChars="200"/>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pPr>
        <w:snapToGrid w:val="0"/>
        <w:spacing w:line="360" w:lineRule="auto"/>
        <w:ind w:firstLine="480" w:firstLineChars="200"/>
        <w:rPr>
          <w:rFonts w:ascii="黑体" w:hAnsi="黑体" w:eastAsia="黑体"/>
          <w:sz w:val="24"/>
          <w:szCs w:val="24"/>
        </w:rPr>
      </w:pPr>
      <w:r>
        <w:rPr>
          <w:rFonts w:hint="eastAsia" w:ascii="宋体" w:hAnsi="宋体" w:eastAsia="宋体"/>
          <w:sz w:val="24"/>
          <w:szCs w:val="24"/>
        </w:rPr>
        <w:t>截止时间：</w:t>
      </w:r>
      <w:r>
        <w:rPr>
          <w:rFonts w:hint="eastAsia" w:ascii="宋体" w:hAnsi="宋体" w:eastAsia="宋体"/>
          <w:bCs/>
          <w:color w:val="auto"/>
          <w:sz w:val="24"/>
          <w:szCs w:val="24"/>
          <w:u w:val="single"/>
        </w:rPr>
        <w:t>2022年10月 19日9点30分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p>
    <w:p>
      <w:pPr>
        <w:spacing w:line="360" w:lineRule="auto"/>
        <w:ind w:firstLine="482" w:firstLineChars="200"/>
        <w:rPr>
          <w:b/>
          <w:bCs/>
          <w:sz w:val="24"/>
          <w:szCs w:val="24"/>
        </w:rPr>
      </w:pPr>
      <w:bookmarkStart w:id="20" w:name="_Toc28358998"/>
      <w:bookmarkStart w:id="21" w:name="_Toc35393617"/>
      <w:bookmarkStart w:id="22" w:name="_Toc28359075"/>
      <w:bookmarkStart w:id="23" w:name="_Toc35393786"/>
      <w:r>
        <w:rPr>
          <w:rFonts w:hint="eastAsia"/>
          <w:b/>
          <w:bCs/>
          <w:sz w:val="24"/>
          <w:szCs w:val="24"/>
        </w:rPr>
        <w:t>五、开启</w:t>
      </w:r>
    </w:p>
    <w:p>
      <w:pPr>
        <w:snapToGrid w:val="0"/>
        <w:spacing w:line="360" w:lineRule="auto"/>
        <w:ind w:firstLine="480" w:firstLineChars="200"/>
        <w:rPr>
          <w:rFonts w:ascii="宋体" w:hAnsi="宋体" w:eastAsia="宋体"/>
          <w:bCs/>
          <w:sz w:val="24"/>
          <w:szCs w:val="24"/>
        </w:rPr>
      </w:pPr>
      <w:r>
        <w:rPr>
          <w:rFonts w:hint="eastAsia" w:ascii="宋体" w:hAnsi="宋体" w:eastAsia="宋体"/>
          <w:sz w:val="24"/>
          <w:szCs w:val="24"/>
        </w:rPr>
        <w:t>截止时间：</w:t>
      </w:r>
      <w:r>
        <w:rPr>
          <w:rFonts w:hint="eastAsia" w:ascii="宋体" w:hAnsi="宋体" w:eastAsia="宋体"/>
          <w:bCs/>
          <w:color w:val="auto"/>
          <w:sz w:val="24"/>
          <w:szCs w:val="24"/>
          <w:u w:val="single"/>
        </w:rPr>
        <w:t>2022年10月 19日9点30分</w:t>
      </w:r>
      <w:r>
        <w:rPr>
          <w:rFonts w:hint="eastAsia" w:ascii="宋体" w:hAnsi="宋体" w:eastAsia="宋体"/>
          <w:bCs/>
          <w:sz w:val="24"/>
          <w:szCs w:val="24"/>
        </w:rPr>
        <w:t>（北京时间）</w:t>
      </w:r>
    </w:p>
    <w:p>
      <w:pPr>
        <w:snapToGrid w:val="0"/>
        <w:spacing w:line="360" w:lineRule="auto"/>
        <w:ind w:firstLine="480" w:firstLineChars="200"/>
        <w:rPr>
          <w:rFonts w:ascii="宋体" w:hAnsi="宋体" w:eastAsia="宋体"/>
          <w:bCs/>
          <w:color w:val="FF0000"/>
          <w:sz w:val="24"/>
          <w:szCs w:val="24"/>
        </w:rPr>
      </w:pPr>
      <w:r>
        <w:rPr>
          <w:rFonts w:hint="eastAsia" w:ascii="宋体" w:hAnsi="宋体" w:eastAsia="宋体"/>
          <w:sz w:val="24"/>
          <w:szCs w:val="24"/>
        </w:rPr>
        <w:t>地点：</w:t>
      </w:r>
      <w:r>
        <w:rPr>
          <w:rFonts w:hint="eastAsia" w:ascii="宋体" w:hAnsi="宋体" w:eastAsia="宋体"/>
          <w:bCs/>
          <w:sz w:val="24"/>
          <w:szCs w:val="24"/>
        </w:rPr>
        <w:t xml:space="preserve">钟楼区玉龙南路280号常州大数据产业园2号楼19楼常州市市场资源交易服务中心（平台）1905 开标室。   </w:t>
      </w:r>
    </w:p>
    <w:p>
      <w:pPr>
        <w:spacing w:line="360" w:lineRule="auto"/>
        <w:ind w:firstLine="482" w:firstLineChars="200"/>
        <w:rPr>
          <w:b/>
          <w:bCs/>
          <w:sz w:val="24"/>
          <w:szCs w:val="24"/>
        </w:rPr>
      </w:pPr>
      <w:bookmarkStart w:id="24" w:name="_Toc35393625"/>
      <w:bookmarkStart w:id="25" w:name="_Toc28359007"/>
      <w:bookmarkStart w:id="26" w:name="_Toc35393794"/>
      <w:bookmarkStart w:id="27" w:name="_Toc28359084"/>
      <w:r>
        <w:rPr>
          <w:rFonts w:hint="eastAsia"/>
          <w:b/>
          <w:bCs/>
          <w:sz w:val="24"/>
          <w:szCs w:val="24"/>
        </w:rPr>
        <w:t>六、公告期限</w:t>
      </w:r>
      <w:bookmarkEnd w:id="24"/>
      <w:bookmarkEnd w:id="25"/>
      <w:bookmarkEnd w:id="26"/>
      <w:bookmarkEnd w:id="27"/>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自本公告发布之日起3个工作日。   </w:t>
      </w:r>
    </w:p>
    <w:p>
      <w:pPr>
        <w:spacing w:line="360" w:lineRule="auto"/>
        <w:ind w:firstLine="482" w:firstLineChars="200"/>
        <w:rPr>
          <w:b/>
          <w:bCs/>
          <w:sz w:val="24"/>
          <w:szCs w:val="24"/>
        </w:rPr>
      </w:pPr>
      <w:bookmarkStart w:id="28" w:name="_Toc35393626"/>
      <w:bookmarkStart w:id="29" w:name="_Toc35393795"/>
      <w:r>
        <w:rPr>
          <w:rFonts w:hint="eastAsia"/>
          <w:b/>
          <w:bCs/>
          <w:sz w:val="24"/>
          <w:szCs w:val="24"/>
        </w:rPr>
        <w:t>七、其他补充事宜</w:t>
      </w:r>
      <w:bookmarkEnd w:id="28"/>
      <w:bookmarkEnd w:id="29"/>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 现场踏勘：供应商自行踏勘现场。</w:t>
      </w:r>
    </w:p>
    <w:p>
      <w:pPr>
        <w:snapToGrid w:val="0"/>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2.</w:t>
      </w:r>
      <w:r>
        <w:rPr>
          <w:rFonts w:hint="eastAsia" w:asciiTheme="minorEastAsia" w:hAnsiTheme="minorEastAsia"/>
          <w:sz w:val="24"/>
          <w:szCs w:val="24"/>
        </w:rPr>
        <w:t xml:space="preserve"> 投标保证金：无。</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3．有关本次采购项目的事项若存在变动或修改，采购代理机构将通过补充或更正形式在网站上发布，因未能及时了解相关最新信息所引起的投标失误责任由供应商自负。</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 疫情防控措施</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（1）对于参与开评标活动的投标人、采购人授权代表，应如实填报《疫情期间参与采购活动开评标人员健康信息登记表》</w:t>
      </w:r>
      <w:r>
        <w:rPr>
          <w:rFonts w:hint="eastAsia" w:cs="宋体" w:asciiTheme="minorEastAsia" w:hAnsiTheme="minorEastAsia"/>
          <w:b/>
          <w:sz w:val="24"/>
          <w:szCs w:val="24"/>
        </w:rPr>
        <w:t>（格式见附件）</w:t>
      </w:r>
      <w:r>
        <w:rPr>
          <w:rFonts w:hint="eastAsia" w:cs="宋体" w:asciiTheme="minorEastAsia" w:hAnsiTheme="minorEastAsia"/>
          <w:sz w:val="24"/>
          <w:szCs w:val="24"/>
        </w:rPr>
        <w:t>并加盖单位公章。请凭《疫情期间参与采购活动开评标人员健康信息登记表》和本人身份证原件方能到指定开评标场所。各投标人委派人数不得超过2人，除投标人授权代表外，其他人员原则上不得进入开评标场所。</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2）对于参与评标活动的评审专家，在进入公司时，请主动出示当日参与项目评审项目手机短信进入指定场所。进入评标场所前，须如实填写《疫情期间参与采购活动开评标人员健康信息登记表》。对有疫情接触史及身体发烧等症状的评标专家不得应答专家随机抽取短信而参加评标活动。</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3）进入采购代理机构办公场所前，凡是参与采购活动的相关人员必须戴口罩并出示“苏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苏财购〔2020〕13号）执行。</w:t>
      </w:r>
    </w:p>
    <w:p>
      <w:pPr>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（4）因防控工作需要，给采购当事人带来诸多不便，还望多多理解和予以配合。</w:t>
      </w:r>
    </w:p>
    <w:p>
      <w:pPr>
        <w:spacing w:line="360" w:lineRule="auto"/>
        <w:ind w:firstLine="482" w:firstLineChars="200"/>
        <w:rPr>
          <w:b/>
          <w:bCs/>
          <w:sz w:val="24"/>
          <w:szCs w:val="24"/>
        </w:rPr>
      </w:pPr>
      <w:bookmarkStart w:id="30" w:name="_Toc28359085"/>
      <w:bookmarkStart w:id="31" w:name="_Toc35393627"/>
      <w:bookmarkStart w:id="32" w:name="_Toc35393796"/>
      <w:bookmarkStart w:id="33" w:name="_Toc28359008"/>
      <w:r>
        <w:rPr>
          <w:rFonts w:hint="eastAsia"/>
          <w:b/>
          <w:bCs/>
          <w:sz w:val="24"/>
          <w:szCs w:val="24"/>
        </w:rPr>
        <w:t>八、对本次采购提出询问，请按以下方式联系。</w:t>
      </w:r>
      <w:bookmarkEnd w:id="30"/>
      <w:bookmarkEnd w:id="31"/>
      <w:bookmarkEnd w:id="32"/>
      <w:bookmarkEnd w:id="33"/>
    </w:p>
    <w:bookmarkEnd w:id="20"/>
    <w:bookmarkEnd w:id="21"/>
    <w:bookmarkEnd w:id="22"/>
    <w:bookmarkEnd w:id="23"/>
    <w:p>
      <w:pPr>
        <w:snapToGrid w:val="0"/>
        <w:spacing w:line="360" w:lineRule="auto"/>
        <w:ind w:firstLine="480" w:firstLineChars="200"/>
        <w:rPr>
          <w:rFonts w:cs="宋体" w:asciiTheme="minorEastAsia" w:hAnsiTheme="minorEastAsia"/>
          <w:sz w:val="24"/>
          <w:szCs w:val="24"/>
        </w:rPr>
      </w:pPr>
      <w:bookmarkStart w:id="34" w:name="_Toc55147046"/>
      <w:r>
        <w:rPr>
          <w:rFonts w:hint="eastAsia" w:cs="宋体" w:asciiTheme="minorEastAsia" w:hAnsiTheme="minorEastAsia"/>
          <w:sz w:val="24"/>
          <w:szCs w:val="24"/>
        </w:rPr>
        <w:t>1.采购人信息</w:t>
      </w:r>
    </w:p>
    <w:p>
      <w:pPr>
        <w:snapToGrid w:val="0"/>
        <w:spacing w:line="360" w:lineRule="auto"/>
        <w:ind w:firstLine="480" w:firstLineChars="200"/>
        <w:rPr>
          <w:rFonts w:cs="宋体" w:asciiTheme="minorEastAsia" w:hAnsiTheme="minorEastAsia"/>
          <w:sz w:val="24"/>
          <w:szCs w:val="24"/>
        </w:rPr>
      </w:pPr>
      <w:bookmarkStart w:id="35" w:name="_Toc28359076"/>
      <w:bookmarkStart w:id="36" w:name="_Toc28358999"/>
      <w:bookmarkStart w:id="37" w:name="_Toc35393787"/>
      <w:bookmarkStart w:id="38" w:name="_Toc35393618"/>
      <w:r>
        <w:rPr>
          <w:rFonts w:hint="eastAsia" w:cs="宋体" w:asciiTheme="minorEastAsia" w:hAnsiTheme="minorEastAsia"/>
          <w:sz w:val="24"/>
          <w:szCs w:val="24"/>
        </w:rPr>
        <w:t>名    称：常州市勤业中学</w:t>
      </w:r>
    </w:p>
    <w:p>
      <w:pPr>
        <w:snapToGrid w:val="0"/>
        <w:spacing w:line="360" w:lineRule="auto"/>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 xml:space="preserve">地    址：江苏省常州市钟楼区勤业路287号 </w:t>
      </w:r>
    </w:p>
    <w:p>
      <w:pPr>
        <w:widowControl/>
        <w:snapToGrid w:val="0"/>
        <w:spacing w:line="360" w:lineRule="auto"/>
        <w:ind w:firstLine="480" w:firstLineChars="200"/>
        <w:jc w:val="left"/>
        <w:rPr>
          <w:rFonts w:cs="宋体" w:asciiTheme="minorEastAsia" w:hAnsiTheme="minorEastAsia"/>
          <w:sz w:val="24"/>
          <w:szCs w:val="24"/>
          <w:highlight w:val="none"/>
        </w:rPr>
      </w:pPr>
      <w:r>
        <w:rPr>
          <w:rFonts w:hint="eastAsia" w:cs="宋体" w:asciiTheme="minorEastAsia" w:hAnsiTheme="minorEastAsia"/>
          <w:sz w:val="24"/>
          <w:szCs w:val="24"/>
          <w:highlight w:val="none"/>
        </w:rPr>
        <w:t>联系方式：金老师 15851988440</w:t>
      </w:r>
      <w:r>
        <w:rPr>
          <w:rFonts w:hint="eastAsia" w:cs="宋体" w:asciiTheme="minorEastAsia" w:hAnsiTheme="minorEastAsia"/>
          <w:sz w:val="24"/>
          <w:szCs w:val="24"/>
          <w:highlight w:val="none"/>
          <w:lang w:val="en-US" w:eastAsia="zh-CN"/>
        </w:rPr>
        <w:t xml:space="preserve"> </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2.</w:t>
      </w:r>
      <w:bookmarkEnd w:id="35"/>
      <w:bookmarkEnd w:id="36"/>
      <w:bookmarkEnd w:id="37"/>
      <w:bookmarkEnd w:id="38"/>
      <w:bookmarkStart w:id="39" w:name="_Toc28359000"/>
      <w:bookmarkStart w:id="40" w:name="_Toc35393788"/>
      <w:bookmarkStart w:id="41" w:name="_Toc28359077"/>
      <w:bookmarkStart w:id="42" w:name="_Toc35393619"/>
      <w:r>
        <w:rPr>
          <w:rFonts w:hint="eastAsia"/>
        </w:rPr>
        <w:t xml:space="preserve"> </w:t>
      </w:r>
      <w:r>
        <w:rPr>
          <w:rFonts w:hint="eastAsia" w:cs="宋体" w:asciiTheme="minorEastAsia" w:hAnsiTheme="minorEastAsia"/>
          <w:sz w:val="24"/>
          <w:szCs w:val="24"/>
        </w:rPr>
        <w:t>采购代理机构信息</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名   称：常州中采招投标有限公司</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   址：钟楼区玉龙南路280号常州大数据产业园2号楼19楼1903室</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联系方式：0519-8666106</w:t>
      </w:r>
      <w:bookmarkEnd w:id="39"/>
      <w:bookmarkEnd w:id="40"/>
      <w:bookmarkEnd w:id="41"/>
      <w:bookmarkEnd w:id="42"/>
      <w:r>
        <w:rPr>
          <w:rFonts w:hint="eastAsia" w:cs="宋体" w:asciiTheme="minorEastAsia" w:hAnsiTheme="minorEastAsia"/>
          <w:sz w:val="24"/>
          <w:szCs w:val="24"/>
        </w:rPr>
        <w:t>6</w:t>
      </w:r>
    </w:p>
    <w:p>
      <w:pPr>
        <w:widowControl/>
        <w:snapToGrid w:val="0"/>
        <w:spacing w:line="360" w:lineRule="auto"/>
        <w:ind w:firstLine="480" w:firstLineChars="200"/>
        <w:jc w:val="left"/>
        <w:rPr>
          <w:rFonts w:cs="宋体" w:asciiTheme="minorEastAsia" w:hAnsiTheme="minorEastAsia"/>
          <w:sz w:val="24"/>
          <w:szCs w:val="24"/>
        </w:rPr>
      </w:pP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3.项目联系方式</w:t>
      </w:r>
    </w:p>
    <w:p>
      <w:pPr>
        <w:widowControl/>
        <w:snapToGrid w:val="0"/>
        <w:spacing w:line="360" w:lineRule="auto"/>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项目联系人：董女士</w:t>
      </w:r>
    </w:p>
    <w:p>
      <w:pPr>
        <w:widowControl/>
        <w:snapToGrid w:val="0"/>
        <w:spacing w:line="360" w:lineRule="auto"/>
        <w:ind w:firstLine="48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rPr>
        <w:t>电      话：0519-8666106</w:t>
      </w:r>
      <w:r>
        <w:rPr>
          <w:rFonts w:hint="eastAsia" w:cs="宋体" w:asciiTheme="minorEastAsia" w:hAnsiTheme="minorEastAsia"/>
          <w:sz w:val="24"/>
          <w:szCs w:val="24"/>
          <w:lang w:val="en-US" w:eastAsia="zh-CN"/>
        </w:rPr>
        <w:t>7</w:t>
      </w:r>
    </w:p>
    <w:p>
      <w:pPr>
        <w:pStyle w:val="121"/>
        <w:jc w:val="center"/>
      </w:pPr>
      <w:bookmarkStart w:id="43" w:name="_Toc29163"/>
      <w:r>
        <w:rPr>
          <w:rFonts w:hint="eastAsia"/>
        </w:rPr>
        <w:t>二．供应商须知</w:t>
      </w:r>
      <w:bookmarkEnd w:id="34"/>
      <w:bookmarkEnd w:id="43"/>
    </w:p>
    <w:p>
      <w:pPr>
        <w:spacing w:line="360" w:lineRule="auto"/>
        <w:ind w:firstLine="482" w:firstLineChars="200"/>
        <w:rPr>
          <w:b/>
          <w:bCs/>
          <w:sz w:val="24"/>
          <w:szCs w:val="24"/>
        </w:rPr>
      </w:pPr>
      <w:r>
        <w:rPr>
          <w:rFonts w:hint="eastAsia"/>
          <w:b/>
          <w:bCs/>
          <w:sz w:val="24"/>
          <w:szCs w:val="24"/>
        </w:rPr>
        <w:t>一、遵循原则</w:t>
      </w:r>
    </w:p>
    <w:p>
      <w:pPr>
        <w:spacing w:line="360" w:lineRule="auto"/>
        <w:ind w:firstLine="480" w:firstLineChars="200"/>
        <w:rPr>
          <w:rFonts w:ascii="黑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公开透明原则、公平竞争原则、公正原则和诚实信用原则。</w:t>
      </w:r>
    </w:p>
    <w:p>
      <w:pPr>
        <w:spacing w:line="360" w:lineRule="auto"/>
        <w:ind w:firstLine="482" w:firstLineChars="200"/>
        <w:rPr>
          <w:b/>
          <w:bCs/>
          <w:sz w:val="24"/>
          <w:szCs w:val="24"/>
        </w:rPr>
      </w:pPr>
      <w:r>
        <w:rPr>
          <w:rFonts w:hint="eastAsia"/>
          <w:b/>
          <w:bCs/>
          <w:sz w:val="24"/>
          <w:szCs w:val="24"/>
        </w:rPr>
        <w:t>二、采购文件</w:t>
      </w:r>
    </w:p>
    <w:p>
      <w:pPr>
        <w:tabs>
          <w:tab w:val="left" w:pos="-126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采购文件包括本文件目录所列全部内容，供应商应仔细阅读，并在响应文件中充分响应采购文件的所有要求。</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采购文件中的“法定代表人”是指供应商的营业执照或相关部门的登记证明文件中的“法定代表人”或“负责人”。</w:t>
      </w:r>
    </w:p>
    <w:p>
      <w:pPr>
        <w:tabs>
          <w:tab w:val="left" w:pos="0"/>
          <w:tab w:val="left" w:pos="525"/>
          <w:tab w:val="left" w:pos="846"/>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3. </w:t>
      </w:r>
      <w:r>
        <w:rPr>
          <w:rFonts w:hint="eastAsia" w:ascii="宋体" w:hAnsi="宋体"/>
          <w:bCs/>
          <w:color w:val="000000"/>
          <w:sz w:val="24"/>
          <w:szCs w:val="24"/>
        </w:rPr>
        <w:t>供应商应在获取采购文件及有关资料后，按要求制作</w:t>
      </w:r>
      <w:r>
        <w:rPr>
          <w:rFonts w:hint="eastAsia" w:ascii="宋体" w:hAnsi="宋体"/>
          <w:sz w:val="24"/>
        </w:rPr>
        <w:t>响应文件</w:t>
      </w:r>
      <w:r>
        <w:rPr>
          <w:rFonts w:hint="eastAsia" w:ascii="宋体" w:hAnsi="宋体"/>
          <w:bCs/>
          <w:color w:val="000000"/>
          <w:sz w:val="24"/>
          <w:szCs w:val="24"/>
        </w:rPr>
        <w:t>，对采购文件各项内容做出实质性响应，否则作为无效响应。</w:t>
      </w:r>
    </w:p>
    <w:p>
      <w:pPr>
        <w:tabs>
          <w:tab w:val="left" w:pos="0"/>
          <w:tab w:val="left" w:pos="525"/>
          <w:tab w:val="left" w:pos="846"/>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采购文件仅作为本次采购报价使用。</w:t>
      </w:r>
    </w:p>
    <w:p>
      <w:pPr>
        <w:spacing w:line="360" w:lineRule="auto"/>
        <w:ind w:firstLine="482" w:firstLineChars="200"/>
        <w:rPr>
          <w:b/>
          <w:bCs/>
          <w:sz w:val="24"/>
          <w:szCs w:val="24"/>
        </w:rPr>
      </w:pPr>
      <w:r>
        <w:rPr>
          <w:rFonts w:hint="eastAsia"/>
          <w:b/>
          <w:bCs/>
          <w:sz w:val="24"/>
          <w:szCs w:val="24"/>
        </w:rPr>
        <w:t>三、采购文件的解释</w:t>
      </w:r>
    </w:p>
    <w:p>
      <w:pPr>
        <w:tabs>
          <w:tab w:val="left" w:pos="945"/>
        </w:tabs>
        <w:spacing w:line="360" w:lineRule="auto"/>
        <w:ind w:left="523"/>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本文件的最终解释权归常州中采招投标有限公司。</w:t>
      </w:r>
    </w:p>
    <w:p>
      <w:pPr>
        <w:spacing w:line="360" w:lineRule="auto"/>
        <w:ind w:firstLine="482" w:firstLineChars="200"/>
        <w:rPr>
          <w:b/>
          <w:bCs/>
          <w:sz w:val="24"/>
          <w:szCs w:val="24"/>
        </w:rPr>
      </w:pPr>
      <w:r>
        <w:rPr>
          <w:rFonts w:hint="eastAsia"/>
          <w:b/>
          <w:bCs/>
          <w:sz w:val="24"/>
          <w:szCs w:val="24"/>
        </w:rPr>
        <w:t>四、采购文件的补充或修正</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供应商在收到采购文件后，如有疑问需要询问和澄清，应在响应文件提交截止时间的15日前以书面形式向采购人提出，如无疑问,视作供应商完全响应采购文件的条款和要求。</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采购人有权对已发出的采购文件进行必要的澄清或修改，可视具体情况延长响应文件提交截止时间，并以更正公告形式通知所有供应商。</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采购文件的修改和补充文件将作为采购文件的组成部分，并对供应商具有约束力。</w:t>
      </w:r>
    </w:p>
    <w:p>
      <w:pPr>
        <w:tabs>
          <w:tab w:val="left" w:pos="525"/>
          <w:tab w:val="left" w:pos="898"/>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更正公告以“政采云”市场资源交易服务中心（平台）（http://www.czzczb.</w:t>
      </w:r>
    </w:p>
    <w:p>
      <w:pPr>
        <w:tabs>
          <w:tab w:val="left" w:pos="525"/>
          <w:tab w:val="left" w:pos="898"/>
          <w:tab w:val="left" w:pos="945"/>
        </w:tabs>
        <w:spacing w:line="360" w:lineRule="auto"/>
        <w:rPr>
          <w:rFonts w:ascii="宋体" w:hAnsi="宋体"/>
          <w:bCs/>
          <w:color w:val="000000" w:themeColor="text1"/>
          <w:sz w:val="24"/>
          <w:szCs w:val="24"/>
          <w:highlight w:val="yellow"/>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com/）所发布的为准。</w:t>
      </w:r>
    </w:p>
    <w:p>
      <w:pPr>
        <w:spacing w:line="360" w:lineRule="auto"/>
        <w:ind w:firstLine="482" w:firstLineChars="200"/>
        <w:rPr>
          <w:b/>
          <w:bCs/>
          <w:sz w:val="24"/>
          <w:szCs w:val="24"/>
        </w:rPr>
      </w:pPr>
      <w:r>
        <w:rPr>
          <w:rFonts w:hint="eastAsia"/>
          <w:b/>
          <w:bCs/>
          <w:sz w:val="24"/>
          <w:szCs w:val="24"/>
        </w:rPr>
        <w:t>五、响应文件的组成</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1. 供应商情况说明</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供应商简介（含供应商规模、技术能力及装备水平等）、人员情况、典型项目介绍。</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 响应函（格式见附件）</w:t>
      </w:r>
    </w:p>
    <w:p>
      <w:pPr>
        <w:tabs>
          <w:tab w:val="left" w:pos="525"/>
          <w:tab w:val="left" w:pos="630"/>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 资格、资信证明文件：</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（1）关于资格的声明函（</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s="宋体"/>
          <w:sz w:val="24"/>
        </w:rPr>
        <w:t>（2）法定代表人资格证明书/法定代表人授权委托书（</w:t>
      </w:r>
      <w:r>
        <w:rPr>
          <w:rFonts w:hint="eastAsia" w:ascii="宋体" w:hAnsi="宋体" w:cs="宋体"/>
          <w:b/>
          <w:sz w:val="24"/>
        </w:rPr>
        <w:t>格式见附件</w:t>
      </w:r>
      <w:r>
        <w:rPr>
          <w:rFonts w:hint="eastAsia" w:ascii="宋体" w:hAnsi="宋体" w:cs="宋体"/>
          <w:sz w:val="24"/>
        </w:rPr>
        <w:t>）；</w:t>
      </w:r>
    </w:p>
    <w:p>
      <w:pPr>
        <w:tabs>
          <w:tab w:val="left" w:pos="630"/>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（3）具有独立承担民事责任能力的供应商营业执照或相关部门的登记证明文件复印件；</w:t>
      </w:r>
    </w:p>
    <w:p>
      <w:pPr>
        <w:tabs>
          <w:tab w:val="left" w:pos="630"/>
          <w:tab w:val="left" w:pos="945"/>
          <w:tab w:val="left" w:pos="1276"/>
        </w:tabs>
        <w:spacing w:line="360" w:lineRule="auto"/>
        <w:ind w:firstLine="480" w:firstLineChars="200"/>
        <w:rPr>
          <w:rFonts w:ascii="宋体" w:hAnsi="宋体"/>
          <w:sz w:val="24"/>
        </w:rPr>
      </w:pPr>
      <w:r>
        <w:rPr>
          <w:rFonts w:hint="eastAsia" w:ascii="宋体" w:hAnsi="宋体"/>
          <w:bCs/>
          <w:color w:val="000000" w:themeColor="text1"/>
          <w:sz w:val="24"/>
          <w:szCs w:val="24"/>
          <w14:textFill>
            <w14:solidFill>
              <w14:schemeClr w14:val="tx1"/>
            </w14:solidFill>
          </w14:textFill>
        </w:rPr>
        <w:t>（4）</w:t>
      </w:r>
      <w:r>
        <w:rPr>
          <w:rFonts w:hint="eastAsia" w:ascii="宋体" w:hAnsi="宋体"/>
          <w:sz w:val="24"/>
        </w:rPr>
        <w:t>具备履行合同所必需的设备和专业技术能力的书面声明（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（5）参加采购活动前 3 年内在经营活动中没有重大违法记录的书面声明（</w:t>
      </w:r>
      <w:r>
        <w:rPr>
          <w:rFonts w:hint="eastAsia" w:ascii="宋体" w:hAnsi="宋体" w:cs="宋体"/>
          <w:b/>
          <w:sz w:val="24"/>
        </w:rPr>
        <w:t>格式见附件</w:t>
      </w:r>
      <w:r>
        <w:rPr>
          <w:rFonts w:hint="eastAsia" w:ascii="宋体" w:hAnsi="宋体"/>
          <w:sz w:val="24"/>
        </w:rPr>
        <w:t>）；</w:t>
      </w:r>
    </w:p>
    <w:p>
      <w:pPr>
        <w:tabs>
          <w:tab w:val="left" w:pos="630"/>
          <w:tab w:val="left" w:pos="945"/>
          <w:tab w:val="left" w:pos="1276"/>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（6）采购人要求的特定资质证明（</w:t>
      </w:r>
      <w:r>
        <w:rPr>
          <w:rFonts w:hint="eastAsia" w:ascii="宋体" w:hAnsi="宋体"/>
          <w:b/>
          <w:bCs/>
          <w:color w:val="000000" w:themeColor="text1"/>
          <w:sz w:val="24"/>
          <w:szCs w:val="24"/>
          <w14:textFill>
            <w14:solidFill>
              <w14:schemeClr w14:val="tx1"/>
            </w14:solidFill>
          </w14:textFill>
        </w:rPr>
        <w:t>详见“谈判邀请函”-“申请人的资格要求”）</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报价一览表（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 明细报价表（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 技术参数响应及偏离表（</w:t>
      </w:r>
      <w:r>
        <w:rPr>
          <w:rFonts w:hint="eastAsia" w:ascii="宋体" w:hAnsi="宋体"/>
          <w:b/>
          <w:bCs/>
          <w:color w:val="000000" w:themeColor="text1"/>
          <w:sz w:val="24"/>
          <w:szCs w:val="24"/>
          <w14:textFill>
            <w14:solidFill>
              <w14:schemeClr w14:val="tx1"/>
            </w14:solidFill>
          </w14:textFill>
        </w:rPr>
        <w:t>格式见附件</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评分标准中对应的其它所需证明材料（</w:t>
      </w:r>
      <w:r>
        <w:rPr>
          <w:rFonts w:hint="eastAsia" w:ascii="宋体" w:hAnsi="宋体"/>
          <w:b/>
          <w:bCs/>
          <w:color w:val="000000" w:themeColor="text1"/>
          <w:sz w:val="24"/>
          <w:szCs w:val="24"/>
          <w14:textFill>
            <w14:solidFill>
              <w14:schemeClr w14:val="tx1"/>
            </w14:solidFill>
          </w14:textFill>
        </w:rPr>
        <w:t>如有自行添加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525"/>
          <w:tab w:val="left" w:pos="630"/>
          <w:tab w:val="left" w:pos="945"/>
        </w:tabs>
        <w:adjustRightInd w:val="0"/>
        <w:snapToGrid w:val="0"/>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9.采购文件要求供应商提供的和供应商认为与本项目有关的并可以提供的其它相关的证明材料（</w:t>
      </w:r>
      <w:r>
        <w:rPr>
          <w:rFonts w:hint="eastAsia" w:ascii="宋体" w:hAnsi="宋体"/>
          <w:b/>
          <w:bCs/>
          <w:color w:val="000000" w:themeColor="text1"/>
          <w:sz w:val="24"/>
          <w:szCs w:val="24"/>
          <w14:textFill>
            <w14:solidFill>
              <w14:schemeClr w14:val="tx1"/>
            </w14:solidFill>
          </w14:textFill>
        </w:rPr>
        <w:t>如有自拟并自行添加</w:t>
      </w:r>
      <w:r>
        <w:rPr>
          <w:rFonts w:hint="eastAsia" w:ascii="宋体" w:hAnsi="宋体"/>
          <w:bCs/>
          <w:color w:val="000000" w:themeColor="text1"/>
          <w:sz w:val="24"/>
          <w:szCs w:val="24"/>
          <w14:textFill>
            <w14:solidFill>
              <w14:schemeClr w14:val="tx1"/>
            </w14:solidFill>
          </w14:textFill>
        </w:rPr>
        <w:t>）；</w:t>
      </w:r>
    </w:p>
    <w:p>
      <w:pPr>
        <w:tabs>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上述2-6项供应商必须按要求全部提供，否则响应文件无效。</w:t>
      </w:r>
      <w:r>
        <w:rPr>
          <w:rFonts w:hint="eastAsia" w:ascii="Tahoma" w:hAnsi="Tahoma" w:cs="Tahoma"/>
          <w:color w:val="000000" w:themeColor="text1"/>
          <w:sz w:val="24"/>
          <w:szCs w:val="24"/>
          <w14:textFill>
            <w14:solidFill>
              <w14:schemeClr w14:val="tx1"/>
            </w14:solidFill>
          </w14:textFill>
        </w:rPr>
        <w:t>如上述资格证明文件遇年检、换证，则必须提供法定年检、换证单位出具的有效证明复印件。</w:t>
      </w:r>
      <w:r>
        <w:rPr>
          <w:rFonts w:hint="eastAsia" w:ascii="宋体" w:hAnsi="宋体"/>
          <w:bCs/>
          <w:color w:val="000000" w:themeColor="text1"/>
          <w:sz w:val="24"/>
          <w:szCs w:val="24"/>
          <w14:textFill>
            <w14:solidFill>
              <w14:schemeClr w14:val="tx1"/>
            </w14:solidFill>
          </w14:textFill>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2" w:firstLineChars="200"/>
        <w:rPr>
          <w:b/>
          <w:bCs/>
          <w:sz w:val="24"/>
          <w:szCs w:val="24"/>
        </w:rPr>
      </w:pPr>
      <w:r>
        <w:rPr>
          <w:rFonts w:hint="eastAsia"/>
          <w:b/>
          <w:bCs/>
          <w:sz w:val="24"/>
          <w:szCs w:val="24"/>
        </w:rPr>
        <w:t>六、响应文件的制作</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1. 响应文件共一式叁份，“正本”壹份、“副本”贰份，未提供视为无效投标。在每一份响应文件上要标明“正本”或“副本”字样，一旦正本和副本有差异，以正本为准,正本、副本应分别装订成册并密封。</w:t>
      </w:r>
    </w:p>
    <w:p>
      <w:pPr>
        <w:tabs>
          <w:tab w:val="left" w:pos="525"/>
          <w:tab w:val="left" w:pos="898"/>
          <w:tab w:val="left" w:pos="945"/>
        </w:tabs>
        <w:spacing w:line="360" w:lineRule="auto"/>
        <w:ind w:firstLine="480" w:firstLineChars="200"/>
        <w:rPr>
          <w:rFonts w:ascii="宋体" w:hAnsi="宋体"/>
          <w:sz w:val="24"/>
        </w:rPr>
      </w:pPr>
      <w:r>
        <w:rPr>
          <w:rFonts w:hint="eastAsia" w:ascii="宋体" w:hAnsi="宋体"/>
          <w:sz w:val="24"/>
        </w:rPr>
        <w:t>2. 响应文件密封口须加盖供应商公章、法定代表人或授权委托人签字或盖章，封皮上写明采购编号、采购项目名称、供应商名称。所有响应文件都必须密封盖章。</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3. 如果供应商未按上述要求密封及加写标记，其响应文件将被拒收。采购代理机构对响应文件的误投和提前启封概不负责，对由此造成提前开封的响应文件，采购代理机构有权拒绝。</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所有文件、往来函件均应使用简体中文（规格、型号辅助符号例外）。</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5. 响应</w:t>
      </w:r>
      <w:r>
        <w:rPr>
          <w:rFonts w:hint="eastAsia" w:ascii="宋体" w:hAnsi="宋体"/>
          <w:bCs/>
          <w:color w:val="000000" w:themeColor="text1"/>
          <w:sz w:val="24"/>
          <w:szCs w:val="24"/>
          <w14:textFill>
            <w14:solidFill>
              <w14:schemeClr w14:val="tx1"/>
            </w14:solidFill>
          </w14:textFill>
        </w:rPr>
        <w:t>文件由供应商按要求如实填写，须有供应商（签章）、法定代表人或法定代表人授权代表签章，方为有效，未尽事宜可自行补充。</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color w:val="000000" w:themeColor="text1"/>
          <w:sz w:val="24"/>
          <w:szCs w:val="24"/>
          <w:lang w:val="zh-CN"/>
          <w14:textFill>
            <w14:solidFill>
              <w14:schemeClr w14:val="tx1"/>
            </w14:solidFill>
          </w14:textFill>
        </w:rPr>
        <w:t>6. 如无特别说明，</w:t>
      </w:r>
      <w:r>
        <w:rPr>
          <w:rFonts w:hint="eastAsia" w:ascii="宋体" w:hAnsi="宋体"/>
          <w:bCs/>
          <w:color w:val="000000" w:themeColor="text1"/>
          <w:sz w:val="24"/>
          <w:szCs w:val="24"/>
          <w14:textFill>
            <w14:solidFill>
              <w14:schemeClr w14:val="tx1"/>
            </w14:solidFill>
          </w14:textFill>
        </w:rPr>
        <w:t>供应商报价一律以人民币为投标结算货币</w:t>
      </w:r>
      <w:r>
        <w:rPr>
          <w:rFonts w:asci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结算单位为“元”。</w:t>
      </w:r>
    </w:p>
    <w:p>
      <w:pPr>
        <w:tabs>
          <w:tab w:val="left" w:pos="525"/>
          <w:tab w:val="left" w:pos="898"/>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7. 报价费用自理。</w:t>
      </w:r>
    </w:p>
    <w:p>
      <w:pPr>
        <w:spacing w:line="360" w:lineRule="auto"/>
        <w:ind w:firstLine="482" w:firstLineChars="200"/>
        <w:rPr>
          <w:b/>
          <w:bCs/>
          <w:sz w:val="24"/>
          <w:szCs w:val="24"/>
        </w:rPr>
      </w:pPr>
      <w:r>
        <w:rPr>
          <w:rFonts w:hint="eastAsia"/>
          <w:b/>
          <w:bCs/>
          <w:sz w:val="24"/>
          <w:szCs w:val="24"/>
        </w:rPr>
        <w:t>七、无效响应文件的确认：</w:t>
      </w:r>
    </w:p>
    <w:p>
      <w:pPr>
        <w:tabs>
          <w:tab w:val="left" w:pos="945"/>
        </w:tabs>
        <w:spacing w:line="360" w:lineRule="auto"/>
        <w:ind w:firstLine="480" w:firstLineChars="200"/>
        <w:rPr>
          <w:rFonts w:ascii="宋体" w:hAnsi="宋体" w:cs="宋体"/>
          <w:sz w:val="24"/>
        </w:rPr>
      </w:pPr>
      <w:r>
        <w:rPr>
          <w:rFonts w:hint="eastAsia" w:ascii="宋体" w:hAnsi="宋体"/>
          <w:sz w:val="24"/>
        </w:rPr>
        <w:t>供应商</w:t>
      </w:r>
      <w:r>
        <w:rPr>
          <w:rFonts w:hint="eastAsia" w:ascii="宋体" w:hAnsi="宋体"/>
          <w:bCs/>
          <w:color w:val="000000" w:themeColor="text1"/>
          <w:sz w:val="24"/>
          <w:szCs w:val="24"/>
          <w14:textFill>
            <w14:solidFill>
              <w14:schemeClr w14:val="tx1"/>
            </w14:solidFill>
          </w14:textFill>
        </w:rPr>
        <w:t>有下列情况之一者，</w:t>
      </w:r>
      <w:r>
        <w:rPr>
          <w:rFonts w:hint="eastAsia" w:ascii="宋体" w:hAnsi="宋体"/>
          <w:sz w:val="24"/>
        </w:rPr>
        <w:t>响应</w:t>
      </w:r>
      <w:r>
        <w:rPr>
          <w:rFonts w:hint="eastAsia" w:ascii="宋体" w:hAnsi="宋体"/>
          <w:bCs/>
          <w:color w:val="000000" w:themeColor="text1"/>
          <w:sz w:val="24"/>
          <w:szCs w:val="24"/>
          <w14:textFill>
            <w14:solidFill>
              <w14:schemeClr w14:val="tx1"/>
            </w14:solidFill>
          </w14:textFill>
        </w:rPr>
        <w:t>文件无效：</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1. 响应</w:t>
      </w:r>
      <w:r>
        <w:rPr>
          <w:rFonts w:hint="eastAsia" w:ascii="宋体" w:hAnsi="宋体" w:cs="宋体"/>
          <w:sz w:val="24"/>
        </w:rPr>
        <w:t>文件</w:t>
      </w:r>
      <w:r>
        <w:rPr>
          <w:rFonts w:hint="eastAsia" w:ascii="宋体" w:hAnsi="宋体" w:cs="宋体"/>
          <w:color w:val="000000" w:themeColor="text1"/>
          <w:sz w:val="24"/>
          <w14:textFill>
            <w14:solidFill>
              <w14:schemeClr w14:val="tx1"/>
            </w14:solidFill>
          </w14:textFill>
        </w:rPr>
        <w:t>封装</w:t>
      </w:r>
      <w:r>
        <w:rPr>
          <w:rFonts w:hint="eastAsia" w:ascii="宋体" w:hAnsi="宋体" w:cs="宋体"/>
          <w:sz w:val="24"/>
        </w:rPr>
        <w:t>未按规定标志、密封、盖章的；</w:t>
      </w:r>
    </w:p>
    <w:p>
      <w:pPr>
        <w:tabs>
          <w:tab w:val="left" w:pos="762"/>
          <w:tab w:val="left" w:pos="945"/>
        </w:tabs>
        <w:spacing w:line="360" w:lineRule="auto"/>
        <w:ind w:firstLine="480" w:firstLineChars="200"/>
        <w:rPr>
          <w:rFonts w:ascii="宋体" w:hAnsi="宋体" w:cs="宋体"/>
          <w:sz w:val="24"/>
        </w:rPr>
      </w:pPr>
      <w:r>
        <w:rPr>
          <w:rFonts w:hint="eastAsia" w:ascii="宋体" w:hAnsi="宋体"/>
          <w:sz w:val="24"/>
        </w:rPr>
        <w:t>2. 响应</w:t>
      </w:r>
      <w:r>
        <w:rPr>
          <w:rFonts w:hint="eastAsia" w:ascii="宋体" w:hAnsi="宋体" w:cs="宋体"/>
          <w:sz w:val="24"/>
        </w:rPr>
        <w:t>文件未加盖供应商公章的；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3. 法定</w:t>
      </w:r>
      <w:r>
        <w:rPr>
          <w:rFonts w:hint="eastAsia" w:ascii="宋体" w:hAnsi="宋体" w:cs="宋体"/>
          <w:sz w:val="24"/>
        </w:rPr>
        <w:t>代表人资格证明书或授权委托书未提供的、无供应商公章的、无法定代表人或委托代理人签字或盖章的、非原件的；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 不具备采购文件中规定的资格要求或未按采购文件规定的要求提供资格、资信证明文件的；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 被“信用中国”网站（</w:t>
      </w:r>
      <w:r>
        <w:fldChar w:fldCharType="begin"/>
      </w:r>
      <w:r>
        <w:instrText xml:space="preserve"> HYPERLINK "http://www.creditchina.gov.cn" </w:instrText>
      </w:r>
      <w:r>
        <w:fldChar w:fldCharType="separate"/>
      </w:r>
      <w:r>
        <w:rPr>
          <w:rFonts w:hint="eastAsia" w:ascii="宋体" w:hAnsi="宋体"/>
          <w:bCs/>
          <w:color w:val="000000" w:themeColor="text1"/>
          <w:sz w:val="24"/>
          <w:szCs w:val="24"/>
          <w14:textFill>
            <w14:solidFill>
              <w14:schemeClr w14:val="tx1"/>
            </w14:solidFill>
          </w14:textFill>
        </w:rPr>
        <w:t>www.creditchina.gov.cn</w:t>
      </w:r>
      <w:r>
        <w:rPr>
          <w:rFonts w:ascii="宋体" w:hAnsi="宋体"/>
          <w:bCs/>
          <w:color w:val="000000" w:themeColor="text1"/>
          <w:sz w:val="24"/>
          <w:szCs w:val="24"/>
          <w14:textFill>
            <w14:solidFill>
              <w14:schemeClr w14:val="tx1"/>
            </w14:solidFill>
          </w14:textFill>
        </w:rPr>
        <w:fldChar w:fldCharType="end"/>
      </w:r>
      <w:r>
        <w:rPr>
          <w:rFonts w:hint="eastAsia" w:ascii="宋体" w:hAnsi="宋体"/>
          <w:bCs/>
          <w:color w:val="000000" w:themeColor="text1"/>
          <w:sz w:val="24"/>
          <w:szCs w:val="24"/>
          <w14:textFill>
            <w14:solidFill>
              <w14:schemeClr w14:val="tx1"/>
            </w14:solidFill>
          </w14:textFill>
        </w:rPr>
        <w:t>）、中国采购网(www.ccgp.gov.cn)列入失信被执行人、重大税收违法案件当事人名单、</w:t>
      </w:r>
      <w:r>
        <w:rPr>
          <w:rFonts w:hint="eastAsia" w:ascii="宋体" w:hAnsi="宋体"/>
          <w:color w:val="000000" w:themeColor="text1"/>
          <w:sz w:val="24"/>
          <w:szCs w:val="24"/>
          <w14:textFill>
            <w14:solidFill>
              <w14:schemeClr w14:val="tx1"/>
            </w14:solidFill>
          </w14:textFill>
        </w:rPr>
        <w:t>政府采购严重违法失信行为记录名单的；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sz w:val="24"/>
        </w:rPr>
        <w:t>6. 响应</w:t>
      </w:r>
      <w:r>
        <w:rPr>
          <w:rFonts w:hint="eastAsia" w:ascii="宋体" w:hAnsi="宋体"/>
          <w:bCs/>
          <w:color w:val="000000" w:themeColor="text1"/>
          <w:sz w:val="24"/>
          <w:szCs w:val="24"/>
          <w14:textFill>
            <w14:solidFill>
              <w14:schemeClr w14:val="tx1"/>
            </w14:solidFill>
          </w14:textFill>
        </w:rPr>
        <w:t>文件未按采购文件规定的内容和要求填写的；</w:t>
      </w:r>
      <w:r>
        <w:rPr>
          <w:rFonts w:ascii="宋体" w:hAnsi="宋体"/>
          <w:bCs/>
          <w:color w:val="000000" w:themeColor="text1"/>
          <w:sz w:val="24"/>
          <w:szCs w:val="24"/>
          <w14:textFill>
            <w14:solidFill>
              <w14:schemeClr w14:val="tx1"/>
            </w14:solidFill>
          </w14:textFill>
        </w:rPr>
        <w:t xml:space="preserve"> </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sz w:val="24"/>
        </w:rPr>
        <w:t>7. 响应</w:t>
      </w:r>
      <w:r>
        <w:rPr>
          <w:rFonts w:hint="eastAsia" w:ascii="宋体" w:hAnsi="宋体"/>
          <w:bCs/>
          <w:color w:val="000000" w:themeColor="text1"/>
          <w:sz w:val="24"/>
          <w:szCs w:val="24"/>
          <w14:textFill>
            <w14:solidFill>
              <w14:schemeClr w14:val="tx1"/>
            </w14:solidFill>
          </w14:textFill>
        </w:rPr>
        <w:t>文件中有采购文件未允许提供的选择性内容；</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8. 不同供应商委托同一单位或者个人办理报价事宜的；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9. 不同供应商的单位负责人为同一人或者存在直接控股、管理关系的；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10. 不同供应商的响应文件由同一单位或者同一个人编制的；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11. 不同供应商响应文件内容存在非正常一致、项目组成员出现同一人、响应文件中错误（或异常）一致或雷同、报价呈规律性差异的；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12. 不同供应商的报价资料相互混装、不同供应商的委托代理人、项目负责人以及其他相关人员有在同一个单位缴纳社会保险、同一响应文件中单位名称落款与公章不是同一单位的；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13. 项目（标段）报价总价超过本项目（标段）预算或最高限价的；</w:t>
      </w:r>
    </w:p>
    <w:p>
      <w:pPr>
        <w:tabs>
          <w:tab w:val="left" w:pos="762"/>
          <w:tab w:val="left" w:pos="945"/>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14. 提供虚假材料的（包括工商营业执照、财务报表、资格证明文件等）；</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 响应文件含有采购人不能接受的附加条件的；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16. 评审委员会认定供应商的报价明显低于其他通过符合性审查供应商的报价，有可能影响产品质量或者不能诚信履约，且供应商不能应评审委员会要求在评审现场合理的时间内提供书面说明（必要时评审委员会可要求供应商提交相关证明材料）证明其报价合理性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17. 除单一来源采购项目外，为采购项目提供整体设计、规范编制或者项目管理、监理、检测等服务的；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18. 响应文件内容不全或不符合采购文件中规定的其它实质性要求的；</w:t>
      </w:r>
    </w:p>
    <w:p>
      <w:pPr>
        <w:tabs>
          <w:tab w:val="left" w:pos="762"/>
          <w:tab w:val="left" w:pos="945"/>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19. 法律法规和采购文件规定的其它无效情形。</w:t>
      </w:r>
    </w:p>
    <w:p>
      <w:pPr>
        <w:spacing w:line="360" w:lineRule="auto"/>
        <w:ind w:firstLine="482" w:firstLineChars="200"/>
        <w:rPr>
          <w:b/>
          <w:bCs/>
          <w:sz w:val="24"/>
          <w:szCs w:val="24"/>
        </w:rPr>
      </w:pPr>
      <w:r>
        <w:rPr>
          <w:rFonts w:hint="eastAsia"/>
          <w:b/>
          <w:bCs/>
          <w:sz w:val="24"/>
          <w:szCs w:val="24"/>
        </w:rPr>
        <w:t>八、谈判、评审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 所有供应商至采购文件规定的地点提交响应文件。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 响应文件提交截止时间后参加谈判的供应商或解密响应文件的供应商数量不符合法律法规要求的，不进行评审。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 谈判、评审工作由</w:t>
      </w:r>
      <w:r>
        <w:rPr>
          <w:rFonts w:hint="eastAsia" w:ascii="宋体" w:hAnsi="宋体"/>
          <w:sz w:val="24"/>
        </w:rPr>
        <w:t>采购代理机构</w:t>
      </w:r>
      <w:r>
        <w:rPr>
          <w:rFonts w:hint="eastAsia" w:ascii="宋体" w:hAnsi="宋体" w:eastAsia="宋体"/>
          <w:sz w:val="24"/>
          <w:szCs w:val="24"/>
        </w:rPr>
        <w:t>负责组织。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具体谈判、评审事务由依法组建的谈判小组负责。如有争议最终由谈判小组认定。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报价</w:t>
      </w:r>
      <w:r>
        <w:rPr>
          <w:rFonts w:hint="eastAsia" w:ascii="宋体" w:hAnsi="宋体" w:eastAsia="宋体"/>
          <w:sz w:val="24"/>
          <w:szCs w:val="24"/>
        </w:rPr>
        <w:t>一览表</w:t>
      </w:r>
      <w:r>
        <w:rPr>
          <w:rFonts w:ascii="宋体" w:hAnsi="宋体" w:eastAsia="宋体"/>
          <w:sz w:val="24"/>
          <w:szCs w:val="24"/>
        </w:rPr>
        <w:t>内容与明细表内容不一致的，以报价</w:t>
      </w:r>
      <w:r>
        <w:rPr>
          <w:rFonts w:hint="eastAsia" w:ascii="宋体" w:hAnsi="宋体" w:eastAsia="宋体"/>
          <w:sz w:val="24"/>
          <w:szCs w:val="24"/>
        </w:rPr>
        <w:t>一览表</w:t>
      </w:r>
      <w:r>
        <w:rPr>
          <w:rFonts w:ascii="宋体" w:hAnsi="宋体" w:eastAsia="宋体"/>
          <w:sz w:val="24"/>
          <w:szCs w:val="24"/>
        </w:rPr>
        <w:t>为准</w:t>
      </w:r>
      <w:r>
        <w:rPr>
          <w:rFonts w:hint="eastAsia" w:ascii="宋体" w:hAnsi="宋体" w:eastAsia="宋体"/>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（2）正本与副本不符，以正本为准。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 谈判、</w:t>
      </w:r>
      <w:r>
        <w:rPr>
          <w:rFonts w:ascii="宋体" w:hAnsi="宋体" w:eastAsia="宋体"/>
          <w:sz w:val="24"/>
          <w:szCs w:val="24"/>
        </w:rPr>
        <w:t>评</w:t>
      </w:r>
      <w:r>
        <w:rPr>
          <w:rFonts w:hint="eastAsia" w:ascii="宋体" w:hAnsi="宋体" w:eastAsia="宋体"/>
          <w:sz w:val="24"/>
          <w:szCs w:val="24"/>
        </w:rPr>
        <w:t>审</w:t>
      </w:r>
      <w:r>
        <w:rPr>
          <w:rFonts w:ascii="宋体" w:hAnsi="宋体" w:eastAsia="宋体"/>
          <w:sz w:val="24"/>
          <w:szCs w:val="24"/>
        </w:rPr>
        <w:t>程序</w:t>
      </w:r>
    </w:p>
    <w:p>
      <w:pPr>
        <w:numPr>
          <w:ilvl w:val="0"/>
          <w:numId w:val="2"/>
        </w:numPr>
        <w:tabs>
          <w:tab w:val="left" w:pos="63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hint="eastAsia" w:ascii="宋体" w:hAnsi="宋体"/>
          <w:bCs/>
          <w:color w:val="000000"/>
          <w:sz w:val="24"/>
          <w:szCs w:val="24"/>
        </w:rPr>
        <w:t xml:space="preserve"> </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hint="eastAsia" w:ascii="宋体" w:hAnsi="宋体"/>
          <w:bCs/>
          <w:color w:val="000000"/>
          <w:sz w:val="24"/>
        </w:rPr>
        <w:t>投标（报价）承诺函</w:t>
      </w:r>
      <w:r>
        <w:rPr>
          <w:rFonts w:ascii="宋体" w:hAnsi="宋体"/>
          <w:bCs/>
          <w:color w:val="000000"/>
          <w:sz w:val="24"/>
        </w:rPr>
        <w:t>等进行审查</w:t>
      </w:r>
      <w:r>
        <w:rPr>
          <w:rFonts w:hint="eastAsia" w:ascii="宋体" w:hAnsi="宋体"/>
          <w:bCs/>
          <w:color w:val="000000"/>
          <w:sz w:val="24"/>
        </w:rPr>
        <w:t>；通过“信用中国”网站（</w:t>
      </w:r>
      <w:r>
        <w:rPr>
          <w:rFonts w:hint="eastAsia"/>
        </w:rPr>
        <w:fldChar w:fldCharType="begin"/>
      </w:r>
      <w:r>
        <w:instrText xml:space="preserve"> HYPERLINK "http://www.creditchina.gov.cn" </w:instrText>
      </w:r>
      <w:r>
        <w:rPr>
          <w:rFonts w:hint="eastAsia"/>
        </w:rPr>
        <w:fldChar w:fldCharType="separate"/>
      </w:r>
      <w:r>
        <w:rPr>
          <w:rFonts w:hint="eastAsia" w:ascii="宋体" w:hAnsi="宋体"/>
          <w:bCs/>
          <w:color w:val="000000"/>
          <w:sz w:val="24"/>
        </w:rPr>
        <w:t>www.creditchina.gov.cn</w:t>
      </w:r>
      <w:r>
        <w:rPr>
          <w:rFonts w:hint="eastAsia" w:ascii="宋体" w:hAnsi="宋体"/>
          <w:bCs/>
          <w:color w:val="000000"/>
          <w:sz w:val="24"/>
        </w:rPr>
        <w:fldChar w:fldCharType="end"/>
      </w:r>
      <w:r>
        <w:rPr>
          <w:rFonts w:hint="eastAsia" w:ascii="宋体" w:hAnsi="宋体"/>
          <w:bCs/>
          <w:color w:val="000000"/>
          <w:sz w:val="24"/>
        </w:rPr>
        <w:t>）、中国政府采购网(www.ccgp.gov.cn)查询报价供应商在报价截止时间之前，是否被列入失信被执行人、重大税收</w:t>
      </w:r>
      <w:r>
        <w:rPr>
          <w:rFonts w:hint="eastAsia" w:ascii="宋体" w:hAnsi="宋体"/>
          <w:color w:val="000000"/>
          <w:sz w:val="24"/>
          <w:szCs w:val="24"/>
        </w:rPr>
        <w:t>违法案件当事人名单、政府采购严重违法失信行为记录名单，</w:t>
      </w:r>
      <w:r>
        <w:rPr>
          <w:rFonts w:hint="eastAsia" w:ascii="宋体" w:hAnsi="宋体"/>
          <w:bCs/>
          <w:color w:val="000000"/>
          <w:sz w:val="24"/>
        </w:rPr>
        <w:t>以确定报价供应商是否具备报价资格。</w:t>
      </w:r>
    </w:p>
    <w:p>
      <w:pPr>
        <w:numPr>
          <w:ilvl w:val="0"/>
          <w:numId w:val="3"/>
        </w:numPr>
        <w:tabs>
          <w:tab w:val="left" w:pos="210"/>
          <w:tab w:val="left" w:pos="945"/>
          <w:tab w:val="left" w:pos="1365"/>
          <w:tab w:val="clear" w:pos="570"/>
        </w:tabs>
        <w:spacing w:line="360" w:lineRule="auto"/>
        <w:ind w:left="0" w:firstLine="523" w:firstLineChars="218"/>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符合性审查。依据采购文件的规定，从响应文件的有效性、完整性和对采购文件的响应程度进行审查，以确定是否对采购文件的实质性要求作出响应</w:t>
      </w:r>
      <w:r>
        <w:rPr>
          <w:rFonts w:hint="eastAsia" w:ascii="宋体" w:hAnsi="宋体"/>
          <w:bCs/>
          <w:color w:val="000000"/>
          <w:sz w:val="24"/>
        </w:rPr>
        <w:t>。</w:t>
      </w:r>
    </w:p>
    <w:p>
      <w:pPr>
        <w:numPr>
          <w:ilvl w:val="0"/>
          <w:numId w:val="2"/>
        </w:numPr>
        <w:tabs>
          <w:tab w:val="left" w:pos="420"/>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谈判小组可以书面形式（应当由谈判小组专家签字）要求供应商作出必要的澄清、说明或者纠正。供应商的澄清、说明或者补正应当采用书面形式，由其授权的代表签字</w:t>
      </w:r>
      <w:r>
        <w:rPr>
          <w:rFonts w:hint="eastAsia" w:ascii="宋体" w:hAnsi="宋体"/>
          <w:bCs/>
          <w:color w:val="000000"/>
          <w:sz w:val="24"/>
          <w:szCs w:val="24"/>
        </w:rPr>
        <w:t>。</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谈判小组讨论、确定谈判程序和谈判内容。</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hint="eastAsia" w:ascii="宋体" w:hAnsi="宋体"/>
          <w:bCs/>
          <w:color w:val="000000"/>
          <w:sz w:val="24"/>
          <w:szCs w:val="24"/>
        </w:rPr>
        <w:t>谈判小组集中与单一供应商分别进行谈判。谈判轮次由谈判小组视情况决定。</w:t>
      </w:r>
    </w:p>
    <w:p>
      <w:pPr>
        <w:numPr>
          <w:ilvl w:val="0"/>
          <w:numId w:val="2"/>
        </w:numPr>
        <w:tabs>
          <w:tab w:val="left" w:pos="945"/>
          <w:tab w:val="left" w:pos="1155"/>
          <w:tab w:val="clear" w:pos="1104"/>
        </w:tabs>
        <w:spacing w:line="360" w:lineRule="auto"/>
        <w:ind w:left="0" w:firstLine="523" w:firstLineChars="218"/>
        <w:rPr>
          <w:rFonts w:ascii="宋体" w:hAnsi="宋体"/>
          <w:bCs/>
          <w:color w:val="000000"/>
          <w:sz w:val="24"/>
          <w:szCs w:val="24"/>
        </w:rPr>
      </w:pPr>
      <w:r>
        <w:rPr>
          <w:rFonts w:ascii="宋体" w:hAnsi="宋体"/>
          <w:bCs/>
          <w:color w:val="000000"/>
          <w:sz w:val="24"/>
          <w:szCs w:val="24"/>
        </w:rPr>
        <w:t>在谈判过程中，谈判小组可以根据采购文件和谈判情况实质性变动采购需求中的技术、服务要求以及合同草案条款，但不得变动采购文件中的其他内容。对采购文件作出的实质性变动是采购文件的有效组成部分</w:t>
      </w:r>
      <w:r>
        <w:rPr>
          <w:rFonts w:hint="eastAsia" w:ascii="宋体" w:hAnsi="宋体"/>
          <w:bCs/>
          <w:color w:val="000000"/>
          <w:sz w:val="24"/>
          <w:szCs w:val="24"/>
        </w:rPr>
        <w:t>。如有实质性变动，谈判小组将以书面形式通知所有参加谈判的供应商。</w:t>
      </w:r>
      <w:r>
        <w:rPr>
          <w:rFonts w:ascii="宋体" w:hAnsi="宋体"/>
          <w:bCs/>
          <w:color w:val="000000"/>
          <w:sz w:val="24"/>
          <w:szCs w:val="24"/>
        </w:rPr>
        <w:t>供应商应当按照采购文件的变动情况和谈判小组的要求</w:t>
      </w:r>
      <w:r>
        <w:rPr>
          <w:rFonts w:hint="eastAsia" w:ascii="宋体" w:hAnsi="宋体"/>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hint="eastAsia" w:ascii="宋体" w:hAnsi="宋体"/>
          <w:bCs/>
          <w:color w:val="000000"/>
          <w:sz w:val="24"/>
          <w:szCs w:val="24"/>
        </w:rPr>
        <w:t>如有负偏离，将作为无效报价。</w:t>
      </w:r>
    </w:p>
    <w:p>
      <w:pPr>
        <w:numPr>
          <w:ilvl w:val="0"/>
          <w:numId w:val="4"/>
        </w:numPr>
        <w:tabs>
          <w:tab w:val="left" w:pos="840"/>
          <w:tab w:val="left" w:pos="945"/>
        </w:tabs>
        <w:spacing w:line="360" w:lineRule="auto"/>
        <w:ind w:left="570"/>
        <w:rPr>
          <w:rFonts w:ascii="宋体" w:hAnsi="宋体"/>
          <w:bCs/>
          <w:color w:val="000000"/>
          <w:sz w:val="24"/>
        </w:rPr>
      </w:pPr>
      <w:r>
        <w:rPr>
          <w:rFonts w:hint="eastAsia" w:ascii="宋体" w:hAnsi="宋体"/>
          <w:bCs/>
          <w:color w:val="000000"/>
          <w:sz w:val="24"/>
        </w:rPr>
        <w:t xml:space="preserve">成交标准 </w:t>
      </w:r>
    </w:p>
    <w:p>
      <w:pPr>
        <w:tabs>
          <w:tab w:val="left" w:pos="840"/>
          <w:tab w:val="left" w:pos="1050"/>
        </w:tabs>
        <w:spacing w:line="360" w:lineRule="auto"/>
        <w:ind w:left="1" w:firstLine="523" w:firstLineChars="218"/>
        <w:rPr>
          <w:rFonts w:ascii="宋体" w:hAnsi="宋体"/>
          <w:bCs/>
          <w:color w:val="000000"/>
          <w:sz w:val="24"/>
          <w:szCs w:val="24"/>
        </w:rPr>
      </w:pPr>
      <w:r>
        <w:rPr>
          <w:rFonts w:hint="eastAsia" w:ascii="宋体" w:hAnsi="宋体"/>
          <w:bCs/>
          <w:color w:val="000000"/>
          <w:sz w:val="24"/>
          <w:szCs w:val="24"/>
        </w:rPr>
        <w:t>本项目在质量和服务均能满足采购文件实质性响应要求的前提下，以提出最低报价的供应商为成交供应商。如因供应商最终报价相同导致无法确定成交供应商的，则所有参加最终报价的供应商均进行再次报价，直至产生成交供应商。</w:t>
      </w:r>
    </w:p>
    <w:p>
      <w:pPr>
        <w:spacing w:line="360" w:lineRule="auto"/>
        <w:ind w:firstLine="482" w:firstLineChars="200"/>
        <w:rPr>
          <w:b/>
          <w:bCs/>
          <w:sz w:val="24"/>
          <w:szCs w:val="24"/>
        </w:rPr>
      </w:pPr>
      <w:r>
        <w:rPr>
          <w:rFonts w:hint="eastAsia"/>
          <w:b/>
          <w:bCs/>
          <w:sz w:val="24"/>
          <w:szCs w:val="24"/>
        </w:rPr>
        <w:t>九、确定成交供应商</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 谈判小组根据采购文件规定的评审方法和评分标准进行评审，按采购文件的要求依法确定成交供应商。</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2. 采购代理机构</w:t>
      </w:r>
      <w:r>
        <w:rPr>
          <w:rFonts w:hint="eastAsia" w:ascii="宋体" w:hAnsi="宋体"/>
          <w:bCs/>
          <w:color w:val="000000"/>
          <w:sz w:val="24"/>
          <w:szCs w:val="24"/>
        </w:rPr>
        <w:t>将评审结果通知所有参加报价的未成交供应商。</w:t>
      </w:r>
      <w:r>
        <w:rPr>
          <w:rFonts w:hint="eastAsia" w:ascii="宋体" w:hAnsi="宋体"/>
          <w:sz w:val="24"/>
        </w:rPr>
        <w:t>采购代理机构</w:t>
      </w:r>
      <w:r>
        <w:rPr>
          <w:rFonts w:hint="eastAsia" w:ascii="宋体" w:hAnsi="宋体"/>
          <w:bCs/>
          <w:color w:val="000000"/>
          <w:sz w:val="24"/>
          <w:szCs w:val="24"/>
        </w:rPr>
        <w:t>和谈判小组对未成交原因不做解释。</w:t>
      </w:r>
    </w:p>
    <w:p>
      <w:pPr>
        <w:tabs>
          <w:tab w:val="left" w:pos="525"/>
          <w:tab w:val="left" w:pos="552"/>
          <w:tab w:val="left" w:pos="945"/>
        </w:tabs>
        <w:spacing w:line="360" w:lineRule="auto"/>
        <w:ind w:firstLine="480" w:firstLineChars="200"/>
        <w:rPr>
          <w:rFonts w:ascii="宋体" w:hAnsi="宋体"/>
          <w:bCs/>
          <w:color w:val="000000"/>
          <w:sz w:val="24"/>
          <w:szCs w:val="24"/>
        </w:rPr>
      </w:pPr>
      <w:r>
        <w:rPr>
          <w:rFonts w:hint="eastAsia" w:ascii="宋体" w:hAnsi="宋体"/>
          <w:sz w:val="24"/>
        </w:rPr>
        <w:t>3. 采购代理机构</w:t>
      </w:r>
      <w:r>
        <w:rPr>
          <w:rFonts w:hint="eastAsia" w:ascii="宋体" w:hAnsi="宋体"/>
          <w:bCs/>
          <w:color w:val="000000"/>
          <w:sz w:val="24"/>
          <w:szCs w:val="24"/>
        </w:rPr>
        <w:t>向成交供应商发成交通知书。</w:t>
      </w:r>
    </w:p>
    <w:p>
      <w:pPr>
        <w:tabs>
          <w:tab w:val="left" w:pos="552"/>
          <w:tab w:val="left" w:pos="945"/>
        </w:tabs>
        <w:spacing w:line="360" w:lineRule="auto"/>
        <w:ind w:firstLine="480" w:firstLineChars="200"/>
        <w:rPr>
          <w:rFonts w:ascii="宋体" w:hAnsi="宋体"/>
          <w:bCs/>
          <w:color w:val="000000"/>
          <w:sz w:val="24"/>
          <w:szCs w:val="24"/>
        </w:rPr>
      </w:pPr>
      <w:r>
        <w:rPr>
          <w:rFonts w:hint="eastAsia" w:ascii="宋体" w:hAnsi="宋体"/>
          <w:bCs/>
          <w:color w:val="000000" w:themeColor="text1"/>
          <w:sz w:val="24"/>
          <w:szCs w:val="24"/>
          <w14:textFill>
            <w14:solidFill>
              <w14:schemeClr w14:val="tx1"/>
            </w14:solidFill>
          </w14:textFill>
        </w:rPr>
        <w:t>4. 报价供应商提交的纸质响应文件将作为存档依据，不予退回</w:t>
      </w:r>
      <w:r>
        <w:rPr>
          <w:rFonts w:hint="eastAsia" w:ascii="宋体" w:hAnsi="宋体"/>
          <w:bCs/>
          <w:color w:val="000000"/>
          <w:sz w:val="24"/>
          <w:szCs w:val="24"/>
        </w:rPr>
        <w:t>。</w:t>
      </w:r>
    </w:p>
    <w:p>
      <w:pPr>
        <w:spacing w:line="360" w:lineRule="auto"/>
        <w:ind w:firstLine="482" w:firstLineChars="200"/>
        <w:rPr>
          <w:b/>
          <w:bCs/>
          <w:sz w:val="24"/>
          <w:szCs w:val="24"/>
        </w:rPr>
      </w:pPr>
      <w:r>
        <w:rPr>
          <w:rFonts w:hint="eastAsia"/>
          <w:b/>
          <w:bCs/>
          <w:sz w:val="24"/>
          <w:szCs w:val="24"/>
        </w:rPr>
        <w:t>十、采购终止</w:t>
      </w:r>
    </w:p>
    <w:p>
      <w:pPr>
        <w:spacing w:line="360" w:lineRule="auto"/>
        <w:ind w:firstLine="523" w:firstLineChars="218"/>
        <w:rPr>
          <w:rFonts w:ascii="宋体" w:hAnsi="宋体"/>
          <w:bCs/>
          <w:color w:val="000000"/>
          <w:sz w:val="24"/>
          <w:szCs w:val="24"/>
        </w:rPr>
      </w:pPr>
      <w:r>
        <w:rPr>
          <w:rFonts w:hint="eastAsia" w:ascii="宋体" w:hAnsi="宋体"/>
          <w:bCs/>
          <w:color w:val="000000"/>
          <w:sz w:val="24"/>
          <w:szCs w:val="24"/>
        </w:rPr>
        <w:t>在竞争性谈判采购中，出现下列情况之一的，本次采购活动终止：</w:t>
      </w:r>
    </w:p>
    <w:p>
      <w:pPr>
        <w:tabs>
          <w:tab w:val="right" w:pos="180"/>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1. </w:t>
      </w:r>
      <w:r>
        <w:rPr>
          <w:rFonts w:ascii="宋体" w:hAnsi="宋体"/>
          <w:bCs/>
          <w:color w:val="000000"/>
          <w:sz w:val="24"/>
          <w:szCs w:val="24"/>
        </w:rPr>
        <w:t>因情况变化，不再符合规定的竞争性谈判采购方式适用情形的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2. </w:t>
      </w:r>
      <w:r>
        <w:rPr>
          <w:rFonts w:ascii="宋体" w:hAnsi="宋体"/>
          <w:bCs/>
          <w:color w:val="000000"/>
          <w:sz w:val="24"/>
          <w:szCs w:val="24"/>
        </w:rPr>
        <w:t>出现影响采购公正的违法、违规行为的</w:t>
      </w:r>
      <w:r>
        <w:rPr>
          <w:rFonts w:hint="eastAsia" w:ascii="宋体" w:hAnsi="宋体"/>
          <w:bCs/>
          <w:color w:val="000000"/>
          <w:sz w:val="24"/>
          <w:szCs w:val="24"/>
        </w:rPr>
        <w:t>；</w:t>
      </w:r>
    </w:p>
    <w:p>
      <w:pPr>
        <w:tabs>
          <w:tab w:val="left" w:pos="570"/>
          <w:tab w:val="left" w:pos="94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 xml:space="preserve">3. </w:t>
      </w:r>
      <w:r>
        <w:rPr>
          <w:rFonts w:ascii="宋体" w:hAnsi="宋体"/>
          <w:bCs/>
          <w:color w:val="000000"/>
          <w:sz w:val="24"/>
          <w:szCs w:val="24"/>
        </w:rPr>
        <w:t>在采购过程中符合竞争要求的供应商或者报价未超过采购预算的供应商数量</w:t>
      </w:r>
      <w:r>
        <w:rPr>
          <w:rFonts w:hint="eastAsia" w:ascii="宋体" w:hAnsi="宋体"/>
          <w:bCs/>
          <w:color w:val="000000"/>
          <w:sz w:val="24"/>
          <w:szCs w:val="24"/>
        </w:rPr>
        <w:t xml:space="preserve"> 不符合法律法规要求的</w:t>
      </w:r>
      <w:r>
        <w:rPr>
          <w:rFonts w:ascii="宋体" w:hAnsi="宋体"/>
          <w:bCs/>
          <w:color w:val="000000"/>
          <w:sz w:val="24"/>
          <w:szCs w:val="24"/>
        </w:rPr>
        <w:t>，但</w:t>
      </w:r>
      <w:r>
        <w:rPr>
          <w:rFonts w:hint="eastAsia" w:ascii="宋体" w:hAnsi="宋体"/>
          <w:bCs/>
          <w:color w:val="000000"/>
          <w:sz w:val="24"/>
          <w:szCs w:val="24"/>
        </w:rPr>
        <w:t>《</w:t>
      </w:r>
      <w:r>
        <w:rPr>
          <w:rFonts w:ascii="宋体" w:hAnsi="宋体"/>
          <w:bCs/>
          <w:color w:val="000000"/>
          <w:sz w:val="24"/>
          <w:szCs w:val="24"/>
        </w:rPr>
        <w:t>政府采购非招标采购方式管理办法</w:t>
      </w:r>
      <w:r>
        <w:rPr>
          <w:rFonts w:hint="eastAsia" w:ascii="宋体" w:hAnsi="宋体"/>
          <w:bCs/>
          <w:color w:val="000000"/>
          <w:sz w:val="24"/>
          <w:szCs w:val="24"/>
        </w:rPr>
        <w:t>》</w:t>
      </w:r>
      <w:r>
        <w:rPr>
          <w:rFonts w:ascii="宋体" w:hAnsi="宋体"/>
          <w:bCs/>
          <w:color w:val="000000"/>
          <w:sz w:val="24"/>
          <w:szCs w:val="24"/>
        </w:rPr>
        <w:t>第二十七条第二款规定的情形除外。</w:t>
      </w:r>
    </w:p>
    <w:p>
      <w:pPr>
        <w:spacing w:line="360" w:lineRule="auto"/>
        <w:ind w:firstLine="482" w:firstLineChars="200"/>
        <w:rPr>
          <w:b/>
          <w:bCs/>
          <w:sz w:val="24"/>
          <w:szCs w:val="24"/>
        </w:rPr>
      </w:pPr>
      <w:r>
        <w:rPr>
          <w:rFonts w:hint="eastAsia"/>
          <w:b/>
          <w:bCs/>
          <w:sz w:val="24"/>
          <w:szCs w:val="24"/>
        </w:rPr>
        <w:t>十一、签订、履行合同</w:t>
      </w:r>
    </w:p>
    <w:p>
      <w:pPr>
        <w:tabs>
          <w:tab w:val="left" w:pos="525"/>
          <w:tab w:val="left" w:pos="552"/>
          <w:tab w:val="left" w:pos="945"/>
          <w:tab w:val="left" w:pos="1050"/>
        </w:tabs>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szCs w:val="24"/>
        </w:rPr>
        <w:t>1. 采购人应当自成交通知书发出之日起三十日内，按照采购文件和成交供应商响应文件的约定，与成交供应商签订书面合同。所</w:t>
      </w:r>
      <w:r>
        <w:rPr>
          <w:rFonts w:hint="eastAsia" w:ascii="宋体" w:hAnsi="宋体"/>
          <w:bCs/>
          <w:color w:val="000000" w:themeColor="text1"/>
          <w:sz w:val="24"/>
          <w:szCs w:val="24"/>
          <w14:textFill>
            <w14:solidFill>
              <w14:schemeClr w14:val="tx1"/>
            </w14:solidFill>
          </w14:textFill>
        </w:rPr>
        <w:t>签订的合同不得对采购文件和</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供应商响应文件作实质性修改。采购人不得向</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供应商提出任何不合理的要求，作为签订合同的条件，不得与</w:t>
      </w:r>
      <w:r>
        <w:rPr>
          <w:rFonts w:hint="eastAsia" w:ascii="宋体" w:hAnsi="宋体"/>
          <w:bCs/>
          <w:sz w:val="24"/>
          <w:szCs w:val="24"/>
        </w:rPr>
        <w:t>成交</w:t>
      </w:r>
      <w:r>
        <w:rPr>
          <w:rFonts w:hint="eastAsia" w:ascii="宋体" w:hAnsi="宋体"/>
          <w:bCs/>
          <w:color w:val="000000" w:themeColor="text1"/>
          <w:sz w:val="24"/>
          <w:szCs w:val="24"/>
          <w14:textFill>
            <w14:solidFill>
              <w14:schemeClr w14:val="tx1"/>
            </w14:solidFill>
          </w14:textFill>
        </w:rPr>
        <w:t>供应商私下订立背离合同实质性内容的协议。合同须在常州中采招投标有限公司备案。</w:t>
      </w:r>
    </w:p>
    <w:p>
      <w:pPr>
        <w:tabs>
          <w:tab w:val="left" w:pos="525"/>
          <w:tab w:val="left" w:pos="552"/>
          <w:tab w:val="left" w:pos="945"/>
          <w:tab w:val="left" w:pos="1050"/>
        </w:tabs>
        <w:spacing w:line="360" w:lineRule="auto"/>
        <w:ind w:firstLine="480" w:firstLineChars="200"/>
        <w:rPr>
          <w:rFonts w:ascii="宋体"/>
          <w:bCs/>
          <w:sz w:val="24"/>
          <w:szCs w:val="24"/>
        </w:rPr>
      </w:pPr>
      <w:r>
        <w:rPr>
          <w:rFonts w:hint="eastAsia" w:ascii="宋体" w:hAnsi="宋体"/>
          <w:bCs/>
          <w:sz w:val="24"/>
          <w:szCs w:val="24"/>
        </w:rPr>
        <w:t>2. 成交供应商</w:t>
      </w:r>
      <w:r>
        <w:rPr>
          <w:rFonts w:hint="eastAsia" w:ascii="宋体" w:hAnsi="宋体"/>
          <w:bCs/>
          <w:color w:val="000000" w:themeColor="text1"/>
          <w:sz w:val="24"/>
          <w:szCs w:val="24"/>
          <w14:textFill>
            <w14:solidFill>
              <w14:schemeClr w14:val="tx1"/>
            </w14:solidFill>
          </w14:textFill>
        </w:rPr>
        <w:t>非因不可抗力未履行采购文件、响应文件和合同规定的义务，一经查实，</w:t>
      </w:r>
      <w:r>
        <w:rPr>
          <w:rFonts w:hint="eastAsia" w:ascii="宋体" w:hAnsi="宋体"/>
          <w:sz w:val="24"/>
        </w:rPr>
        <w:t>采购代理机构</w:t>
      </w:r>
      <w:r>
        <w:rPr>
          <w:rFonts w:hint="eastAsia" w:ascii="宋体" w:hAnsi="宋体"/>
          <w:bCs/>
          <w:color w:val="000000" w:themeColor="text1"/>
          <w:sz w:val="24"/>
          <w:szCs w:val="24"/>
          <w14:textFill>
            <w14:solidFill>
              <w14:schemeClr w14:val="tx1"/>
            </w14:solidFill>
          </w14:textFill>
        </w:rPr>
        <w:t>将根据具体情况提</w:t>
      </w:r>
      <w:r>
        <w:rPr>
          <w:rFonts w:hint="eastAsia" w:ascii="宋体" w:hAnsi="宋体"/>
          <w:bCs/>
          <w:sz w:val="24"/>
          <w:szCs w:val="24"/>
        </w:rPr>
        <w:t>请采购管理部门作出相应处理。</w:t>
      </w:r>
    </w:p>
    <w:p>
      <w:pPr>
        <w:tabs>
          <w:tab w:val="left" w:pos="525"/>
          <w:tab w:val="left" w:pos="552"/>
          <w:tab w:val="left" w:pos="945"/>
          <w:tab w:val="left" w:pos="1050"/>
        </w:tabs>
        <w:spacing w:line="360" w:lineRule="auto"/>
        <w:ind w:firstLine="480" w:firstLineChars="200"/>
        <w:rPr>
          <w:rFonts w:ascii="宋体" w:hAnsi="宋体"/>
          <w:bCs/>
          <w:sz w:val="24"/>
        </w:rPr>
      </w:pPr>
      <w:r>
        <w:rPr>
          <w:rFonts w:hint="eastAsia" w:ascii="宋体" w:hAnsi="宋体"/>
          <w:bCs/>
          <w:sz w:val="24"/>
          <w:szCs w:val="24"/>
        </w:rPr>
        <w:t>3. 成交供应商向采购人缴纳的履约保证金不超过采购合同金额的</w:t>
      </w:r>
      <w:r>
        <w:rPr>
          <w:rFonts w:ascii="宋体" w:hAnsi="宋体"/>
          <w:bCs/>
          <w:sz w:val="24"/>
          <w:szCs w:val="24"/>
        </w:rPr>
        <w:t>10%</w:t>
      </w:r>
      <w:r>
        <w:rPr>
          <w:rFonts w:hint="eastAsia" w:ascii="宋体" w:hAnsi="宋体"/>
          <w:bCs/>
          <w:sz w:val="24"/>
          <w:szCs w:val="24"/>
        </w:rPr>
        <w:t>。收取履约保证金的，成交供应商须自成交通知书发出之日起十日内向采购人交纳履约保证金。采购人应当与成交供应商在采购合同中约定履约保证金退还的方式、时间、条件和不予退还的情形，明确逾期退还履约保证金的违约责任。履约保证金在项目验收合格后并按相关规定扣除处罚款后退还，不计利息。</w:t>
      </w:r>
    </w:p>
    <w:p>
      <w:pPr>
        <w:tabs>
          <w:tab w:val="left" w:pos="525"/>
          <w:tab w:val="left" w:pos="552"/>
          <w:tab w:val="left" w:pos="945"/>
          <w:tab w:val="left" w:pos="1050"/>
        </w:tabs>
        <w:spacing w:line="360" w:lineRule="auto"/>
        <w:ind w:firstLine="482" w:firstLineChars="200"/>
        <w:rPr>
          <w:b/>
          <w:bCs/>
          <w:sz w:val="24"/>
          <w:szCs w:val="24"/>
        </w:rPr>
      </w:pPr>
      <w:r>
        <w:rPr>
          <w:rFonts w:hint="eastAsia"/>
          <w:b/>
          <w:bCs/>
          <w:sz w:val="24"/>
          <w:szCs w:val="24"/>
        </w:rPr>
        <w:t>十二、注意事项</w:t>
      </w:r>
    </w:p>
    <w:p>
      <w:pPr>
        <w:tabs>
          <w:tab w:val="left" w:pos="945"/>
          <w:tab w:val="left" w:pos="1050"/>
        </w:tabs>
        <w:spacing w:line="360" w:lineRule="auto"/>
        <w:ind w:firstLine="480" w:firstLineChars="200"/>
        <w:rPr>
          <w:rFonts w:ascii="宋体" w:hAnsi="宋体"/>
          <w:color w:val="000000"/>
          <w:sz w:val="24"/>
          <w:szCs w:val="24"/>
        </w:rPr>
      </w:pPr>
      <w:r>
        <w:rPr>
          <w:rFonts w:hint="eastAsia" w:ascii="宋体" w:hAnsi="宋体"/>
          <w:bCs/>
          <w:color w:val="000000"/>
          <w:sz w:val="24"/>
          <w:szCs w:val="24"/>
        </w:rPr>
        <w:t>成交供应商有下列情形之一的，</w:t>
      </w:r>
      <w:r>
        <w:rPr>
          <w:rFonts w:hint="eastAsia" w:ascii="宋体" w:hAnsi="宋体"/>
          <w:color w:val="000000"/>
          <w:sz w:val="24"/>
          <w:szCs w:val="24"/>
        </w:rPr>
        <w:t>必须</w:t>
      </w:r>
      <w:r>
        <w:rPr>
          <w:rFonts w:ascii="宋体" w:hAnsi="宋体"/>
          <w:color w:val="000000"/>
          <w:sz w:val="24"/>
          <w:szCs w:val="24"/>
        </w:rPr>
        <w:t>限期改正，情节严重的，列入不良行为记录名单，在1至3年内禁止参加采购活动，并予以通报：</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1. </w:t>
      </w:r>
      <w:r>
        <w:rPr>
          <w:rFonts w:ascii="宋体" w:hAnsi="宋体"/>
          <w:color w:val="000000"/>
          <w:sz w:val="24"/>
          <w:szCs w:val="24"/>
        </w:rPr>
        <w:t>未按照采购文件确定的事项签订采购合同，或者与采购人另行订立背离合同实质性内容的协议的；</w:t>
      </w:r>
    </w:p>
    <w:p>
      <w:pPr>
        <w:tabs>
          <w:tab w:val="left" w:pos="315"/>
          <w:tab w:val="left" w:pos="735"/>
          <w:tab w:val="left" w:pos="1155"/>
        </w:tabs>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2. </w:t>
      </w:r>
      <w:r>
        <w:rPr>
          <w:rFonts w:ascii="宋体" w:hAnsi="宋体"/>
          <w:color w:val="000000"/>
          <w:sz w:val="24"/>
          <w:szCs w:val="24"/>
        </w:rPr>
        <w:t>成交后无正当理由不与采购人签订合同的；</w:t>
      </w:r>
    </w:p>
    <w:p>
      <w:pPr>
        <w:tabs>
          <w:tab w:val="left" w:pos="315"/>
          <w:tab w:val="left" w:pos="73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 拒绝履行合同义务的。</w:t>
      </w:r>
    </w:p>
    <w:p>
      <w:pPr>
        <w:spacing w:line="360" w:lineRule="auto"/>
        <w:ind w:firstLine="482" w:firstLineChars="200"/>
        <w:rPr>
          <w:b/>
          <w:bCs/>
          <w:sz w:val="24"/>
          <w:szCs w:val="24"/>
        </w:rPr>
      </w:pPr>
      <w:r>
        <w:rPr>
          <w:rFonts w:hint="eastAsia"/>
          <w:b/>
          <w:bCs/>
          <w:sz w:val="24"/>
          <w:szCs w:val="24"/>
        </w:rPr>
        <w:t>十三、成交服务费</w:t>
      </w:r>
    </w:p>
    <w:p>
      <w:pPr>
        <w:pStyle w:val="109"/>
        <w:numPr>
          <w:ilvl w:val="0"/>
          <w:numId w:val="5"/>
        </w:numPr>
        <w:tabs>
          <w:tab w:val="left" w:pos="510"/>
          <w:tab w:val="left" w:pos="735"/>
          <w:tab w:val="left" w:pos="945"/>
          <w:tab w:val="left" w:pos="1129"/>
          <w:tab w:val="left" w:pos="1155"/>
        </w:tabs>
        <w:spacing w:line="360" w:lineRule="auto"/>
        <w:ind w:firstLineChars="0"/>
        <w:rPr>
          <w:rFonts w:ascii="宋体" w:hAnsi="宋体"/>
          <w:bCs/>
          <w:sz w:val="24"/>
          <w:szCs w:val="24"/>
        </w:rPr>
      </w:pPr>
      <w:r>
        <w:rPr>
          <w:rFonts w:hint="eastAsia" w:ascii="宋体" w:hAnsi="宋体"/>
          <w:bCs/>
          <w:sz w:val="24"/>
          <w:szCs w:val="24"/>
        </w:rPr>
        <w:t>采购代理服务费收费标准为：</w:t>
      </w:r>
    </w:p>
    <w:tbl>
      <w:tblPr>
        <w:tblStyle w:val="31"/>
        <w:tblW w:w="4425" w:type="dxa"/>
        <w:jc w:val="center"/>
        <w:tblLayout w:type="fixed"/>
        <w:tblCellMar>
          <w:top w:w="15" w:type="dxa"/>
          <w:left w:w="15" w:type="dxa"/>
          <w:bottom w:w="15" w:type="dxa"/>
          <w:right w:w="15" w:type="dxa"/>
        </w:tblCellMar>
      </w:tblPr>
      <w:tblGrid>
        <w:gridCol w:w="2580"/>
        <w:gridCol w:w="1845"/>
      </w:tblGrid>
      <w:tr>
        <w:tblPrEx>
          <w:tblCellMar>
            <w:top w:w="15" w:type="dxa"/>
            <w:left w:w="15" w:type="dxa"/>
            <w:bottom w:w="15" w:type="dxa"/>
            <w:right w:w="15" w:type="dxa"/>
          </w:tblCellMar>
        </w:tblPrEx>
        <w:trPr>
          <w:trHeight w:val="1134" w:hRule="atLeast"/>
          <w:jc w:val="center"/>
        </w:trPr>
        <w:tc>
          <w:tcPr>
            <w:tcW w:w="2580" w:type="dxa"/>
            <w:vMerge w:val="restart"/>
            <w:tcBorders>
              <w:top w:val="single" w:color="000000" w:sz="4" w:space="0"/>
              <w:left w:val="single" w:color="000000" w:sz="4" w:space="0"/>
              <w:bottom w:val="single" w:color="000000" w:sz="4" w:space="0"/>
              <w:right w:val="single" w:color="000000" w:sz="4" w:space="0"/>
              <w:tl2br w:val="single" w:color="auto" w:sz="4" w:space="0"/>
            </w:tcBorders>
            <w:shd w:val="clear" w:color="auto" w:fill="auto"/>
          </w:tcPr>
          <w:p>
            <w:pPr>
              <w:widowControl/>
              <w:snapToGrid w:val="0"/>
              <w:jc w:val="right"/>
              <w:textAlignment w:val="top"/>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中标金额（万元）</w:t>
            </w:r>
          </w:p>
          <w:p>
            <w:pPr>
              <w:widowControl/>
              <w:ind w:firstLine="960" w:firstLineChars="400"/>
              <w:jc w:val="left"/>
              <w:textAlignment w:val="top"/>
              <w:rPr>
                <w:rFonts w:ascii="宋体" w:hAnsi="宋体" w:eastAsia="宋体" w:cs="宋体"/>
                <w:color w:val="000000"/>
                <w:sz w:val="24"/>
                <w:szCs w:val="24"/>
              </w:rPr>
            </w:pPr>
          </w:p>
          <w:p>
            <w:pPr>
              <w:widowControl/>
              <w:snapToGrid w:val="0"/>
              <w:jc w:val="left"/>
              <w:textAlignment w:val="top"/>
              <w:rPr>
                <w:rFonts w:ascii="宋体" w:hAnsi="宋体" w:eastAsia="宋体" w:cs="宋体"/>
                <w:color w:val="000000"/>
                <w:sz w:val="24"/>
                <w:szCs w:val="24"/>
              </w:rPr>
            </w:pPr>
            <w:r>
              <w:rPr>
                <w:rFonts w:hint="eastAsia" w:ascii="宋体" w:hAnsi="宋体" w:eastAsia="宋体" w:cs="宋体"/>
                <w:color w:val="000000"/>
                <w:sz w:val="24"/>
                <w:szCs w:val="24"/>
              </w:rPr>
              <w:t>费率</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服务</w:t>
            </w:r>
          </w:p>
        </w:tc>
      </w:tr>
      <w:tr>
        <w:tblPrEx>
          <w:tblCellMar>
            <w:top w:w="15" w:type="dxa"/>
            <w:left w:w="15" w:type="dxa"/>
            <w:bottom w:w="15" w:type="dxa"/>
            <w:right w:w="15" w:type="dxa"/>
          </w:tblCellMar>
        </w:tblPrEx>
        <w:trPr>
          <w:trHeight w:val="312" w:hRule="atLeast"/>
          <w:jc w:val="center"/>
        </w:trPr>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 w:val="24"/>
                <w:szCs w:val="24"/>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15" w:type="dxa"/>
            <w:left w:w="15" w:type="dxa"/>
            <w:bottom w:w="15" w:type="dxa"/>
            <w:right w:w="15" w:type="dxa"/>
          </w:tblCellMar>
        </w:tblPrEx>
        <w:trPr>
          <w:trHeight w:val="495"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100以下</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w:t>
            </w:r>
          </w:p>
        </w:tc>
      </w:tr>
      <w:tr>
        <w:tblPrEx>
          <w:tblCellMar>
            <w:top w:w="15" w:type="dxa"/>
            <w:left w:w="15" w:type="dxa"/>
            <w:bottom w:w="15" w:type="dxa"/>
            <w:right w:w="15" w:type="dxa"/>
          </w:tblCellMar>
        </w:tblPrEx>
        <w:trPr>
          <w:trHeight w:val="495"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100-500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0.80%</w:t>
            </w:r>
          </w:p>
        </w:tc>
      </w:tr>
    </w:tbl>
    <w:p>
      <w:pPr>
        <w:tabs>
          <w:tab w:val="left" w:pos="510"/>
          <w:tab w:val="left" w:pos="735"/>
          <w:tab w:val="left" w:pos="945"/>
          <w:tab w:val="left" w:pos="1155"/>
        </w:tabs>
        <w:spacing w:line="360" w:lineRule="auto"/>
        <w:rPr>
          <w:rFonts w:ascii="宋体" w:hAnsi="宋体" w:eastAsia="宋体"/>
          <w:bCs/>
          <w:sz w:val="24"/>
          <w:szCs w:val="24"/>
        </w:rPr>
      </w:pPr>
      <w:r>
        <w:rPr>
          <w:rFonts w:hint="eastAsia" w:ascii="宋体" w:hAnsi="宋体"/>
          <w:b/>
          <w:bCs/>
          <w:sz w:val="24"/>
          <w:lang w:val="en-US" w:eastAsia="zh-CN"/>
        </w:rPr>
        <w:tab/>
      </w:r>
      <w:r>
        <w:rPr>
          <w:rFonts w:hint="eastAsia" w:ascii="宋体" w:hAnsi="宋体"/>
          <w:b/>
          <w:bCs/>
          <w:sz w:val="24"/>
        </w:rPr>
        <w:t>备注：</w:t>
      </w:r>
      <w:r>
        <w:rPr>
          <w:rFonts w:hint="eastAsia" w:ascii="宋体" w:hAnsi="宋体" w:eastAsia="宋体"/>
          <w:sz w:val="24"/>
        </w:rPr>
        <w:t>收费比例按差额定率累进法计算</w:t>
      </w:r>
      <w:r>
        <w:rPr>
          <w:rFonts w:hint="eastAsia" w:ascii="宋体" w:hAnsi="宋体" w:eastAsia="宋体"/>
          <w:b/>
          <w:bCs/>
          <w:sz w:val="24"/>
        </w:rPr>
        <w:t>，</w:t>
      </w:r>
      <w:r>
        <w:rPr>
          <w:rFonts w:hint="eastAsia" w:ascii="宋体" w:hAnsi="宋体" w:eastAsia="宋体"/>
          <w:sz w:val="24"/>
        </w:rPr>
        <w:t>采购</w:t>
      </w:r>
      <w:r>
        <w:rPr>
          <w:rFonts w:ascii="宋体" w:hAnsi="宋体" w:eastAsia="宋体"/>
          <w:sz w:val="24"/>
        </w:rPr>
        <w:t>代理服务</w:t>
      </w:r>
      <w:r>
        <w:rPr>
          <w:rFonts w:hint="eastAsia" w:ascii="宋体" w:hAnsi="宋体" w:eastAsia="宋体"/>
          <w:sz w:val="24"/>
        </w:rPr>
        <w:t>费</w:t>
      </w:r>
      <w:r>
        <w:rPr>
          <w:rFonts w:ascii="宋体" w:hAnsi="宋体" w:eastAsia="宋体"/>
          <w:sz w:val="24"/>
        </w:rPr>
        <w:t>收费按上述计算方法不足人民币3000元的，按人民币3000元收取</w:t>
      </w:r>
      <w:r>
        <w:rPr>
          <w:rFonts w:hint="eastAsia" w:ascii="宋体" w:hAnsi="宋体" w:eastAsia="宋体"/>
          <w:sz w:val="24"/>
        </w:rPr>
        <w:t>。</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2. 成交供应商领取成交通知书时须向常州中采招投标有限公司缴纳采购代理服务费。</w:t>
      </w:r>
    </w:p>
    <w:p>
      <w:pPr>
        <w:tabs>
          <w:tab w:val="left" w:pos="510"/>
          <w:tab w:val="left" w:pos="735"/>
          <w:tab w:val="left" w:pos="945"/>
          <w:tab w:val="left" w:pos="1129"/>
          <w:tab w:val="left" w:pos="1155"/>
        </w:tabs>
        <w:spacing w:line="360" w:lineRule="auto"/>
        <w:ind w:firstLine="480" w:firstLineChars="200"/>
        <w:rPr>
          <w:rFonts w:ascii="宋体" w:hAnsi="宋体"/>
          <w:bCs/>
          <w:sz w:val="24"/>
          <w:szCs w:val="24"/>
        </w:rPr>
      </w:pPr>
      <w:r>
        <w:rPr>
          <w:rFonts w:hint="eastAsia" w:ascii="宋体" w:hAnsi="宋体"/>
          <w:bCs/>
          <w:sz w:val="24"/>
          <w:szCs w:val="24"/>
        </w:rPr>
        <w:t>3. 公司账户信息</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单位名称：常州中采招投标有限公司</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账  号：32050162970100001741</w:t>
      </w:r>
    </w:p>
    <w:p>
      <w:pPr>
        <w:tabs>
          <w:tab w:val="left" w:pos="510"/>
          <w:tab w:val="left" w:pos="735"/>
          <w:tab w:val="left" w:pos="945"/>
          <w:tab w:val="left" w:pos="1129"/>
          <w:tab w:val="left" w:pos="1155"/>
        </w:tabs>
        <w:spacing w:line="360" w:lineRule="auto"/>
        <w:ind w:firstLine="960" w:firstLineChars="400"/>
        <w:rPr>
          <w:rFonts w:ascii="宋体" w:hAnsi="宋体"/>
          <w:bCs/>
          <w:sz w:val="24"/>
          <w:szCs w:val="24"/>
        </w:rPr>
      </w:pPr>
      <w:r>
        <w:rPr>
          <w:rFonts w:hint="eastAsia" w:ascii="宋体" w:hAnsi="宋体"/>
          <w:bCs/>
          <w:sz w:val="24"/>
          <w:szCs w:val="24"/>
        </w:rPr>
        <w:t>开户行：建行常州惠民支行</w:t>
      </w:r>
    </w:p>
    <w:p>
      <w:pPr>
        <w:widowControl/>
        <w:spacing w:line="360" w:lineRule="auto"/>
        <w:ind w:firstLine="480" w:firstLineChars="200"/>
        <w:jc w:val="left"/>
        <w:rPr>
          <w:rFonts w:ascii="宋体" w:hAnsi="宋体"/>
          <w:bCs/>
          <w:sz w:val="24"/>
          <w:szCs w:val="24"/>
        </w:rPr>
      </w:pPr>
      <w:r>
        <w:rPr>
          <w:rFonts w:ascii="宋体" w:hAnsi="宋体"/>
          <w:bCs/>
          <w:sz w:val="24"/>
          <w:szCs w:val="24"/>
        </w:rPr>
        <w:br w:type="page"/>
      </w:r>
    </w:p>
    <w:p>
      <w:pPr>
        <w:pStyle w:val="121"/>
      </w:pPr>
      <w:bookmarkStart w:id="44" w:name="_Toc55147047"/>
      <w:bookmarkStart w:id="45" w:name="_Toc17895"/>
      <w:r>
        <w:rPr>
          <w:rFonts w:hint="eastAsia"/>
        </w:rPr>
        <w:t>三．</w:t>
      </w:r>
      <w:bookmarkEnd w:id="44"/>
      <w:r>
        <w:rPr>
          <w:rFonts w:hint="eastAsia"/>
        </w:rPr>
        <w:t>项目技术要求和有关说明</w:t>
      </w:r>
      <w:bookmarkEnd w:id="45"/>
    </w:p>
    <w:p>
      <w:pPr>
        <w:spacing w:line="360" w:lineRule="auto"/>
        <w:rPr>
          <w:rFonts w:asciiTheme="minorEastAsia" w:hAnsiTheme="minorEastAsia" w:cstheme="minorEastAsia"/>
          <w:b/>
          <w:color w:val="000000" w:themeColor="text1"/>
          <w:sz w:val="24"/>
          <w:szCs w:val="24"/>
          <w14:textFill>
            <w14:solidFill>
              <w14:schemeClr w14:val="tx1"/>
            </w14:solidFill>
          </w14:textFill>
        </w:rPr>
      </w:pPr>
      <w:r>
        <w:rPr>
          <w:rFonts w:hint="eastAsia" w:asciiTheme="minorEastAsia" w:hAnsiTheme="minorEastAsia" w:cstheme="minorEastAsia"/>
          <w:b/>
          <w:color w:val="000000" w:themeColor="text1"/>
          <w:sz w:val="24"/>
          <w:szCs w:val="24"/>
          <w14:textFill>
            <w14:solidFill>
              <w14:schemeClr w14:val="tx1"/>
            </w14:solidFill>
          </w14:textFill>
        </w:rPr>
        <w:t>一、项目概况</w:t>
      </w:r>
    </w:p>
    <w:p>
      <w:pPr>
        <w:spacing w:line="360" w:lineRule="auto"/>
        <w:ind w:right="90"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本项目为</w:t>
      </w:r>
      <w:r>
        <w:rPr>
          <w:rFonts w:hint="eastAsia" w:asciiTheme="minorEastAsia" w:hAnsiTheme="minorEastAsia" w:cstheme="minorEastAsia"/>
          <w:bCs/>
          <w:sz w:val="24"/>
          <w:szCs w:val="24"/>
        </w:rPr>
        <w:t>常州市勤业中学文印服务外包项目</w:t>
      </w:r>
      <w:r>
        <w:rPr>
          <w:rFonts w:hint="eastAsia" w:asciiTheme="minorEastAsia" w:hAnsiTheme="minorEastAsia" w:cstheme="minorEastAsia"/>
          <w:bCs/>
          <w:sz w:val="24"/>
          <w:szCs w:val="24"/>
          <w:lang w:eastAsia="zh-CN"/>
        </w:rPr>
        <w:t>。</w:t>
      </w:r>
      <w:r>
        <w:rPr>
          <w:rFonts w:hint="eastAsia" w:asciiTheme="minorEastAsia" w:hAnsiTheme="minorEastAsia" w:cstheme="minorEastAsia"/>
          <w:bCs/>
          <w:sz w:val="24"/>
          <w:szCs w:val="24"/>
          <w:lang w:val="en-US" w:eastAsia="zh-CN"/>
        </w:rPr>
        <w:t>随着信息技术的发展，为进一步学校提高文印输出服务质量水平及服务时效，同时为了更好的运用大数据技术实现精准教与个性学，提高教与学质量，更好地服务广大师生，适度降低成本、简化维修等流程，有效提高后勤服务的工作效率及信息化管理水平。现就学校教学诊断及油印复印服务外包，由专业公司驻校提供专业的服务。</w:t>
      </w:r>
    </w:p>
    <w:p>
      <w:pPr>
        <w:spacing w:line="360" w:lineRule="auto"/>
        <w:ind w:right="90" w:firstLine="480" w:firstLineChars="20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文印服务含复印油印及教学大数据采集，其中复印油印服务内容有文档黑白、彩色打印复印扫描，练习卷、试卷印刷、分卷、排版、各类证书的打印及文件的基础装钉等；教学诊断服务内容有对全校学生、全学科、各类形式（题卡合一、题卡分离、先批后扫、先扫后批、AI批阅）数据（日常作业、周练、大型考试）等进行采集、精准分析、自动归纳和形成校级、班级、学生个人学习空间和个性化错题；针对大型考试生成个性化的自选的学情报告；并确保数据完整性、连续性。</w:t>
      </w:r>
    </w:p>
    <w:p>
      <w:pPr>
        <w:numPr>
          <w:ilvl w:val="0"/>
          <w:numId w:val="6"/>
        </w:num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采购明细</w:t>
      </w:r>
    </w:p>
    <w:tbl>
      <w:tblPr>
        <w:tblStyle w:val="31"/>
        <w:tblW w:w="8990"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75"/>
        <w:gridCol w:w="3588"/>
        <w:gridCol w:w="434"/>
        <w:gridCol w:w="1565"/>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类别</w:t>
            </w:r>
          </w:p>
        </w:tc>
        <w:tc>
          <w:tcPr>
            <w:tcW w:w="358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内容</w:t>
            </w:r>
          </w:p>
        </w:tc>
        <w:tc>
          <w:tcPr>
            <w:tcW w:w="43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5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w:t>
            </w:r>
          </w:p>
        </w:tc>
        <w:tc>
          <w:tcPr>
            <w:tcW w:w="134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358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43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34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油印</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一体机专用纸60g16K（单面）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一体机专用纸60g16K（双面）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一体机专用纸60g8K（单面）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一体机专用纸60g8K（双面）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320000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复印/打印</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全木浆复印纸70g16K（单面）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全木浆复印纸70g16K（双面）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全木浆复印纸70g8K（单面）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全木浆复印纸70g8K（双面）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全木浆复印纸70gA3（单面）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全木浆复印纸70gA3（双面）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彩色复印/打印</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全木浆复印纸70gA4（单面）</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教学诊断服务</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条形码（用于数据采集信息识别）</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扫描（包含提供扫描仪、平台、数据采集、答题卡制作、扫描及数据分析）</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学生个性考后刊（含学情分析、共性个性错题、优生专属训练题解析等模块，其中错题部分均包含原题及举一反三的变式训练题）及电子版个性化错题</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老师班级考后刊（含学情分析、班级共性错题等模块，其中错题部分均包含原题及举一反三的变式训练题）及电子版班级共性错题</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86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348"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67.23</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pPr>
      <w:r>
        <w:rPr>
          <w:rFonts w:hint="eastAsia" w:asciiTheme="minorEastAsia" w:hAnsiTheme="minorEastAsia" w:eastAsiaTheme="minorEastAsia" w:cstheme="minorEastAsia"/>
          <w:b/>
          <w:bCs/>
          <w:sz w:val="24"/>
          <w:highlight w:val="none"/>
          <w:lang w:val="en-US" w:eastAsia="zh-CN"/>
        </w:rPr>
        <w:t>注：以上清单中数量仅作为参考，最终按实际数量按实结算。单项报价不得高于相应单张最高限价，有一项或一项以上超过最高限价的作为无效响应处理。</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rPr>
        <w:t>三、报价要求</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本项目采用不固定总价，确定</w:t>
      </w:r>
      <w:r>
        <w:rPr>
          <w:rFonts w:hint="eastAsia" w:asciiTheme="minorEastAsia" w:hAnsiTheme="minorEastAsia" w:cstheme="minorEastAsia"/>
          <w:b/>
          <w:bCs w:val="0"/>
          <w:sz w:val="24"/>
          <w:szCs w:val="24"/>
        </w:rPr>
        <w:t>固定单价</w:t>
      </w:r>
      <w:r>
        <w:rPr>
          <w:rFonts w:hint="eastAsia" w:asciiTheme="minorEastAsia" w:hAnsiTheme="minorEastAsia" w:cstheme="minorEastAsia"/>
          <w:bCs/>
          <w:sz w:val="24"/>
          <w:szCs w:val="24"/>
        </w:rPr>
        <w:t>方式，采用按张按类别按实结算方式。</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磋商单价应包括竞争性磋商文件所确定的采购范围相应服务的提供、人员（包括工资和补贴）、耗材、投放、保险、劳保、管理、各种税费、利润、税金、政策性文件规定及合同包含的所有风险、责任等各项应有费用，以及为完成该项服务项目所涉及到的一切相关费用，校方不再支付其他任何费用。</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rPr>
        <w:t>四、</w:t>
      </w:r>
      <w:r>
        <w:rPr>
          <w:rFonts w:hint="eastAsia" w:asciiTheme="minorEastAsia" w:hAnsiTheme="minorEastAsia" w:cstheme="minorEastAsia"/>
          <w:b/>
          <w:sz w:val="24"/>
          <w:szCs w:val="24"/>
          <w:highlight w:val="none"/>
        </w:rPr>
        <w:t>付款方式</w:t>
      </w:r>
    </w:p>
    <w:p>
      <w:pPr>
        <w:spacing w:line="360" w:lineRule="auto"/>
        <w:ind w:firstLine="420"/>
        <w:rPr>
          <w:rFonts w:hint="eastAsia" w:asciiTheme="minorEastAsia" w:hAnsiTheme="minorEastAsia" w:cstheme="minorEastAsia"/>
          <w:bCs/>
          <w:sz w:val="24"/>
          <w:szCs w:val="24"/>
        </w:rPr>
      </w:pPr>
      <w:r>
        <w:rPr>
          <w:rFonts w:hint="eastAsia" w:asciiTheme="minorEastAsia" w:hAnsiTheme="minorEastAsia" w:cstheme="minorEastAsia"/>
          <w:bCs/>
          <w:sz w:val="24"/>
          <w:szCs w:val="24"/>
        </w:rPr>
        <w:t>1.每月按实际使用量统计，按校方要求按行政或年级做好明细账单，由校方授权人进行账务审核，并取得授权人确认签字，汇成电子表，每月上交校方指定授权审核部门，进行二次核对。核对无误，按相应规格数量及相应单价计算本月服务费。</w:t>
      </w:r>
    </w:p>
    <w:p>
      <w:pPr>
        <w:spacing w:line="360" w:lineRule="auto"/>
        <w:ind w:firstLine="420"/>
        <w:rPr>
          <w:rFonts w:hint="eastAsia" w:asciiTheme="minorEastAsia" w:hAnsiTheme="minorEastAsia" w:cstheme="minorEastAsia"/>
          <w:bCs/>
          <w:sz w:val="24"/>
          <w:szCs w:val="24"/>
        </w:rPr>
      </w:pPr>
      <w:r>
        <w:rPr>
          <w:rFonts w:hint="eastAsia" w:asciiTheme="minorEastAsia" w:hAnsiTheme="minorEastAsia" w:cstheme="minorEastAsia"/>
          <w:bCs/>
          <w:sz w:val="24"/>
          <w:szCs w:val="24"/>
        </w:rPr>
        <w:t>2.每月服务费=各类别的张数*各类别对应的单价之和，实行每月开票结算</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五</w:t>
      </w:r>
      <w:r>
        <w:rPr>
          <w:rFonts w:hint="eastAsia" w:asciiTheme="minorEastAsia" w:hAnsiTheme="minorEastAsia" w:cstheme="minorEastAsia"/>
          <w:b/>
          <w:sz w:val="24"/>
          <w:szCs w:val="24"/>
        </w:rPr>
        <w:t>、服务要求</w:t>
      </w:r>
    </w:p>
    <w:p>
      <w:pPr>
        <w:spacing w:line="360" w:lineRule="auto"/>
        <w:ind w:firstLine="420"/>
        <w:rPr>
          <w:rFonts w:hint="eastAsia" w:asciiTheme="minorEastAsia" w:hAnsiTheme="minorEastAsia" w:cstheme="minorEastAsia"/>
          <w:bCs/>
          <w:sz w:val="24"/>
          <w:szCs w:val="24"/>
        </w:rPr>
      </w:pPr>
      <w:r>
        <w:rPr>
          <w:rFonts w:hint="eastAsia" w:asciiTheme="minorEastAsia" w:hAnsiTheme="minorEastAsia" w:cstheme="minorEastAsia"/>
          <w:bCs/>
          <w:sz w:val="24"/>
          <w:szCs w:val="24"/>
          <w:lang w:val="en-US" w:eastAsia="zh-CN"/>
        </w:rPr>
        <w:t>（一）</w:t>
      </w:r>
      <w:r>
        <w:rPr>
          <w:rFonts w:hint="eastAsia" w:asciiTheme="minorEastAsia" w:hAnsiTheme="minorEastAsia" w:cstheme="minorEastAsia"/>
          <w:bCs/>
          <w:sz w:val="24"/>
          <w:szCs w:val="24"/>
        </w:rPr>
        <w:t>服务设施设备配置要求</w:t>
      </w:r>
    </w:p>
    <w:tbl>
      <w:tblPr>
        <w:tblStyle w:val="31"/>
        <w:tblW w:w="9350" w:type="dxa"/>
        <w:tblInd w:w="135" w:type="dxa"/>
        <w:tblLayout w:type="fixed"/>
        <w:tblCellMar>
          <w:top w:w="0" w:type="dxa"/>
          <w:left w:w="0" w:type="dxa"/>
          <w:bottom w:w="0" w:type="dxa"/>
          <w:right w:w="0" w:type="dxa"/>
        </w:tblCellMar>
      </w:tblPr>
      <w:tblGrid>
        <w:gridCol w:w="910"/>
        <w:gridCol w:w="960"/>
        <w:gridCol w:w="5898"/>
        <w:gridCol w:w="846"/>
        <w:gridCol w:w="736"/>
      </w:tblGrid>
      <w:tr>
        <w:tblPrEx>
          <w:tblCellMar>
            <w:top w:w="0" w:type="dxa"/>
            <w:left w:w="0" w:type="dxa"/>
            <w:bottom w:w="0" w:type="dxa"/>
            <w:right w:w="0" w:type="dxa"/>
          </w:tblCellMar>
        </w:tblPrEx>
        <w:trPr>
          <w:trHeight w:val="346"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序号</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类别</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基本参数</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数量</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单位</w:t>
            </w:r>
          </w:p>
        </w:tc>
      </w:tr>
      <w:tr>
        <w:tblPrEx>
          <w:tblCellMar>
            <w:top w:w="0" w:type="dxa"/>
            <w:left w:w="0" w:type="dxa"/>
            <w:bottom w:w="0" w:type="dxa"/>
            <w:right w:w="0" w:type="dxa"/>
          </w:tblCellMar>
        </w:tblPrEx>
        <w:trPr>
          <w:trHeight w:val="90"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油印一体机</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wordWrap/>
              <w:overflowPunct/>
              <w:topLinePunct w:val="0"/>
              <w:bidi w:val="0"/>
              <w:spacing w:line="360" w:lineRule="exact"/>
              <w:ind w:leftChars="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扫描分辨率：600x600dpi；</w:t>
            </w:r>
          </w:p>
          <w:p>
            <w:pPr>
              <w:pageBreakBefore w:val="0"/>
              <w:widowControl/>
              <w:numPr>
                <w:ilvl w:val="0"/>
                <w:numId w:val="0"/>
              </w:numPr>
              <w:kinsoku/>
              <w:wordWrap/>
              <w:overflowPunct/>
              <w:topLinePunct w:val="0"/>
              <w:bidi w:val="0"/>
              <w:spacing w:line="360" w:lineRule="exact"/>
              <w:ind w:leftChars="0"/>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印刷分辨率：300x600dpi（穿孔密度：600x600dpi）</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3、扫描面积：≥297x432mm；印刷面积：≥251x357mm；</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4、印刷缩放比例：无倍缩放（50-200%）、100%缩放比率</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5、标准缩放比率放大：141%，122%，116%,标准缩放比率缩小：94%，87%，82%，71%；</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6、纸盘容量：进纸/出纸盘：1600-1000张（110mm堆叠高度以下）；</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w:t>
            </w:r>
            <w:r>
              <w:rPr>
                <w:rStyle w:val="134"/>
                <w:rFonts w:hint="eastAsia" w:asciiTheme="minorEastAsia" w:hAnsiTheme="minorEastAsia" w:eastAsiaTheme="minorEastAsia" w:cstheme="minorEastAsia"/>
                <w:color w:val="auto"/>
                <w:sz w:val="24"/>
                <w:szCs w:val="24"/>
                <w:lang w:val="en-US" w:eastAsia="zh-CN"/>
              </w:rPr>
              <w:t>2</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台</w:t>
            </w:r>
          </w:p>
        </w:tc>
      </w:tr>
      <w:tr>
        <w:tblPrEx>
          <w:tblCellMar>
            <w:top w:w="0" w:type="dxa"/>
            <w:left w:w="0" w:type="dxa"/>
            <w:bottom w:w="0" w:type="dxa"/>
            <w:right w:w="0" w:type="dxa"/>
          </w:tblCellMar>
        </w:tblPrEx>
        <w:trPr>
          <w:trHeight w:val="870"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黑白多功能一体机</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1、速度≧28张/分钟；2、自动网络双面打印/自动双面复印/网络扫描；3、PCL打印语言，4、自动双面输稿器 5、硬盘≧200G,内存≧4g 6、纸合数量≧两纸盒+手送7、纸合容量≧500/张/个；</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1</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台</w:t>
            </w:r>
          </w:p>
        </w:tc>
      </w:tr>
      <w:tr>
        <w:tblPrEx>
          <w:tblCellMar>
            <w:top w:w="0" w:type="dxa"/>
            <w:left w:w="0" w:type="dxa"/>
            <w:bottom w:w="0" w:type="dxa"/>
            <w:right w:w="0" w:type="dxa"/>
          </w:tblCellMar>
        </w:tblPrEx>
        <w:trPr>
          <w:trHeight w:val="727"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3</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numPr>
                <w:ilvl w:val="0"/>
                <w:numId w:val="0"/>
              </w:numPr>
              <w:kinsoku/>
              <w:wordWrap/>
              <w:overflowPunct/>
              <w:topLinePunct w:val="0"/>
              <w:bidi w:val="0"/>
              <w:spacing w:line="360" w:lineRule="exact"/>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教学诊断平台</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平台包含</w:t>
            </w:r>
            <w:r>
              <w:rPr>
                <w:rFonts w:hint="eastAsia" w:asciiTheme="minorEastAsia" w:hAnsiTheme="minorEastAsia" w:eastAsiaTheme="minorEastAsia" w:cstheme="minorEastAsia"/>
                <w:kern w:val="0"/>
                <w:sz w:val="24"/>
                <w:szCs w:val="24"/>
              </w:rPr>
              <w:t>管理、制作、扫描、批阅、分析、数据运用等子模块)</w:t>
            </w:r>
            <w:r>
              <w:rPr>
                <w:rFonts w:hint="eastAsia" w:asciiTheme="minorEastAsia" w:hAnsiTheme="minorEastAsia" w:eastAsiaTheme="minorEastAsia" w:cstheme="minorEastAsia"/>
                <w:kern w:val="0"/>
                <w:sz w:val="24"/>
                <w:szCs w:val="24"/>
                <w:lang w:eastAsia="zh-CN"/>
              </w:rPr>
              <w:t>，满足学校日常作业及期中、末考试的数据采集及数据分析，支持先批后扫及先扫后批等多种批阅模式。</w:t>
            </w:r>
          </w:p>
          <w:p>
            <w:pPr>
              <w:pageBreakBefore w:val="0"/>
              <w:widowControl/>
              <w:numPr>
                <w:ilvl w:val="0"/>
                <w:numId w:val="7"/>
              </w:numPr>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支持现有</w:t>
            </w:r>
            <w:r>
              <w:rPr>
                <w:rFonts w:hint="eastAsia" w:asciiTheme="minorEastAsia" w:hAnsiTheme="minorEastAsia" w:eastAsiaTheme="minorEastAsia" w:cstheme="minorEastAsia"/>
                <w:kern w:val="0"/>
                <w:sz w:val="24"/>
                <w:szCs w:val="24"/>
                <w:lang w:eastAsia="zh-CN"/>
              </w:rPr>
              <w:t>金坛教师发展中心及片区兄弟学校</w:t>
            </w:r>
            <w:r>
              <w:rPr>
                <w:rFonts w:hint="eastAsia" w:asciiTheme="minorEastAsia" w:hAnsiTheme="minorEastAsia" w:eastAsiaTheme="minorEastAsia" w:cstheme="minorEastAsia"/>
                <w:kern w:val="0"/>
                <w:sz w:val="24"/>
                <w:szCs w:val="24"/>
              </w:rPr>
              <w:t>等组织的大型</w:t>
            </w:r>
            <w:r>
              <w:rPr>
                <w:rFonts w:hint="eastAsia" w:asciiTheme="minorEastAsia" w:hAnsiTheme="minorEastAsia" w:eastAsiaTheme="minorEastAsia" w:cstheme="minorEastAsia"/>
                <w:kern w:val="0"/>
                <w:sz w:val="24"/>
                <w:szCs w:val="24"/>
                <w:lang w:eastAsia="zh-CN"/>
              </w:rPr>
              <w:t>学测数据</w:t>
            </w:r>
            <w:r>
              <w:rPr>
                <w:rFonts w:hint="eastAsia" w:asciiTheme="minorEastAsia" w:hAnsiTheme="minorEastAsia" w:eastAsiaTheme="minorEastAsia" w:cstheme="minorEastAsia"/>
                <w:kern w:val="0"/>
                <w:sz w:val="24"/>
                <w:szCs w:val="24"/>
              </w:rPr>
              <w:t>与单校考试数据无缝融合，并兼容校方原教学诊断系统。</w:t>
            </w:r>
          </w:p>
          <w:p>
            <w:pPr>
              <w:pageBreakBefore w:val="0"/>
              <w:widowControl/>
              <w:numPr>
                <w:ilvl w:val="0"/>
                <w:numId w:val="0"/>
              </w:numPr>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需</w:t>
            </w:r>
            <w:r>
              <w:rPr>
                <w:rFonts w:hint="eastAsia" w:asciiTheme="minorEastAsia" w:hAnsiTheme="minorEastAsia" w:eastAsiaTheme="minorEastAsia" w:cstheme="minorEastAsia"/>
                <w:kern w:val="0"/>
                <w:sz w:val="24"/>
                <w:szCs w:val="24"/>
              </w:rPr>
              <w:t>满足不同科目老师出卷方式多样化的需求，系统同时支持基于Microsoft word插件和web出卷方式；</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★无论纸阅、网阅，阅卷后的所有痕迹自动保存，可以完全反打到学生作答的原始卷面上；</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eastAsia="zh-CN"/>
              </w:rPr>
              <w:t>一键扫描：不需要选择科目和班级，不需要整理试卷，试卷正着放、反着放、倒着放都不影响识别；支持56g及以上的纸张识别，包括有色新闻纸和白纸；支持试卷纸张部分折角或者缺损的情况下的扫描识别；</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eastAsia="zh-CN"/>
              </w:rPr>
              <w:t>提供每次大型及阶段性测评诊断报告，报告不仅限于学生成绩趋势分析、优劣势知识点得分情况、知识点掌握情况、得分明细表，学习建议，本次测试的错题、学生个体情况推送的精准化的演变题。每一道错题，均包含知识点、个人和班级得分率、题干及答案。</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lang w:eastAsia="zh-CN"/>
              </w:rPr>
              <w:t>同时提供班级诊断报告，报告不仅限于班级成绩趋势分析、考试情况分析、知识点掌握情况，班级讲评建议，本次测试的班级错题、演变题及解析，每道错题包含错题人数、班级得分率、知识点分析。</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eastAsia="zh-CN"/>
              </w:rPr>
              <w:t>投标文件提供诊断报告样册前五页</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lang w:val="en-US" w:eastAsia="zh-CN"/>
              </w:rPr>
              <w:t>提供师生</w:t>
            </w:r>
            <w:r>
              <w:rPr>
                <w:rFonts w:hint="eastAsia" w:asciiTheme="minorEastAsia" w:hAnsiTheme="minorEastAsia" w:eastAsiaTheme="minorEastAsia" w:cstheme="minorEastAsia"/>
                <w:kern w:val="0"/>
                <w:sz w:val="24"/>
                <w:szCs w:val="24"/>
                <w:lang w:eastAsia="zh-CN"/>
              </w:rPr>
              <w:t>可编辑的word版本错题集（包括理科类学科公式的可编辑），并免费提供电子稿下载</w:t>
            </w:r>
          </w:p>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lang w:eastAsia="zh-CN"/>
              </w:rPr>
              <w:t>提供学生端个性拓展自选功能，内容不限于</w:t>
            </w:r>
            <w:r>
              <w:rPr>
                <w:rFonts w:hint="eastAsia" w:asciiTheme="minorEastAsia" w:hAnsiTheme="minorEastAsia" w:eastAsiaTheme="minorEastAsia" w:cstheme="minorEastAsia"/>
                <w:kern w:val="0"/>
                <w:sz w:val="24"/>
                <w:szCs w:val="24"/>
                <w:lang w:val="en-US" w:eastAsia="zh-CN"/>
              </w:rPr>
              <w:t>含学情分析、共性个性错题、优生专属训练题解析等模块，其中错题部分均包含原题及举一反三的变式训练题</w:t>
            </w:r>
            <w:r>
              <w:rPr>
                <w:rFonts w:hint="eastAsia" w:asciiTheme="minorEastAsia" w:hAnsiTheme="minorEastAsia" w:eastAsiaTheme="minorEastAsia" w:cstheme="minorEastAsia"/>
                <w:sz w:val="24"/>
                <w:szCs w:val="24"/>
                <w:lang w:val="en-US" w:eastAsia="zh-CN"/>
              </w:rPr>
              <w:t>。</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套</w:t>
            </w:r>
          </w:p>
        </w:tc>
      </w:tr>
      <w:tr>
        <w:tblPrEx>
          <w:tblCellMar>
            <w:top w:w="0" w:type="dxa"/>
            <w:left w:w="0" w:type="dxa"/>
            <w:bottom w:w="0" w:type="dxa"/>
            <w:right w:w="0" w:type="dxa"/>
          </w:tblCellMar>
        </w:tblPrEx>
        <w:trPr>
          <w:trHeight w:val="581"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4</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电脑</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配制≥I5/4G/1T/集显/win10/19.5液晶</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1台用于打印，1台用于扫描</w:t>
            </w:r>
            <w:r>
              <w:rPr>
                <w:rFonts w:hint="eastAsia" w:asciiTheme="minorEastAsia" w:hAnsiTheme="minorEastAsia" w:eastAsiaTheme="minorEastAsia" w:cstheme="minorEastAsia"/>
                <w:kern w:val="0"/>
                <w:sz w:val="24"/>
                <w:szCs w:val="24"/>
                <w:lang w:eastAsia="zh-CN"/>
              </w:rPr>
              <w:t>）</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≥2</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台</w:t>
            </w:r>
          </w:p>
        </w:tc>
      </w:tr>
      <w:tr>
        <w:tblPrEx>
          <w:tblCellMar>
            <w:top w:w="0" w:type="dxa"/>
            <w:left w:w="0" w:type="dxa"/>
            <w:bottom w:w="0" w:type="dxa"/>
            <w:right w:w="0" w:type="dxa"/>
          </w:tblCellMar>
        </w:tblPrEx>
        <w:trPr>
          <w:trHeight w:val="667"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5</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手动裁纸机</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裁切精度(mm)：≥</w:t>
            </w:r>
            <w:r>
              <w:rPr>
                <w:rStyle w:val="134"/>
                <w:rFonts w:hint="eastAsia" w:asciiTheme="minorEastAsia" w:hAnsiTheme="minorEastAsia" w:eastAsiaTheme="minorEastAsia" w:cstheme="minorEastAsia"/>
                <w:color w:val="auto"/>
                <w:sz w:val="24"/>
                <w:szCs w:val="24"/>
              </w:rPr>
              <w:t>±0.5， 裁切厚度(mm)：</w:t>
            </w:r>
            <w:r>
              <w:rPr>
                <w:rFonts w:hint="eastAsia" w:asciiTheme="minorEastAsia" w:hAnsiTheme="minorEastAsia" w:eastAsiaTheme="minorEastAsia" w:cstheme="minorEastAsia"/>
                <w:kern w:val="0"/>
                <w:sz w:val="24"/>
                <w:szCs w:val="24"/>
              </w:rPr>
              <w:t>≥</w:t>
            </w:r>
            <w:r>
              <w:rPr>
                <w:rStyle w:val="134"/>
                <w:rFonts w:hint="eastAsia" w:asciiTheme="minorEastAsia" w:hAnsiTheme="minorEastAsia" w:eastAsiaTheme="minorEastAsia" w:cstheme="minorEastAsia"/>
                <w:color w:val="auto"/>
                <w:sz w:val="24"/>
                <w:szCs w:val="24"/>
              </w:rPr>
              <w:t>40；裁切幅面：A4；裁切纸张(页)： 5-400；最大裁切尺寸(mm)：315；</w:t>
            </w:r>
            <w:r>
              <w:rPr>
                <w:rFonts w:hint="eastAsia" w:asciiTheme="minorEastAsia" w:hAnsiTheme="minorEastAsia" w:eastAsiaTheme="minorEastAsia" w:cstheme="minorEastAsia"/>
                <w:sz w:val="24"/>
                <w:szCs w:val="24"/>
              </w:rPr>
              <w:t xml:space="preserve"> </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≥1</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台</w:t>
            </w:r>
          </w:p>
        </w:tc>
      </w:tr>
      <w:tr>
        <w:tblPrEx>
          <w:tblCellMar>
            <w:top w:w="0" w:type="dxa"/>
            <w:left w:w="0" w:type="dxa"/>
            <w:bottom w:w="0" w:type="dxa"/>
            <w:right w:w="0" w:type="dxa"/>
          </w:tblCellMar>
        </w:tblPrEx>
        <w:trPr>
          <w:trHeight w:val="667" w:hRule="atLeast"/>
        </w:trPr>
        <w:tc>
          <w:tcPr>
            <w:tcW w:w="9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6</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其它辅助小设备</w:t>
            </w:r>
          </w:p>
        </w:tc>
        <w:tc>
          <w:tcPr>
            <w:tcW w:w="589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小型装钉机、美工刀、胶水、回形针等</w:t>
            </w:r>
          </w:p>
        </w:tc>
        <w:tc>
          <w:tcPr>
            <w:tcW w:w="8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≥1</w:t>
            </w:r>
          </w:p>
        </w:tc>
        <w:tc>
          <w:tcPr>
            <w:tcW w:w="7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ageBreakBefore w:val="0"/>
              <w:widowControl/>
              <w:kinsoku/>
              <w:wordWrap/>
              <w:overflowPunct/>
              <w:topLinePunct w:val="0"/>
              <w:bidi w:val="0"/>
              <w:spacing w:line="36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批</w:t>
            </w:r>
          </w:p>
        </w:tc>
      </w:tr>
    </w:tbl>
    <w:p>
      <w:pPr>
        <w:widowControl/>
        <w:adjustRightInd w:val="0"/>
        <w:snapToGrid w:val="0"/>
        <w:spacing w:line="400" w:lineRule="exact"/>
        <w:ind w:firstLine="420" w:firstLineChars="0"/>
        <w:rPr>
          <w:rFonts w:hint="eastAsia" w:ascii="宋体" w:hAnsi="宋体" w:eastAsia="宋体" w:cs="宋体"/>
          <w:b/>
          <w:bCs/>
          <w:color w:val="000000"/>
          <w:kern w:val="0"/>
          <w:sz w:val="24"/>
          <w:highlight w:val="none"/>
          <w:lang w:eastAsia="zh-CN"/>
        </w:rPr>
      </w:pPr>
    </w:p>
    <w:p>
      <w:pPr>
        <w:widowControl/>
        <w:adjustRightInd w:val="0"/>
        <w:snapToGrid w:val="0"/>
        <w:spacing w:line="400" w:lineRule="exact"/>
        <w:ind w:firstLine="420" w:firstLineChars="0"/>
        <w:rPr>
          <w:rFonts w:hint="eastAsia" w:ascii="宋体" w:hAnsi="宋体" w:eastAsia="宋体" w:cs="宋体"/>
          <w:b/>
          <w:bCs/>
          <w:color w:val="000000"/>
          <w:kern w:val="0"/>
          <w:sz w:val="24"/>
          <w:highlight w:val="yellow"/>
          <w:lang w:val="en-US" w:eastAsia="zh-CN"/>
        </w:rPr>
      </w:pPr>
      <w:r>
        <w:rPr>
          <w:rFonts w:hint="eastAsia" w:ascii="宋体" w:hAnsi="宋体" w:eastAsia="宋体" w:cs="宋体"/>
          <w:b/>
          <w:bCs/>
          <w:color w:val="000000"/>
          <w:kern w:val="0"/>
          <w:sz w:val="24"/>
          <w:highlight w:val="none"/>
          <w:lang w:eastAsia="zh-CN"/>
        </w:rPr>
        <w:t>注：</w:t>
      </w:r>
      <w:r>
        <w:rPr>
          <w:rFonts w:hint="default" w:ascii="Calibri" w:hAnsi="Calibri" w:eastAsia="宋体" w:cs="Calibri"/>
          <w:b/>
          <w:bCs/>
          <w:color w:val="000000"/>
          <w:kern w:val="0"/>
          <w:sz w:val="24"/>
          <w:highlight w:val="yellow"/>
          <w:lang w:val="en-US" w:eastAsia="zh-CN"/>
        </w:rPr>
        <w:t>①</w:t>
      </w:r>
      <w:r>
        <w:rPr>
          <w:rFonts w:hint="eastAsia" w:ascii="宋体" w:hAnsi="宋体" w:eastAsia="宋体" w:cs="宋体"/>
          <w:b/>
          <w:bCs/>
          <w:color w:val="000000"/>
          <w:kern w:val="0"/>
          <w:sz w:val="24"/>
          <w:highlight w:val="yellow"/>
          <w:lang w:val="en-US" w:eastAsia="zh-CN"/>
        </w:rPr>
        <w:t>上表中打“</w:t>
      </w:r>
      <w:r>
        <w:rPr>
          <w:rFonts w:hint="eastAsia" w:ascii="宋体" w:hAnsi="宋体" w:eastAsia="宋体" w:cs="宋体"/>
          <w:b/>
          <w:bCs/>
          <w:color w:val="000000"/>
          <w:kern w:val="0"/>
          <w:sz w:val="24"/>
          <w:highlight w:val="yellow"/>
          <w:lang w:eastAsia="zh-CN"/>
        </w:rPr>
        <w:t>★</w:t>
      </w:r>
      <w:r>
        <w:rPr>
          <w:rFonts w:hint="eastAsia" w:ascii="宋体" w:hAnsi="宋体" w:eastAsia="宋体" w:cs="宋体"/>
          <w:b/>
          <w:bCs/>
          <w:color w:val="000000"/>
          <w:kern w:val="0"/>
          <w:sz w:val="24"/>
          <w:highlight w:val="yellow"/>
          <w:lang w:val="en-US" w:eastAsia="zh-CN"/>
        </w:rPr>
        <w:t>”项为实质性响应条款，供应商须对打“</w:t>
      </w:r>
      <w:r>
        <w:rPr>
          <w:rFonts w:hint="eastAsia" w:ascii="宋体" w:hAnsi="宋体" w:eastAsia="宋体" w:cs="宋体"/>
          <w:b/>
          <w:bCs/>
          <w:color w:val="000000"/>
          <w:kern w:val="0"/>
          <w:sz w:val="24"/>
          <w:highlight w:val="yellow"/>
          <w:lang w:eastAsia="zh-CN"/>
        </w:rPr>
        <w:t>★</w:t>
      </w:r>
      <w:r>
        <w:rPr>
          <w:rFonts w:hint="eastAsia" w:ascii="宋体" w:hAnsi="宋体" w:eastAsia="宋体" w:cs="宋体"/>
          <w:b/>
          <w:bCs/>
          <w:color w:val="000000"/>
          <w:kern w:val="0"/>
          <w:sz w:val="24"/>
          <w:highlight w:val="yellow"/>
          <w:lang w:val="en-US" w:eastAsia="zh-CN"/>
        </w:rPr>
        <w:t>”参数功能提供相应证明材料（或承诺书），若不提供响应文件将作为无效响应处理。</w:t>
      </w:r>
    </w:p>
    <w:p>
      <w:pPr>
        <w:spacing w:line="360" w:lineRule="auto"/>
        <w:ind w:firstLine="420"/>
        <w:rPr>
          <w:rFonts w:hint="eastAsia" w:asciiTheme="minorEastAsia" w:hAnsiTheme="minorEastAsia" w:cstheme="minorEastAsia"/>
          <w:b w:val="0"/>
          <w:bCs/>
          <w:sz w:val="24"/>
          <w:szCs w:val="24"/>
          <w:lang w:eastAsia="zh-CN"/>
        </w:rPr>
      </w:pPr>
      <w:r>
        <w:rPr>
          <w:rFonts w:hint="default" w:ascii="Calibri" w:hAnsi="Calibri" w:eastAsia="宋体" w:cs="Calibri"/>
          <w:b/>
          <w:bCs/>
          <w:color w:val="000000"/>
          <w:kern w:val="0"/>
          <w:sz w:val="24"/>
          <w:highlight w:val="none"/>
          <w:lang w:val="en-US" w:eastAsia="zh-CN"/>
        </w:rPr>
        <w:t>②</w:t>
      </w:r>
      <w:r>
        <w:rPr>
          <w:rFonts w:hint="eastAsia" w:ascii="宋体" w:hAnsi="宋体" w:eastAsia="宋体" w:cs="宋体"/>
          <w:b/>
          <w:bCs/>
          <w:color w:val="000000"/>
          <w:kern w:val="0"/>
          <w:sz w:val="24"/>
          <w:highlight w:val="none"/>
          <w:lang w:val="en-US" w:eastAsia="zh-CN"/>
        </w:rPr>
        <w:t>以上</w:t>
      </w:r>
      <w:r>
        <w:rPr>
          <w:rFonts w:hint="eastAsia" w:ascii="宋体" w:hAnsi="宋体" w:eastAsia="宋体" w:cs="宋体"/>
          <w:b/>
          <w:bCs/>
          <w:color w:val="000000"/>
          <w:kern w:val="0"/>
          <w:sz w:val="24"/>
          <w:highlight w:val="none"/>
          <w:lang w:eastAsia="zh-CN"/>
        </w:rPr>
        <w:t>软硬件</w:t>
      </w:r>
      <w:r>
        <w:rPr>
          <w:rFonts w:hint="eastAsia" w:ascii="宋体" w:hAnsi="宋体" w:eastAsia="宋体" w:cs="宋体"/>
          <w:b/>
          <w:bCs/>
          <w:color w:val="000000"/>
          <w:kern w:val="0"/>
          <w:sz w:val="24"/>
          <w:highlight w:val="none"/>
          <w:lang w:val="en-US" w:eastAsia="zh-CN"/>
        </w:rPr>
        <w:t>配置</w:t>
      </w:r>
      <w:r>
        <w:rPr>
          <w:rFonts w:hint="eastAsia" w:ascii="宋体" w:hAnsi="宋体" w:eastAsia="宋体" w:cs="宋体"/>
          <w:b/>
          <w:bCs/>
          <w:color w:val="000000"/>
          <w:kern w:val="0"/>
          <w:sz w:val="24"/>
          <w:highlight w:val="none"/>
          <w:lang w:eastAsia="zh-CN"/>
        </w:rPr>
        <w:t>及数量为最低</w:t>
      </w:r>
      <w:r>
        <w:rPr>
          <w:rFonts w:hint="eastAsia" w:ascii="宋体" w:hAnsi="宋体" w:eastAsia="宋体" w:cs="宋体"/>
          <w:b/>
          <w:bCs/>
          <w:color w:val="000000"/>
          <w:kern w:val="0"/>
          <w:sz w:val="24"/>
          <w:highlight w:val="none"/>
          <w:lang w:val="en-US" w:eastAsia="zh-CN"/>
        </w:rPr>
        <w:t>配置</w:t>
      </w:r>
      <w:r>
        <w:rPr>
          <w:rFonts w:hint="eastAsia" w:ascii="宋体" w:hAnsi="宋体" w:eastAsia="宋体" w:cs="宋体"/>
          <w:b/>
          <w:bCs/>
          <w:color w:val="000000"/>
          <w:kern w:val="0"/>
          <w:sz w:val="24"/>
          <w:highlight w:val="none"/>
          <w:lang w:eastAsia="zh-CN"/>
        </w:rPr>
        <w:t>及数量，供应商首次投放须一次性到位，后期运作时如不能满足校方的工作需求，供应商须无条件的增补相应软硬件设备直到满足甲方的工作需求。</w:t>
      </w:r>
    </w:p>
    <w:p>
      <w:pPr>
        <w:spacing w:line="360" w:lineRule="auto"/>
        <w:ind w:firstLine="420"/>
        <w:rPr>
          <w:rFonts w:hint="eastAsia" w:asciiTheme="minorEastAsia" w:hAnsiTheme="minorEastAsia" w:cstheme="minorEastAsia"/>
          <w:b w:val="0"/>
          <w:bCs/>
          <w:sz w:val="24"/>
          <w:szCs w:val="24"/>
          <w:lang w:val="en-US" w:eastAsia="zh-CN"/>
        </w:rPr>
      </w:pPr>
      <w:r>
        <w:rPr>
          <w:rFonts w:hint="eastAsia" w:asciiTheme="minorEastAsia" w:hAnsiTheme="minorEastAsia" w:cstheme="minorEastAsia"/>
          <w:b w:val="0"/>
          <w:bCs/>
          <w:sz w:val="24"/>
          <w:szCs w:val="24"/>
          <w:lang w:val="en-US" w:eastAsia="zh-CN"/>
        </w:rPr>
        <w:t>（二）服务要求</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w:t>
      </w:r>
      <w:r>
        <w:rPr>
          <w:rFonts w:hint="eastAsia" w:asciiTheme="minorEastAsia" w:hAnsiTheme="minorEastAsia" w:cstheme="minorEastAsia"/>
          <w:b w:val="0"/>
          <w:bCs/>
          <w:sz w:val="24"/>
          <w:szCs w:val="24"/>
          <w:lang w:val="en-US" w:eastAsia="zh-CN"/>
        </w:rPr>
        <w:t>.</w:t>
      </w:r>
      <w:r>
        <w:rPr>
          <w:rFonts w:hint="eastAsia" w:asciiTheme="minorEastAsia" w:hAnsiTheme="minorEastAsia" w:cstheme="minorEastAsia"/>
          <w:b w:val="0"/>
          <w:bCs/>
          <w:sz w:val="24"/>
          <w:szCs w:val="24"/>
        </w:rPr>
        <w:t>本项目所有硬件软设备教学、油印一体机、黑白多功能一体机、教学诊断平台、电脑、等设备、常用耗材、配件及维护、纸张及均由供应商提供，供应商应确保设备能正常使用。校方仅免费提供办公场所及所有网络基础的办公条件。</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2</w:t>
      </w:r>
      <w:r>
        <w:rPr>
          <w:rFonts w:hint="eastAsia" w:asciiTheme="minorEastAsia" w:hAnsiTheme="minorEastAsia" w:cstheme="minorEastAsia"/>
          <w:b w:val="0"/>
          <w:bCs/>
          <w:sz w:val="24"/>
          <w:szCs w:val="24"/>
          <w:lang w:val="en-US" w:eastAsia="zh-CN"/>
        </w:rPr>
        <w:t>.</w:t>
      </w:r>
      <w:r>
        <w:rPr>
          <w:rFonts w:hint="eastAsia" w:asciiTheme="minorEastAsia" w:hAnsiTheme="minorEastAsia" w:cstheme="minorEastAsia"/>
          <w:b w:val="0"/>
          <w:bCs/>
          <w:sz w:val="24"/>
          <w:szCs w:val="24"/>
        </w:rPr>
        <w:t>供应商应派工作人员提供驻校服务，人员的工资、保险、福利及其它劳务关系均有供应商负责，并符合劳动法用工。所派工作人员须严格遵守校方的规章制度及保密约定，服从校方的日常管理。</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3</w:t>
      </w:r>
      <w:r>
        <w:rPr>
          <w:rFonts w:hint="eastAsia" w:asciiTheme="minorEastAsia" w:hAnsiTheme="minorEastAsia" w:cstheme="minorEastAsia"/>
          <w:b w:val="0"/>
          <w:bCs/>
          <w:sz w:val="24"/>
          <w:szCs w:val="24"/>
          <w:lang w:val="en-US" w:eastAsia="zh-CN"/>
        </w:rPr>
        <w:t>.</w:t>
      </w:r>
      <w:r>
        <w:rPr>
          <w:rFonts w:hint="eastAsia" w:asciiTheme="minorEastAsia" w:hAnsiTheme="minorEastAsia" w:cstheme="minorEastAsia"/>
          <w:b w:val="0"/>
          <w:bCs/>
          <w:sz w:val="24"/>
          <w:szCs w:val="24"/>
        </w:rPr>
        <w:t>供应商派驻工作人员（常年不得低于1名）驻点，提供6天*8小时驻场提供教学诊断及油印复印打印服务，特殊时期（如下班后、节假日）需提供随叫随到服务。所派的驻校人员能够胜任本职工作，并经过严格保密培训，服从学校的各项规章制度，按照学校的作息时间提供服务。</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4</w:t>
      </w:r>
      <w:r>
        <w:rPr>
          <w:rFonts w:hint="eastAsia" w:asciiTheme="minorEastAsia" w:hAnsiTheme="minorEastAsia" w:cstheme="minorEastAsia"/>
          <w:b w:val="0"/>
          <w:bCs/>
          <w:sz w:val="24"/>
          <w:szCs w:val="24"/>
          <w:lang w:val="en-US" w:eastAsia="zh-CN"/>
        </w:rPr>
        <w:t>.</w:t>
      </w:r>
      <w:r>
        <w:rPr>
          <w:rFonts w:hint="eastAsia" w:asciiTheme="minorEastAsia" w:hAnsiTheme="minorEastAsia" w:cstheme="minorEastAsia"/>
          <w:b w:val="0"/>
          <w:bCs/>
          <w:sz w:val="24"/>
          <w:szCs w:val="24"/>
        </w:rPr>
        <w:t>供应商提供的教学诊断服务需提供大数据管理系统，包含教师信息管理，学生信息管理，班级信息管理，联盟学校信息管理，升学年管理，二维码管理等，数据支持第三方成绩导入导出，支持多平台间的切换；数据采集系统，包含多渠道数据来源模块，自动扫描模块，网阅、纸阅数据采集模块，有痕打印模块等；大数据分析系统，包含常规学生成绩，联考考试成绩，区联盟考试成绩与图像无缝衔接，且兼容学校自有教学诊断系统，拥有基础数据分析模块，人工智能评估模块，教学管理指导模块，精准辅助教学系统；提供校本题库，个人题库，精准备课模块；提供个性化服务，根据采集的数据，提供包括专业的错题集，考后刊等分析报告；支持家校互通。</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5.对于校方提出教学诊断及油印、复印打印需求，供应商需准确、保质保量，准时准点交货并做到零差错的完成任务。</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6.每学期结束后，供应商须对于教学诊断平台数据进行整合形成学校资源库，对于油印的材料提供每学年按学科按年级汇成成册试卷档案，形成学校纸质资源库，供校方使用。</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7.供应商须按校方的要求，为全体师生提供便捷、高效、高质量的教学诊断及油印复印打印服务，并做好原始收集，形成电子台账。每月按校方的要求每月进行一次账务核对，并按校方要求做好记账，结账工作。</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8.供应商须按校方的账务要求，统计报表及使用情况明细数据分析报表。具体包含但不限于以下，按年级汇总账单、电子明细表及纸质原始凭据。分别对各年级、不同学科、行政部门文档服务量进行电子记账，细分到每一年级每一班，提供每班每月每人平均发生的费用;并提供每个年级及学科老师出卷数量分析报表。</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9.供应商须充分了解校方的教学诊断及油印复印打印特点、流程、结算方式，并给出合理化的操作流程。</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10.供应商须提供完整保密方案，在提供服务的过程中，获悉的一切资讯均需严格保密，不得自行使用或给他人使用，如有泄漏、擅自使用或允许他人使用用户信息造成损失必须承担相应的民事赔偿责任，在签订合同时须签订保密协议。</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11.在合同服务期内，印刷质量、服务质量、服务时效不能达到校方的要求，校方告之，立即整改，如整改不到位，校方有权单方面中止合同，并要求供应商支付校方后期所需涉及到的费用。工作人员不能满足校方的服务要求，校方有权要求供应商更换工作人员，如二次以上，校方有权指定人员，工资等劳务关系有供应商负责。</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12.教学诊断及油印复印打印服务单价按成交单价执行，不在单价内的价格与甲方协商执行。为方便学生个人零星文印服务，必须公示各项文印单价，接收校方与学生督促、检查。</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13.服务考核：服务期内接到学生或教师投诉一次，结算时扣除结算金额的1%；接到学生或教师累计投诉二次，结算时扣除结算金额的3%；接到学生或教师累计投诉三次，结算时扣除结算金额的5%，同时采购人有权提前终止合同。</w:t>
      </w:r>
    </w:p>
    <w:p>
      <w:pPr>
        <w:spacing w:line="360" w:lineRule="auto"/>
        <w:ind w:firstLine="420"/>
        <w:rPr>
          <w:rFonts w:hint="eastAsia" w:asciiTheme="minorEastAsia" w:hAnsiTheme="minorEastAsia" w:cstheme="minorEastAsia"/>
          <w:b w:val="0"/>
          <w:bCs/>
          <w:sz w:val="24"/>
          <w:szCs w:val="24"/>
        </w:rPr>
      </w:pPr>
      <w:r>
        <w:rPr>
          <w:rFonts w:hint="eastAsia" w:asciiTheme="minorEastAsia" w:hAnsiTheme="minorEastAsia" w:cstheme="minorEastAsia"/>
          <w:b w:val="0"/>
          <w:bCs/>
          <w:sz w:val="24"/>
          <w:szCs w:val="24"/>
        </w:rPr>
        <w:t>14.供应商提供文印服务单价按中标单价执行。如涉及到本次采购清单以外的其它新增文印服务，校方及供应商可据项目一单一议方式确定单价，作为补充协议内容。</w:t>
      </w:r>
    </w:p>
    <w:p>
      <w:pPr>
        <w:spacing w:line="360" w:lineRule="auto"/>
        <w:ind w:firstLine="420"/>
        <w:rPr>
          <w:rFonts w:asciiTheme="minorEastAsia" w:hAnsiTheme="minorEastAsia" w:cstheme="minorEastAsia"/>
          <w:b/>
          <w:sz w:val="24"/>
          <w:szCs w:val="24"/>
        </w:rPr>
      </w:pPr>
      <w:r>
        <w:rPr>
          <w:rFonts w:hint="eastAsia" w:asciiTheme="minorEastAsia" w:hAnsiTheme="minorEastAsia" w:cstheme="minorEastAsia"/>
          <w:b/>
          <w:sz w:val="24"/>
          <w:szCs w:val="24"/>
          <w:lang w:val="en-US" w:eastAsia="zh-CN"/>
        </w:rPr>
        <w:t>六</w:t>
      </w:r>
      <w:r>
        <w:rPr>
          <w:rFonts w:hint="eastAsia" w:asciiTheme="minorEastAsia" w:hAnsiTheme="minorEastAsia" w:cstheme="minorEastAsia"/>
          <w:b/>
          <w:sz w:val="24"/>
          <w:szCs w:val="24"/>
        </w:rPr>
        <w:t>、合同履行期限</w:t>
      </w:r>
    </w:p>
    <w:p>
      <w:pPr>
        <w:spacing w:line="360" w:lineRule="auto"/>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三年。合同一年一签，服务期满经考核合格可续签下一年合同，最多续签二年。</w:t>
      </w:r>
    </w:p>
    <w:p>
      <w:pPr>
        <w:spacing w:line="360" w:lineRule="auto"/>
        <w:rPr>
          <w:rFonts w:asciiTheme="minorEastAsia" w:hAnsiTheme="minorEastAsia" w:cstheme="minorEastAsia"/>
          <w:bCs/>
          <w:sz w:val="24"/>
          <w:szCs w:val="24"/>
        </w:rPr>
      </w:pPr>
    </w:p>
    <w:p>
      <w:pPr>
        <w:spacing w:line="360" w:lineRule="auto"/>
        <w:rPr>
          <w:rFonts w:ascii="宋体" w:hAnsi="宋体"/>
          <w:b/>
          <w:color w:val="FF0000"/>
          <w:sz w:val="24"/>
          <w:szCs w:val="24"/>
          <w:highlight w:val="yellow"/>
        </w:rPr>
      </w:pPr>
      <w:r>
        <w:rPr>
          <w:rFonts w:hint="eastAsia" w:asciiTheme="minorEastAsia" w:hAnsiTheme="minorEastAsia" w:cstheme="minorEastAsia"/>
          <w:b/>
          <w:color w:val="FF0000"/>
          <w:sz w:val="24"/>
          <w:szCs w:val="24"/>
          <w:highlight w:val="yellow"/>
        </w:rPr>
        <w:t>注：本项目中标单位必须具备项目需求的全部服务能力，不得分包，否则中标无效。</w:t>
      </w:r>
    </w:p>
    <w:p>
      <w:pPr>
        <w:widowControl/>
        <w:jc w:val="left"/>
      </w:pPr>
    </w:p>
    <w:p>
      <w:pPr>
        <w:rPr>
          <w:rFonts w:hint="eastAsia"/>
        </w:rPr>
      </w:pPr>
      <w:bookmarkStart w:id="46" w:name="_Toc55147048"/>
      <w:bookmarkStart w:id="47" w:name="_Toc70512793"/>
      <w:bookmarkStart w:id="48" w:name="_Toc55147050"/>
      <w:r>
        <w:rPr>
          <w:rFonts w:hint="eastAsia"/>
        </w:rPr>
        <w:br w:type="page"/>
      </w:r>
    </w:p>
    <w:p>
      <w:pPr>
        <w:pStyle w:val="121"/>
      </w:pPr>
      <w:r>
        <w:rPr>
          <w:rFonts w:hint="eastAsia"/>
        </w:rPr>
        <w:t>四．</w:t>
      </w:r>
      <w:bookmarkEnd w:id="46"/>
      <w:r>
        <w:rPr>
          <w:rFonts w:hint="eastAsia"/>
        </w:rPr>
        <w:t>合同条款及格式</w:t>
      </w:r>
      <w:bookmarkEnd w:id="47"/>
    </w:p>
    <w:p>
      <w:pPr>
        <w:spacing w:line="480" w:lineRule="auto"/>
        <w:rPr>
          <w:rFonts w:ascii="黑体" w:hAnsi="黑体" w:eastAsia="黑体"/>
          <w:sz w:val="28"/>
          <w:szCs w:val="28"/>
          <w:u w:val="single"/>
        </w:rPr>
      </w:pPr>
      <w:r>
        <w:rPr>
          <w:rFonts w:hint="eastAsia" w:ascii="黑体" w:hAnsi="黑体" w:eastAsia="黑体"/>
          <w:sz w:val="28"/>
          <w:szCs w:val="28"/>
        </w:rPr>
        <w:t>合同编号：</w:t>
      </w:r>
      <w:r>
        <w:rPr>
          <w:rFonts w:hint="eastAsia" w:ascii="黑体" w:hAnsi="黑体" w:eastAsia="黑体"/>
          <w:sz w:val="28"/>
          <w:szCs w:val="28"/>
          <w:u w:val="single"/>
        </w:rPr>
        <w:t xml:space="preserve">          </w:t>
      </w:r>
    </w:p>
    <w:p>
      <w:pPr>
        <w:jc w:val="right"/>
        <w:rPr>
          <w:rFonts w:ascii="仿宋" w:hAnsi="仿宋" w:eastAsia="仿宋"/>
          <w:sz w:val="30"/>
          <w:szCs w:val="30"/>
        </w:rPr>
      </w:pPr>
      <w:r>
        <w:rPr>
          <w:rFonts w:hint="eastAsia" w:ascii="仿宋" w:hAnsi="仿宋" w:eastAsia="仿宋"/>
          <w:sz w:val="30"/>
          <w:szCs w:val="30"/>
        </w:rPr>
        <w:t>参考格式</w:t>
      </w:r>
    </w:p>
    <w:p>
      <w:pPr>
        <w:jc w:val="right"/>
        <w:rPr>
          <w:rFonts w:ascii="仿宋" w:hAnsi="仿宋" w:eastAsia="仿宋"/>
          <w:sz w:val="30"/>
          <w:szCs w:val="30"/>
        </w:rPr>
      </w:pPr>
      <w:r>
        <w:rPr>
          <w:rFonts w:hint="eastAsia" w:ascii="仿宋" w:hAnsi="仿宋" w:eastAsia="仿宋"/>
          <w:sz w:val="30"/>
          <w:szCs w:val="30"/>
        </w:rPr>
        <w:t xml:space="preserve">                                          </w:t>
      </w:r>
    </w:p>
    <w:p>
      <w:pPr>
        <w:spacing w:line="480" w:lineRule="auto"/>
        <w:jc w:val="center"/>
        <w:rPr>
          <w:rFonts w:ascii="黑体" w:hAnsi="黑体" w:eastAsia="黑体"/>
          <w:bCs/>
          <w:sz w:val="48"/>
          <w:szCs w:val="44"/>
        </w:rPr>
      </w:pPr>
      <w:r>
        <w:rPr>
          <w:rFonts w:hint="eastAsia" w:ascii="黑体" w:hAnsi="黑体" w:eastAsia="黑体"/>
          <w:bCs/>
          <w:sz w:val="48"/>
          <w:szCs w:val="44"/>
        </w:rPr>
        <w:t xml:space="preserve">采购合同  </w:t>
      </w: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autoSpaceDE w:val="0"/>
        <w:autoSpaceDN w:val="0"/>
        <w:adjustRightInd w:val="0"/>
        <w:jc w:val="left"/>
        <w:rPr>
          <w:rFonts w:ascii="楷体" w:hAnsi="楷体" w:eastAsia="楷体"/>
          <w:sz w:val="24"/>
        </w:rPr>
      </w:pPr>
    </w:p>
    <w:p>
      <w:pPr>
        <w:spacing w:before="120" w:line="240" w:lineRule="atLeast"/>
        <w:rPr>
          <w:rFonts w:ascii="楷体" w:hAnsi="楷体" w:eastAsia="楷体"/>
          <w:sz w:val="24"/>
        </w:rPr>
      </w:pPr>
      <w:r>
        <w:rPr>
          <w:rFonts w:hint="eastAsia" w:ascii="楷体" w:hAnsi="楷体" w:eastAsia="楷体"/>
          <w:sz w:val="24"/>
        </w:rPr>
        <w:t xml:space="preserve"> </w:t>
      </w:r>
    </w:p>
    <w:p>
      <w:pPr>
        <w:spacing w:before="120" w:line="240" w:lineRule="atLeast"/>
        <w:ind w:left="960"/>
        <w:rPr>
          <w:rFonts w:ascii="黑体" w:hAnsi="黑体" w:eastAsia="黑体"/>
          <w:sz w:val="32"/>
          <w:szCs w:val="28"/>
        </w:rPr>
      </w:pPr>
      <w:r>
        <w:rPr>
          <w:rFonts w:hint="eastAsia" w:ascii="黑体" w:hAnsi="黑体" w:eastAsia="黑体"/>
          <w:sz w:val="32"/>
          <w:szCs w:val="28"/>
        </w:rPr>
        <w:t>项目名称：</w:t>
      </w:r>
      <w:r>
        <w:rPr>
          <w:rFonts w:hint="eastAsia" w:ascii="黑体" w:hAnsi="黑体" w:eastAsia="黑体"/>
          <w:sz w:val="32"/>
          <w:szCs w:val="28"/>
          <w:u w:val="single"/>
        </w:rPr>
        <w:t xml:space="preserve">                                   </w:t>
      </w:r>
    </w:p>
    <w:p>
      <w:pPr>
        <w:rPr>
          <w:rFonts w:ascii="黑体" w:hAnsi="黑体" w:eastAsia="黑体"/>
          <w:sz w:val="32"/>
          <w:szCs w:val="28"/>
        </w:rPr>
      </w:pPr>
      <w:r>
        <w:rPr>
          <w:rFonts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甲方：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left="960"/>
        <w:rPr>
          <w:rFonts w:ascii="黑体" w:hAnsi="黑体" w:eastAsia="黑体"/>
          <w:sz w:val="32"/>
          <w:szCs w:val="28"/>
          <w:u w:val="single"/>
        </w:rPr>
      </w:pPr>
      <w:r>
        <w:rPr>
          <w:rFonts w:hint="eastAsia" w:ascii="黑体" w:hAnsi="黑体" w:eastAsia="黑体"/>
          <w:sz w:val="32"/>
          <w:szCs w:val="28"/>
        </w:rPr>
        <w:t>乙方：</w:t>
      </w:r>
      <w:r>
        <w:rPr>
          <w:rFonts w:hint="eastAsia" w:ascii="黑体" w:hAnsi="黑体" w:eastAsia="黑体"/>
          <w:sz w:val="32"/>
          <w:szCs w:val="28"/>
          <w:u w:val="single"/>
        </w:rPr>
        <w:t xml:space="preserve">                                       </w:t>
      </w:r>
    </w:p>
    <w:p>
      <w:pPr>
        <w:spacing w:before="120" w:line="240" w:lineRule="atLeast"/>
        <w:rPr>
          <w:rFonts w:ascii="黑体" w:hAnsi="黑体" w:eastAsia="黑体"/>
          <w:sz w:val="32"/>
          <w:szCs w:val="28"/>
        </w:rPr>
      </w:pPr>
      <w:r>
        <w:rPr>
          <w:rFonts w:hint="eastAsia" w:ascii="黑体" w:hAnsi="黑体" w:eastAsia="黑体"/>
          <w:sz w:val="32"/>
          <w:szCs w:val="28"/>
        </w:rPr>
        <w:t xml:space="preserve"> </w:t>
      </w:r>
    </w:p>
    <w:p>
      <w:pPr>
        <w:spacing w:before="120" w:line="240" w:lineRule="atLeast"/>
        <w:ind w:firstLine="960" w:firstLineChars="300"/>
        <w:rPr>
          <w:rFonts w:ascii="黑体" w:hAnsi="黑体" w:eastAsia="黑体"/>
          <w:sz w:val="32"/>
          <w:szCs w:val="28"/>
        </w:rPr>
      </w:pPr>
      <w:r>
        <w:rPr>
          <w:rFonts w:hint="eastAsia" w:ascii="黑体" w:hAnsi="黑体" w:eastAsia="黑体"/>
          <w:sz w:val="32"/>
          <w:szCs w:val="28"/>
        </w:rPr>
        <w:t>代理机构：</w:t>
      </w:r>
      <w:r>
        <w:rPr>
          <w:rFonts w:hint="eastAsia" w:ascii="黑体" w:hAnsi="黑体" w:eastAsia="黑体"/>
          <w:sz w:val="32"/>
          <w:szCs w:val="28"/>
          <w:u w:val="single"/>
        </w:rPr>
        <w:t xml:space="preserve">     常州中采招投标有限公司        </w:t>
      </w:r>
    </w:p>
    <w:p>
      <w:pPr>
        <w:spacing w:before="120" w:line="240" w:lineRule="atLeast"/>
        <w:rPr>
          <w:rFonts w:ascii="黑体" w:hAnsi="黑体" w:eastAsia="黑体"/>
          <w:sz w:val="32"/>
          <w:szCs w:val="28"/>
        </w:rPr>
      </w:pPr>
      <w:r>
        <w:rPr>
          <w:rFonts w:ascii="黑体" w:hAnsi="黑体" w:eastAsia="黑体"/>
          <w:sz w:val="32"/>
          <w:szCs w:val="28"/>
        </w:rPr>
        <w:t xml:space="preserve"> </w:t>
      </w:r>
    </w:p>
    <w:p>
      <w:pPr>
        <w:spacing w:before="120" w:line="240" w:lineRule="atLeast"/>
        <w:ind w:firstLine="960" w:firstLineChars="300"/>
        <w:rPr>
          <w:rFonts w:ascii="黑体" w:hAnsi="黑体" w:eastAsia="黑体"/>
          <w:sz w:val="28"/>
          <w:szCs w:val="28"/>
          <w:u w:val="single"/>
        </w:rPr>
      </w:pPr>
      <w:r>
        <w:rPr>
          <w:rFonts w:hint="eastAsia" w:ascii="黑体" w:hAnsi="黑体" w:eastAsia="黑体"/>
          <w:sz w:val="32"/>
          <w:szCs w:val="28"/>
        </w:rPr>
        <w:t>签订地：</w:t>
      </w:r>
      <w:r>
        <w:rPr>
          <w:rFonts w:hint="eastAsia" w:ascii="黑体" w:hAnsi="黑体" w:eastAsia="黑体"/>
          <w:sz w:val="32"/>
          <w:szCs w:val="28"/>
          <w:u w:val="single"/>
        </w:rPr>
        <w:t xml:space="preserve">                                     </w:t>
      </w:r>
      <w:r>
        <w:rPr>
          <w:rFonts w:hint="eastAsia" w:ascii="黑体" w:hAnsi="黑体" w:eastAsia="黑体"/>
          <w:sz w:val="28"/>
          <w:szCs w:val="28"/>
          <w:u w:val="single"/>
        </w:rPr>
        <w:t xml:space="preserve"> </w:t>
      </w:r>
    </w:p>
    <w:p>
      <w:pPr>
        <w:spacing w:before="120" w:line="240" w:lineRule="atLeast"/>
        <w:ind w:firstLine="1400" w:firstLineChars="500"/>
        <w:rPr>
          <w:rFonts w:ascii="黑体" w:hAnsi="黑体" w:eastAsia="黑体"/>
          <w:sz w:val="28"/>
        </w:rPr>
      </w:pPr>
    </w:p>
    <w:p>
      <w:pPr>
        <w:spacing w:before="120" w:line="240" w:lineRule="atLeast"/>
        <w:ind w:firstLine="1400" w:firstLineChars="500"/>
        <w:rPr>
          <w:rFonts w:ascii="黑体" w:hAnsi="黑体" w:eastAsia="黑体"/>
          <w:sz w:val="28"/>
        </w:rPr>
      </w:pPr>
      <w:r>
        <w:rPr>
          <w:rFonts w:hint="eastAsia" w:ascii="黑体" w:hAnsi="黑体" w:eastAsia="黑体"/>
          <w:sz w:val="28"/>
        </w:rPr>
        <w:t>签订日期：</w:t>
      </w:r>
      <w:r>
        <w:rPr>
          <w:rFonts w:hint="eastAsia" w:ascii="黑体" w:hAnsi="黑体" w:eastAsia="黑体"/>
          <w:sz w:val="28"/>
          <w:u w:val="single"/>
        </w:rPr>
        <w:t xml:space="preserve">               </w:t>
      </w:r>
      <w:r>
        <w:rPr>
          <w:rFonts w:hint="eastAsia" w:ascii="黑体" w:hAnsi="黑体" w:eastAsia="黑体"/>
          <w:sz w:val="28"/>
        </w:rPr>
        <w:t>年</w:t>
      </w:r>
      <w:r>
        <w:rPr>
          <w:rFonts w:hint="eastAsia" w:ascii="黑体" w:hAnsi="黑体" w:eastAsia="黑体"/>
          <w:sz w:val="28"/>
          <w:u w:val="single"/>
        </w:rPr>
        <w:t xml:space="preserve">       </w:t>
      </w:r>
      <w:r>
        <w:rPr>
          <w:rFonts w:hint="eastAsia" w:ascii="黑体" w:hAnsi="黑体" w:eastAsia="黑体"/>
          <w:sz w:val="28"/>
        </w:rPr>
        <w:t>月</w:t>
      </w:r>
      <w:r>
        <w:rPr>
          <w:rFonts w:hint="eastAsia" w:ascii="黑体" w:hAnsi="黑体" w:eastAsia="黑体"/>
          <w:sz w:val="28"/>
          <w:u w:val="single"/>
        </w:rPr>
        <w:t xml:space="preserve">       </w:t>
      </w:r>
      <w:r>
        <w:rPr>
          <w:rFonts w:hint="eastAsia" w:ascii="黑体" w:hAnsi="黑体" w:eastAsia="黑体"/>
          <w:sz w:val="28"/>
        </w:rPr>
        <w:t>日</w:t>
      </w:r>
    </w:p>
    <w:p>
      <w:pPr>
        <w:spacing w:before="120" w:line="240" w:lineRule="atLeast"/>
        <w:rPr>
          <w:rFonts w:ascii="黑体" w:hAnsi="黑体" w:eastAsia="黑体"/>
          <w:sz w:val="28"/>
        </w:rPr>
      </w:pPr>
    </w:p>
    <w:p>
      <w:pPr>
        <w:widowControl/>
        <w:jc w:val="left"/>
        <w:rPr>
          <w:rFonts w:ascii="黑体" w:hAnsi="黑体" w:eastAsia="黑体"/>
          <w:sz w:val="28"/>
        </w:rPr>
      </w:pPr>
      <w:r>
        <w:rPr>
          <w:rFonts w:ascii="黑体" w:hAnsi="黑体" w:eastAsia="黑体"/>
          <w:sz w:val="28"/>
        </w:rPr>
        <w:br w:type="page"/>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r>
        <w:rPr>
          <w:rFonts w:hint="eastAsia" w:ascii="宋体" w:hAnsi="宋体" w:eastAsia="宋体" w:cs="Times New Roman"/>
          <w:sz w:val="24"/>
          <w:szCs w:val="24"/>
          <w:u w:val="single"/>
        </w:rPr>
        <w:t xml:space="preserve">   （采购人名称）   </w:t>
      </w:r>
      <w:r>
        <w:rPr>
          <w:rFonts w:hint="eastAsia" w:ascii="宋体" w:hAnsi="宋体" w:eastAsia="宋体" w:cs="Times New Roman"/>
          <w:sz w:val="24"/>
          <w:szCs w:val="24"/>
        </w:rPr>
        <w:t>以</w:t>
      </w:r>
      <w:r>
        <w:rPr>
          <w:rFonts w:hint="eastAsia" w:ascii="宋体" w:hAnsi="宋体" w:eastAsia="宋体" w:cs="Times New Roman"/>
          <w:sz w:val="24"/>
          <w:szCs w:val="24"/>
          <w:u w:val="single"/>
        </w:rPr>
        <w:t xml:space="preserve">   （采购方式）  </w:t>
      </w:r>
      <w:r>
        <w:rPr>
          <w:rFonts w:hint="eastAsia" w:ascii="宋体" w:hAnsi="宋体" w:eastAsia="宋体" w:cs="Times New Roman"/>
          <w:sz w:val="24"/>
          <w:szCs w:val="24"/>
        </w:rPr>
        <w:t>对</w:t>
      </w:r>
      <w:r>
        <w:rPr>
          <w:rFonts w:hint="eastAsia" w:ascii="宋体" w:hAnsi="宋体" w:eastAsia="宋体" w:cs="Times New Roman"/>
          <w:sz w:val="24"/>
          <w:szCs w:val="24"/>
          <w:u w:val="single"/>
        </w:rPr>
        <w:t xml:space="preserve">   （同前页项目名称）   </w:t>
      </w:r>
      <w:r>
        <w:rPr>
          <w:rFonts w:hint="eastAsia" w:ascii="宋体" w:hAnsi="宋体" w:eastAsia="宋体" w:cs="Times New Roman"/>
          <w:sz w:val="24"/>
          <w:szCs w:val="24"/>
        </w:rPr>
        <w:t>项目进行了采购。经评定，</w:t>
      </w:r>
      <w:r>
        <w:rPr>
          <w:rFonts w:hint="eastAsia" w:ascii="宋体" w:hAnsi="宋体" w:eastAsia="宋体" w:cs="Times New Roman"/>
          <w:sz w:val="24"/>
          <w:szCs w:val="24"/>
          <w:u w:val="single"/>
        </w:rPr>
        <w:t xml:space="preserve">   （中标供应商名称） </w:t>
      </w:r>
      <w:r>
        <w:rPr>
          <w:rFonts w:hint="eastAsia" w:ascii="宋体" w:hAnsi="宋体" w:eastAsia="宋体" w:cs="Times New Roman"/>
          <w:sz w:val="24"/>
          <w:szCs w:val="24"/>
        </w:rPr>
        <w:t>为该项目中标供应商。现于中标通知书发出之日起三十日内，按照采购文件确定的事项签订本合同。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根据《中华人民共和国民法典》、《中华人民共和国政府采购法》等相关法律法规之规定，按照平等、自愿、公平和诚实信用的原则，经</w:t>
      </w:r>
      <w:r>
        <w:rPr>
          <w:rFonts w:hint="eastAsia" w:ascii="宋体" w:hAnsi="宋体" w:eastAsia="宋体" w:cs="Times New Roman"/>
          <w:sz w:val="24"/>
          <w:szCs w:val="24"/>
          <w:u w:val="single"/>
        </w:rPr>
        <w:t xml:space="preserve">   （采购人名称）   </w:t>
      </w:r>
      <w:r>
        <w:rPr>
          <w:rFonts w:hint="eastAsia" w:ascii="宋体" w:hAnsi="宋体" w:eastAsia="宋体" w:cs="Times New Roman"/>
          <w:sz w:val="24"/>
          <w:szCs w:val="24"/>
        </w:rPr>
        <w:t>(以下简称：甲方)和</w:t>
      </w:r>
      <w:r>
        <w:rPr>
          <w:rFonts w:hint="eastAsia" w:ascii="宋体" w:hAnsi="宋体" w:eastAsia="宋体" w:cs="Times New Roman"/>
          <w:sz w:val="24"/>
          <w:szCs w:val="24"/>
          <w:u w:val="single"/>
        </w:rPr>
        <w:t xml:space="preserve">   （中标供应商名称）   </w:t>
      </w:r>
      <w:r>
        <w:rPr>
          <w:rFonts w:hint="eastAsia" w:ascii="宋体" w:hAnsi="宋体" w:eastAsia="宋体" w:cs="Times New Roman"/>
          <w:sz w:val="24"/>
          <w:szCs w:val="24"/>
        </w:rPr>
        <w:t>(以下简称：乙方)协商一致，约定以下合同条款，以兹共同遵守、全面履行。</w:t>
      </w:r>
    </w:p>
    <w:p>
      <w:pPr>
        <w:spacing w:line="360" w:lineRule="auto"/>
        <w:ind w:firstLine="482" w:firstLineChars="200"/>
        <w:rPr>
          <w:rFonts w:ascii="Calibri" w:hAnsi="Calibri" w:eastAsia="宋体" w:cs="Times New Roman"/>
          <w:b/>
          <w:sz w:val="24"/>
          <w:szCs w:val="24"/>
        </w:rPr>
      </w:pPr>
      <w:bookmarkStart w:id="49" w:name="_Toc60748165"/>
      <w:r>
        <w:rPr>
          <w:rFonts w:hint="eastAsia" w:ascii="Calibri" w:hAnsi="Calibri" w:eastAsia="宋体" w:cs="Times New Roman"/>
          <w:b/>
          <w:sz w:val="24"/>
          <w:szCs w:val="24"/>
        </w:rPr>
        <w:t>一、合同组成部分</w:t>
      </w:r>
      <w:bookmarkEnd w:id="4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1.本合同及其补充合同、变更协议；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2.中标通知书；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3.投标文件（含澄清或者说明文件）；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4.采购文件（含澄清或者修改文件）；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5.其他相关采购文件。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双方有关项目的洽商、变更等书面协议或文件视为本合同的组成部分。</w:t>
      </w:r>
    </w:p>
    <w:p>
      <w:pPr>
        <w:spacing w:line="360" w:lineRule="auto"/>
        <w:ind w:firstLine="482" w:firstLineChars="200"/>
        <w:rPr>
          <w:rFonts w:ascii="Calibri" w:hAnsi="Calibri" w:eastAsia="宋体" w:cs="Times New Roman"/>
          <w:b/>
          <w:sz w:val="24"/>
          <w:szCs w:val="24"/>
        </w:rPr>
      </w:pPr>
      <w:bookmarkStart w:id="50" w:name="_Toc60748166"/>
      <w:r>
        <w:rPr>
          <w:rFonts w:hint="eastAsia" w:ascii="Calibri" w:hAnsi="Calibri" w:eastAsia="宋体" w:cs="Times New Roman"/>
          <w:b/>
          <w:sz w:val="24"/>
          <w:szCs w:val="24"/>
        </w:rPr>
        <w:t>二、合同标的</w:t>
      </w:r>
      <w:bookmarkEnd w:id="50"/>
      <w:r>
        <w:rPr>
          <w:rFonts w:hint="eastAsia" w:ascii="Calibri" w:hAnsi="Calibri" w:eastAsia="宋体" w:cs="Times New Roman"/>
          <w:b/>
          <w:sz w:val="24"/>
          <w:szCs w:val="24"/>
        </w:rPr>
        <w:t>内容</w:t>
      </w:r>
    </w:p>
    <w:p>
      <w:pPr>
        <w:tabs>
          <w:tab w:val="left" w:pos="9030"/>
        </w:tabs>
        <w:snapToGrid w:val="0"/>
        <w:spacing w:line="360" w:lineRule="auto"/>
        <w:ind w:firstLine="480" w:firstLineChars="200"/>
        <w:rPr>
          <w:rFonts w:ascii="宋体" w:hAnsi="宋体" w:eastAsia="宋体" w:cs="Times New Roman"/>
          <w:sz w:val="24"/>
          <w:szCs w:val="24"/>
          <w:u w:val="single"/>
        </w:rPr>
      </w:pPr>
      <w:bookmarkStart w:id="51" w:name="_Toc60748167"/>
      <w:r>
        <w:rPr>
          <w:rFonts w:hint="eastAsia" w:ascii="宋体" w:hAnsi="宋体" w:eastAsia="宋体" w:cs="Times New Roman"/>
          <w:sz w:val="24"/>
          <w:szCs w:val="24"/>
        </w:rPr>
        <w:t>1.项目名称：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ascii="宋体" w:hAnsi="宋体" w:eastAsia="宋体" w:cs="Times New Roman"/>
          <w:sz w:val="24"/>
          <w:szCs w:val="24"/>
        </w:rPr>
        <w:tab/>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2.坐落位置：</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3.服务范围：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4.服务期限：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Calibri" w:hAnsi="Calibri" w:eastAsia="宋体" w:cs="Times New Roman"/>
          <w:b/>
          <w:sz w:val="24"/>
          <w:szCs w:val="24"/>
        </w:rPr>
      </w:pPr>
      <w:r>
        <w:rPr>
          <w:rFonts w:hint="eastAsia" w:ascii="Calibri" w:hAnsi="Calibri" w:eastAsia="宋体" w:cs="Times New Roman"/>
          <w:b/>
          <w:sz w:val="24"/>
          <w:szCs w:val="24"/>
        </w:rPr>
        <w:t>三、合同价款</w:t>
      </w:r>
      <w:bookmarkEnd w:id="5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本合同总价为：￥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元人民币）。</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分项价格：</w:t>
      </w:r>
    </w:p>
    <w:tbl>
      <w:tblPr>
        <w:tblStyle w:val="3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序号</w:t>
            </w: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分项名称</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340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总价</w:t>
            </w:r>
          </w:p>
        </w:tc>
        <w:tc>
          <w:tcPr>
            <w:tcW w:w="2552" w:type="dxa"/>
            <w:tcBorders>
              <w:top w:val="single" w:color="auto" w:sz="4" w:space="0"/>
              <w:left w:val="nil"/>
              <w:bottom w:val="single" w:color="auto" w:sz="4" w:space="0"/>
              <w:right w:val="single" w:color="auto" w:sz="4" w:space="0"/>
            </w:tcBorders>
            <w:vAlign w:val="center"/>
          </w:tcPr>
          <w:p>
            <w:pPr>
              <w:spacing w:line="360" w:lineRule="auto"/>
              <w:ind w:firstLine="200"/>
              <w:jc w:val="center"/>
              <w:rPr>
                <w:rFonts w:ascii="宋体" w:hAnsi="宋体" w:eastAsia="宋体" w:cs="Times New Roman"/>
                <w:color w:val="000000"/>
                <w:sz w:val="24"/>
                <w:szCs w:val="24"/>
              </w:rPr>
            </w:pPr>
          </w:p>
        </w:tc>
      </w:tr>
    </w:tbl>
    <w:p>
      <w:pPr>
        <w:spacing w:line="360" w:lineRule="auto"/>
        <w:ind w:firstLine="482" w:firstLineChars="200"/>
        <w:rPr>
          <w:rFonts w:ascii="宋体" w:hAnsi="宋体" w:eastAsia="宋体" w:cs="Times New Roman"/>
          <w:b/>
          <w:bCs/>
          <w:sz w:val="24"/>
          <w:szCs w:val="24"/>
        </w:rPr>
      </w:pPr>
      <w:bookmarkStart w:id="52" w:name="_Toc60748168"/>
      <w:r>
        <w:rPr>
          <w:rFonts w:hint="eastAsia" w:ascii="宋体" w:hAnsi="宋体" w:eastAsia="宋体" w:cs="Times New Roman"/>
          <w:b/>
          <w:bCs/>
          <w:sz w:val="24"/>
          <w:szCs w:val="24"/>
        </w:rPr>
        <w:t>四、 付款方式和发票开具方式</w:t>
      </w:r>
      <w:bookmarkEnd w:id="5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1.付款方式：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2.发票开具方式：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bookmarkStart w:id="53" w:name="_Toc60748169"/>
      <w:r>
        <w:rPr>
          <w:rFonts w:hint="eastAsia" w:ascii="宋体" w:hAnsi="宋体" w:eastAsia="宋体" w:cs="Times New Roman"/>
          <w:b/>
          <w:bCs/>
          <w:sz w:val="24"/>
          <w:szCs w:val="24"/>
        </w:rPr>
        <w:t>五、履行期限、地点和方式</w:t>
      </w:r>
      <w:bookmarkEnd w:id="53"/>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1.履行期限：</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2.履行地点：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3.履行方式：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六、</w:t>
      </w:r>
      <w:bookmarkStart w:id="54" w:name="_Toc60748170"/>
      <w:r>
        <w:rPr>
          <w:rFonts w:hint="eastAsia" w:ascii="宋体" w:hAnsi="宋体" w:eastAsia="宋体" w:cs="Times New Roman"/>
          <w:b/>
          <w:bCs/>
          <w:sz w:val="24"/>
          <w:szCs w:val="24"/>
        </w:rPr>
        <w:t>服务管理考核</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1.岗位出勤情况考核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2.服务质量考核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3.服务满意度考核</w:t>
      </w:r>
    </w:p>
    <w:p>
      <w:pPr>
        <w:snapToGrid w:val="0"/>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七、保密要求</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r>
        <w:rPr>
          <w:rFonts w:ascii="宋体" w:hAnsi="宋体" w:eastAsia="宋体" w:cs="Times New Roman"/>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八、甲方权利与义务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（一）甲方权利：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有权向乙方询问工作进展情况及相关的内容。</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有权阐述对具体问题的意见和建议。</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 当甲方认定乙方人员不按合同履行其职责，或与第三人串通给甲方造成经济损失的，甲方有权要求更换人员，直至终止合同并要求乙方承担相应的赔偿责任。</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4. </w:t>
      </w:r>
      <w:r>
        <w:rPr>
          <w:rFonts w:hint="eastAsia" w:ascii="宋体" w:hAnsi="宋体" w:eastAsia="宋体" w:cs="仿宋"/>
          <w:sz w:val="24"/>
          <w:szCs w:val="24"/>
          <w:u w:val="single"/>
        </w:rPr>
        <w:t xml:space="preserve">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（二）甲方义务：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负责与本项目有关的第三方的协调，提供开展服务工作的外部条件。</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向乙方提供与本项目有关的资料。</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3. </w:t>
      </w:r>
      <w:r>
        <w:rPr>
          <w:rFonts w:hint="eastAsia" w:ascii="宋体" w:hAnsi="宋体" w:eastAsia="宋体" w:cs="仿宋"/>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九、乙方权利与义务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一、乙方权利：</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乙方在本项目服务过程中，如甲方提供的资料不明确时可向甲方提出书面报告。</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2. </w:t>
      </w:r>
      <w:r>
        <w:rPr>
          <w:rFonts w:hint="eastAsia" w:ascii="宋体" w:hAnsi="宋体" w:eastAsia="宋体" w:cs="仿宋"/>
          <w:sz w:val="24"/>
          <w:szCs w:val="24"/>
          <w:u w:val="single"/>
        </w:rPr>
        <w:t xml:space="preserve">                                              </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二、乙方义务：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 应按照</w:t>
      </w:r>
      <w:r>
        <w:rPr>
          <w:rFonts w:hint="eastAsia" w:ascii="宋体" w:hAnsi="宋体" w:eastAsia="宋体" w:cs="仿宋"/>
          <w:sz w:val="24"/>
          <w:szCs w:val="24"/>
        </w:rPr>
        <w:softHyphen/>
      </w:r>
      <w:r>
        <w:rPr>
          <w:rFonts w:hint="eastAsia" w:ascii="宋体" w:hAnsi="宋体" w:eastAsia="宋体" w:cs="仿宋"/>
          <w:sz w:val="24"/>
          <w:szCs w:val="24"/>
        </w:rPr>
        <w:t>本项目采购文件、乙方投标文件要求按期完成本项目工作。</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 负责组织项目的实施，保证工作质量满足相关验收相关标准。</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3. 乙方不得擅自部分或全部转让其应履行的合同义务。</w:t>
      </w:r>
    </w:p>
    <w:p>
      <w:pPr>
        <w:snapToGrid w:val="0"/>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 xml:space="preserve">4. </w:t>
      </w:r>
      <w:r>
        <w:rPr>
          <w:rFonts w:hint="eastAsia" w:ascii="宋体" w:hAnsi="宋体" w:eastAsia="宋体" w:cs="仿宋"/>
          <w:sz w:val="24"/>
          <w:szCs w:val="24"/>
          <w:u w:val="single"/>
        </w:rPr>
        <w:t xml:space="preserve">                                              </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十、 违约责任</w:t>
      </w:r>
      <w:bookmarkEnd w:id="5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%计算，最高限额为本合同总价的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%；迟延履行的违约金计算数额达到前述最高限额之日起，甲方有权在要求乙方支付违约金的同时，书面通知乙方解除本合同；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2.除不可抗力外，如果甲方没有按照本合同约定的付款方式付款，那么乙方可要求甲方支付违约金，违约金按每迟延付款一日的应付而未付款的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%计算，最高限额为本合同总价的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%；迟延付款的违约金计算数额达到前述最高限额之日起，乙方有权在要求甲方支付违约金的同时，书面通知甲方解除本合同；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6.如果出现采购监督管理部门在处理投诉事项期间，书面通知甲方暂停采购活动的情形，或者询问或质疑事项可能影响中标结果的，导致甲方中止履行合同的情形，均不视为甲方违约。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宋体" w:hAnsi="宋体" w:eastAsia="宋体" w:cs="Times New Roman"/>
          <w:b/>
          <w:bCs/>
          <w:sz w:val="24"/>
          <w:szCs w:val="24"/>
        </w:rPr>
      </w:pPr>
      <w:bookmarkStart w:id="55" w:name="_Toc60748171"/>
      <w:r>
        <w:rPr>
          <w:rFonts w:hint="eastAsia" w:ascii="宋体" w:hAnsi="宋体" w:eastAsia="宋体" w:cs="Times New Roman"/>
          <w:b/>
          <w:bCs/>
          <w:sz w:val="24"/>
          <w:szCs w:val="24"/>
        </w:rPr>
        <w:t>十一、 合同争议的解决</w:t>
      </w:r>
      <w:bookmarkEnd w:id="5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本合同履行过程中发生的任何争议，双方当事人均可通过和解或者调解解决；不愿和解、调解或者和解、调解不成的，可以选择下列第</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种方式解决：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1.将争议提交</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仲裁委员会依申请仲裁时其现行有效的仲裁规则裁决；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2.向</w:t>
      </w:r>
      <w:r>
        <w:rPr>
          <w:rFonts w:hint="eastAsia" w:ascii="宋体" w:hAnsi="宋体" w:eastAsia="宋体" w:cs="Times New Roman"/>
          <w:sz w:val="24"/>
          <w:szCs w:val="24"/>
          <w:u w:val="single"/>
        </w:rPr>
        <w:t xml:space="preserve">   （被告住所地、合同履行地、合同签订地、原告住所地、标的物所在地等与争议有实际联系的地点中选出的人民法院名称）    </w:t>
      </w:r>
      <w:r>
        <w:rPr>
          <w:rFonts w:hint="eastAsia" w:ascii="宋体" w:hAnsi="宋体" w:eastAsia="宋体" w:cs="Times New Roman"/>
          <w:sz w:val="24"/>
          <w:szCs w:val="24"/>
        </w:rPr>
        <w:t>人民法院起诉。</w:t>
      </w:r>
    </w:p>
    <w:p>
      <w:pPr>
        <w:spacing w:line="360" w:lineRule="auto"/>
        <w:ind w:firstLine="482" w:firstLineChars="200"/>
        <w:rPr>
          <w:rFonts w:ascii="宋体" w:hAnsi="宋体" w:eastAsia="宋体" w:cs="Times New Roman"/>
          <w:b/>
          <w:bCs/>
          <w:sz w:val="24"/>
          <w:szCs w:val="24"/>
        </w:rPr>
      </w:pPr>
      <w:bookmarkStart w:id="56" w:name="_Toc60748172"/>
      <w:r>
        <w:rPr>
          <w:rFonts w:hint="eastAsia" w:ascii="宋体" w:hAnsi="宋体" w:eastAsia="宋体" w:cs="Times New Roman"/>
          <w:b/>
          <w:bCs/>
          <w:sz w:val="24"/>
          <w:szCs w:val="24"/>
        </w:rPr>
        <w:t>十二、合同生效</w:t>
      </w:r>
      <w:bookmarkEnd w:id="5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本合同自双方当事人盖章或者签字时生效。</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甲方（采购人）（盖章）：                          乙方（中标供应商）（盖章）：</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法定代表人：                                    法定代表人：</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代理人：                                        代理人：</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电  话：                                        电  话：</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开户银行：                                      开户银行：</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账  号：                                        账  号：</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单位地址：                                      单位地址：</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日  期：                                        日  期：</w:t>
      </w:r>
    </w:p>
    <w:p>
      <w:pPr>
        <w:widowControl/>
        <w:spacing w:line="360" w:lineRule="auto"/>
        <w:jc w:val="left"/>
        <w:rPr>
          <w:rFonts w:ascii="宋体" w:hAnsi="宋体" w:eastAsia="宋体" w:cs="Times New Roman"/>
          <w:sz w:val="24"/>
          <w:szCs w:val="24"/>
        </w:rPr>
      </w:pPr>
    </w:p>
    <w:p>
      <w:pPr>
        <w:widowControl/>
        <w:spacing w:line="360" w:lineRule="auto"/>
        <w:jc w:val="left"/>
        <w:rPr>
          <w:rFonts w:ascii="宋体" w:hAnsi="宋体" w:eastAsia="宋体" w:cs="Times New Roman"/>
          <w:sz w:val="24"/>
          <w:szCs w:val="24"/>
        </w:rPr>
      </w:pP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合同备案</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代理机构（盖章）：</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日期：</w:t>
      </w:r>
    </w:p>
    <w:p>
      <w:pPr>
        <w:widowControl/>
        <w:spacing w:line="360" w:lineRule="auto"/>
        <w:jc w:val="left"/>
        <w:rPr>
          <w:rFonts w:ascii="宋体" w:hAnsi="宋体" w:eastAsia="宋体" w:cs="Times New Roman"/>
          <w:sz w:val="24"/>
          <w:szCs w:val="24"/>
        </w:rPr>
      </w:pPr>
      <w:r>
        <w:rPr>
          <w:rFonts w:hint="eastAsia" w:ascii="宋体" w:hAnsi="宋体" w:eastAsia="宋体" w:cs="Times New Roman"/>
          <w:sz w:val="24"/>
          <w:szCs w:val="24"/>
        </w:rPr>
        <w:t>地址：钟楼区玉龙南路280号常州大数据产业园2号楼19楼1903室</w:t>
      </w:r>
    </w:p>
    <w:p>
      <w:pPr>
        <w:widowControl/>
        <w:spacing w:line="360" w:lineRule="auto"/>
        <w:jc w:val="left"/>
        <w:rPr>
          <w:rFonts w:ascii="仿宋" w:hAnsi="仿宋" w:eastAsia="仿宋"/>
          <w:sz w:val="32"/>
          <w:szCs w:val="32"/>
        </w:rPr>
        <w:sectPr>
          <w:headerReference r:id="rId8" w:type="default"/>
          <w:footerReference r:id="rId9" w:type="default"/>
          <w:pgSz w:w="11906" w:h="16838"/>
          <w:pgMar w:top="1239" w:right="1474" w:bottom="1276" w:left="1588" w:header="567" w:footer="476" w:gutter="0"/>
          <w:pgNumType w:start="1"/>
          <w:cols w:space="425" w:num="1"/>
          <w:docGrid w:type="lines" w:linePitch="312" w:charSpace="0"/>
        </w:sectPr>
      </w:pPr>
      <w:r>
        <w:rPr>
          <w:rFonts w:hint="eastAsia" w:ascii="宋体" w:hAnsi="宋体" w:eastAsia="宋体" w:cs="Times New Roman"/>
          <w:sz w:val="24"/>
          <w:szCs w:val="24"/>
        </w:rPr>
        <w:t>电话：</w:t>
      </w:r>
    </w:p>
    <w:bookmarkEnd w:id="48"/>
    <w:p>
      <w:pPr>
        <w:keepNext/>
        <w:spacing w:line="360" w:lineRule="auto"/>
        <w:jc w:val="both"/>
        <w:outlineLvl w:val="0"/>
        <w:rPr>
          <w:rFonts w:ascii="黑体" w:hAnsi="黑体" w:eastAsia="黑体" w:cs="Times New Roman"/>
          <w:bCs/>
          <w:kern w:val="0"/>
          <w:sz w:val="28"/>
          <w:szCs w:val="28"/>
        </w:rPr>
      </w:pPr>
      <w:bookmarkStart w:id="57" w:name="_Toc31110"/>
      <w:bookmarkStart w:id="58" w:name="_Toc55147052"/>
      <w:r>
        <w:rPr>
          <w:rFonts w:hint="eastAsia" w:ascii="黑体" w:hAnsi="黑体" w:eastAsia="黑体" w:cs="Times New Roman"/>
          <w:bCs/>
          <w:kern w:val="0"/>
          <w:sz w:val="28"/>
          <w:szCs w:val="28"/>
        </w:rPr>
        <w:t>五．响应文件格式</w:t>
      </w:r>
      <w:bookmarkEnd w:id="57"/>
      <w:bookmarkEnd w:id="58"/>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rPr>
          <w:rFonts w:ascii="黑体" w:eastAsia="黑体"/>
          <w:bCs/>
          <w:color w:val="000000" w:themeColor="text1"/>
          <w:sz w:val="32"/>
          <w14:textFill>
            <w14:solidFill>
              <w14:schemeClr w14:val="tx1"/>
            </w14:solidFill>
          </w14:textFill>
        </w:rPr>
      </w:pPr>
    </w:p>
    <w:p>
      <w:pPr>
        <w:jc w:val="center"/>
        <w:rPr>
          <w:rFonts w:ascii="黑体" w:eastAsia="黑体"/>
          <w:bCs/>
          <w:color w:val="000000" w:themeColor="text1"/>
          <w:sz w:val="84"/>
          <w:szCs w:val="84"/>
          <w14:textFill>
            <w14:solidFill>
              <w14:schemeClr w14:val="tx1"/>
            </w14:solidFill>
          </w14:textFill>
        </w:rPr>
      </w:pPr>
      <w:bookmarkStart w:id="59" w:name="_Toc55147053"/>
      <w:r>
        <w:rPr>
          <w:rFonts w:hint="eastAsia" w:ascii="黑体" w:eastAsia="黑体"/>
          <w:bCs/>
          <w:color w:val="000000" w:themeColor="text1"/>
          <w:sz w:val="84"/>
          <w:szCs w:val="84"/>
          <w14:textFill>
            <w14:solidFill>
              <w14:schemeClr w14:val="tx1"/>
            </w14:solidFill>
          </w14:textFill>
        </w:rPr>
        <w:t>响 应 文 件</w:t>
      </w:r>
    </w:p>
    <w:p>
      <w:pPr>
        <w:jc w:val="center"/>
        <w:rPr>
          <w:rFonts w:ascii="黑体" w:eastAsia="黑体"/>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72"/>
          <w14:textFill>
            <w14:solidFill>
              <w14:schemeClr w14:val="tx1"/>
            </w14:solidFill>
          </w14:textFill>
        </w:rPr>
      </w:pPr>
    </w:p>
    <w:p>
      <w:pPr>
        <w:rPr>
          <w:rFonts w:ascii="楷体_GB2312" w:eastAsia="楷体_GB2312"/>
          <w:bCs/>
          <w:color w:val="000000" w:themeColor="text1"/>
          <w:sz w:val="72"/>
          <w14:textFill>
            <w14:solidFill>
              <w14:schemeClr w14:val="tx1"/>
            </w14:solidFill>
          </w14:textFill>
        </w:rPr>
      </w:pPr>
    </w:p>
    <w:p>
      <w:pPr>
        <w:jc w:val="center"/>
        <w:rPr>
          <w:rFonts w:ascii="楷体_GB2312" w:eastAsia="楷体_GB2312"/>
          <w:bCs/>
          <w:color w:val="000000" w:themeColor="text1"/>
          <w:sz w:val="28"/>
          <w14:textFill>
            <w14:solidFill>
              <w14:schemeClr w14:val="tx1"/>
            </w14:solidFill>
          </w14:textFill>
        </w:rPr>
      </w:pP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编 号：</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项 目 名 称：</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 xml:space="preserve">报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 xml:space="preserve">价 </w:t>
      </w:r>
      <w:r>
        <w:rPr>
          <w:rFonts w:ascii="黑体" w:eastAsia="黑体"/>
          <w:bCs/>
          <w:color w:val="000000" w:themeColor="text1"/>
          <w:sz w:val="36"/>
          <w:szCs w:val="36"/>
          <w14:textFill>
            <w14:solidFill>
              <w14:schemeClr w14:val="tx1"/>
            </w14:solidFill>
          </w14:textFill>
        </w:rPr>
        <w:t xml:space="preserve"> </w:t>
      </w:r>
      <w:r>
        <w:rPr>
          <w:rFonts w:hint="eastAsia" w:ascii="黑体" w:eastAsia="黑体"/>
          <w:bCs/>
          <w:color w:val="000000" w:themeColor="text1"/>
          <w:sz w:val="36"/>
          <w:szCs w:val="36"/>
          <w14:textFill>
            <w14:solidFill>
              <w14:schemeClr w14:val="tx1"/>
            </w14:solidFill>
          </w14:textFill>
        </w:rPr>
        <w:t>人：</w:t>
      </w:r>
    </w:p>
    <w:p>
      <w:pPr>
        <w:jc w:val="center"/>
        <w:rPr>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日       期：</w:t>
      </w:r>
    </w:p>
    <w:p>
      <w:pPr>
        <w:widowControl/>
        <w:jc w:val="left"/>
        <w:rPr>
          <w:rFonts w:ascii="黑体" w:eastAsia="黑体"/>
          <w:bCs/>
          <w:color w:val="000000" w:themeColor="text1"/>
          <w:sz w:val="36"/>
          <w:szCs w:val="36"/>
          <w14:textFill>
            <w14:solidFill>
              <w14:schemeClr w14:val="tx1"/>
            </w14:solidFill>
          </w14:textFill>
        </w:rPr>
      </w:pPr>
    </w:p>
    <w:p>
      <w:pPr>
        <w:widowControl/>
        <w:jc w:val="left"/>
        <w:rPr>
          <w:rFonts w:ascii="黑体" w:hAnsi="黑体" w:eastAsia="黑体"/>
          <w:sz w:val="24"/>
          <w:szCs w:val="24"/>
        </w:rPr>
      </w:pPr>
      <w:r>
        <w:rPr>
          <w:rFonts w:ascii="黑体" w:hAnsi="黑体" w:eastAsia="黑体"/>
          <w:sz w:val="24"/>
          <w:szCs w:val="24"/>
        </w:rPr>
        <w:br w:type="page"/>
      </w:r>
      <w:bookmarkEnd w:id="59"/>
    </w:p>
    <w:p>
      <w:pPr>
        <w:spacing w:line="360" w:lineRule="auto"/>
        <w:rPr>
          <w:rFonts w:ascii="黑体" w:hAnsi="黑体" w:eastAsia="黑体"/>
          <w:sz w:val="28"/>
          <w:szCs w:val="28"/>
        </w:rPr>
      </w:pPr>
      <w:r>
        <w:rPr>
          <w:rFonts w:hint="eastAsia" w:ascii="黑体" w:hAnsi="黑体" w:eastAsia="黑体"/>
          <w:sz w:val="28"/>
          <w:szCs w:val="28"/>
        </w:rPr>
        <w:t>一、供应商情况说明</w:t>
      </w:r>
    </w:p>
    <w:p>
      <w:pPr>
        <w:snapToGrid w:val="0"/>
        <w:spacing w:line="360" w:lineRule="auto"/>
        <w:ind w:firstLine="480" w:firstLineChars="200"/>
        <w:rPr>
          <w:rFonts w:ascii="宋体" w:hAnsi="宋体"/>
          <w:sz w:val="24"/>
          <w:szCs w:val="24"/>
        </w:rPr>
      </w:pPr>
      <w:r>
        <w:rPr>
          <w:rFonts w:hint="eastAsia" w:ascii="宋体" w:hAnsi="宋体"/>
          <w:sz w:val="24"/>
          <w:szCs w:val="24"/>
        </w:rPr>
        <w:t>供应商简要情况介绍，含供应商规模、技术能力及装备水平等、人员情况、典型项目等。供应商自行以文字形式说明。</w:t>
      </w:r>
    </w:p>
    <w:p>
      <w:pPr>
        <w:snapToGrid w:val="0"/>
        <w:spacing w:line="360" w:lineRule="auto"/>
        <w:rPr>
          <w:rFonts w:ascii="宋体" w:hAnsi="宋体"/>
          <w:sz w:val="24"/>
          <w:szCs w:val="24"/>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p>
    <w:p>
      <w:pPr>
        <w:spacing w:line="360" w:lineRule="auto"/>
        <w:rPr>
          <w:rFonts w:ascii="黑体" w:hAnsi="黑体" w:eastAsia="黑体"/>
          <w:sz w:val="28"/>
          <w:szCs w:val="28"/>
        </w:rPr>
      </w:pPr>
      <w:r>
        <w:rPr>
          <w:rFonts w:hint="eastAsia" w:ascii="黑体" w:hAnsi="黑体" w:eastAsia="黑体"/>
          <w:sz w:val="28"/>
          <w:szCs w:val="28"/>
        </w:rPr>
        <w:t>二、资格审查响应对照表</w:t>
      </w:r>
    </w:p>
    <w:tbl>
      <w:tblPr>
        <w:tblStyle w:val="3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95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序号</w:t>
            </w:r>
          </w:p>
        </w:tc>
        <w:tc>
          <w:tcPr>
            <w:tcW w:w="5447"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资格审查响应内容</w:t>
            </w:r>
          </w:p>
        </w:tc>
        <w:tc>
          <w:tcPr>
            <w:tcW w:w="1953"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是否响应</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（填是或者否）</w:t>
            </w:r>
          </w:p>
        </w:tc>
        <w:tc>
          <w:tcPr>
            <w:tcW w:w="1785" w:type="dxa"/>
            <w:vAlign w:val="center"/>
          </w:tcPr>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响应文件中</w:t>
            </w:r>
          </w:p>
          <w:p>
            <w:pPr>
              <w:snapToGrid w:val="0"/>
              <w:spacing w:line="240" w:lineRule="atLeast"/>
              <w:jc w:val="center"/>
              <w:rPr>
                <w:rFonts w:asciiTheme="minorEastAsia" w:hAnsiTheme="minorEastAsia"/>
                <w:b/>
                <w:sz w:val="24"/>
                <w:szCs w:val="24"/>
              </w:rPr>
            </w:pPr>
            <w:r>
              <w:rPr>
                <w:rFonts w:hint="eastAsia" w:asciiTheme="minorEastAsia" w:hAnsiTheme="minorEastAsia"/>
                <w:b/>
                <w:sz w:val="24"/>
                <w:szCs w:val="24"/>
              </w:rPr>
              <w:t>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31" w:type="dxa"/>
            <w:gridSpan w:val="4"/>
            <w:vAlign w:val="center"/>
          </w:tcPr>
          <w:p>
            <w:pPr>
              <w:rPr>
                <w:rFonts w:asciiTheme="minorEastAsia" w:hAnsiTheme="minorEastAsia"/>
                <w:b/>
                <w:sz w:val="24"/>
                <w:szCs w:val="24"/>
              </w:rPr>
            </w:pPr>
            <w:r>
              <w:rPr>
                <w:rFonts w:hint="eastAsia" w:asciiTheme="minorEastAsia" w:hAnsiTheme="minorEastAsia"/>
                <w:b/>
                <w:sz w:val="24"/>
                <w:szCs w:val="24"/>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法定代表人资格证明书/法定代表人授权委托书</w:t>
            </w:r>
          </w:p>
        </w:tc>
        <w:tc>
          <w:tcPr>
            <w:tcW w:w="1953" w:type="dxa"/>
            <w:vAlign w:val="center"/>
          </w:tcPr>
          <w:p>
            <w:pPr>
              <w:rPr>
                <w:rFonts w:asciiTheme="minorEastAsia" w:hAnsiTheme="minorEastAsia"/>
                <w:b/>
                <w:sz w:val="24"/>
                <w:szCs w:val="24"/>
              </w:rPr>
            </w:pPr>
          </w:p>
        </w:tc>
        <w:tc>
          <w:tcPr>
            <w:tcW w:w="1785" w:type="dxa"/>
            <w:vAlign w:val="center"/>
          </w:tcPr>
          <w:p>
            <w:pPr>
              <w:rPr>
                <w:rFonts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5447" w:type="dxa"/>
            <w:vAlign w:val="center"/>
          </w:tcPr>
          <w:p>
            <w:pPr>
              <w:spacing w:line="0" w:lineRule="atLeast"/>
              <w:rPr>
                <w:rFonts w:asciiTheme="minorEastAsia" w:hAnsiTheme="minorEastAsia"/>
                <w:iCs/>
                <w:sz w:val="24"/>
                <w:szCs w:val="24"/>
              </w:rPr>
            </w:pPr>
            <w:r>
              <w:rPr>
                <w:rFonts w:hint="eastAsia" w:asciiTheme="minorEastAsia" w:hAnsiTheme="minorEastAsia"/>
                <w:iCs/>
                <w:sz w:val="24"/>
                <w:szCs w:val="24"/>
              </w:rPr>
              <w:t>具有独立承担民事责任能力的供应商营业执照或相关部门的登记证明文件复印件</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具备履行合同所必需的设备和专业技术能力的书面声明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5447" w:type="dxa"/>
            <w:vAlign w:val="center"/>
          </w:tcPr>
          <w:p>
            <w:pPr>
              <w:snapToGrid w:val="0"/>
              <w:spacing w:line="0" w:lineRule="atLeast"/>
              <w:rPr>
                <w:rFonts w:asciiTheme="minorEastAsia" w:hAnsiTheme="minorEastAsia"/>
                <w:iCs/>
                <w:sz w:val="24"/>
                <w:szCs w:val="24"/>
              </w:rPr>
            </w:pPr>
            <w:r>
              <w:rPr>
                <w:rFonts w:hint="eastAsia" w:ascii="宋体" w:hAnsi="宋体"/>
                <w:sz w:val="24"/>
              </w:rPr>
              <w:t>参加采购活动前 3 年内在经营活动中没有重大违法记录的书面声明</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vAlign w:val="center"/>
          </w:tcPr>
          <w:p>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宋体" w:hAnsi="宋体"/>
              </w:rPr>
            </w:pPr>
            <w:r>
              <w:rPr>
                <w:rFonts w:asciiTheme="minorEastAsia" w:hAnsiTheme="minorEastAsia"/>
                <w:sz w:val="24"/>
                <w:szCs w:val="24"/>
              </w:rPr>
              <w:t>…</w:t>
            </w:r>
          </w:p>
        </w:tc>
        <w:tc>
          <w:tcPr>
            <w:tcW w:w="5447" w:type="dxa"/>
            <w:vAlign w:val="center"/>
          </w:tcPr>
          <w:p>
            <w:pPr>
              <w:snapToGrid w:val="0"/>
              <w:spacing w:line="0" w:lineRule="atLeast"/>
              <w:rPr>
                <w:rFonts w:ascii="宋体" w:hAnsi="宋体"/>
                <w:sz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831" w:type="dxa"/>
            <w:gridSpan w:val="4"/>
            <w:vAlign w:val="center"/>
          </w:tcPr>
          <w:p>
            <w:pPr>
              <w:rPr>
                <w:rFonts w:asciiTheme="minorEastAsia" w:hAnsiTheme="minorEastAsia"/>
                <w:sz w:val="24"/>
                <w:szCs w:val="24"/>
              </w:rPr>
            </w:pPr>
            <w:r>
              <w:rPr>
                <w:rFonts w:hint="eastAsia" w:asciiTheme="minorEastAsia" w:hAnsiTheme="minorEastAsia"/>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hint="eastAsia" w:asciiTheme="minorEastAsia" w:hAnsiTheme="minorEastAsia"/>
                <w:iCs/>
                <w:sz w:val="24"/>
                <w:szCs w:val="24"/>
              </w:rPr>
              <w:t>资格的声明函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5447" w:type="dxa"/>
            <w:vAlign w:val="center"/>
          </w:tcPr>
          <w:p>
            <w:pPr>
              <w:snapToGrid w:val="0"/>
              <w:spacing w:line="0" w:lineRule="atLeast"/>
              <w:jc w:val="left"/>
              <w:rPr>
                <w:rFonts w:asciiTheme="minorEastAsia" w:hAnsiTheme="minorEastAsia"/>
                <w:iCs/>
                <w:sz w:val="24"/>
                <w:szCs w:val="24"/>
              </w:rPr>
            </w:pPr>
            <w:r>
              <w:rPr>
                <w:rFonts w:hint="eastAsia" w:asciiTheme="minorEastAsia" w:hAnsiTheme="minorEastAsia"/>
                <w:iCs/>
                <w:sz w:val="24"/>
                <w:szCs w:val="24"/>
              </w:rPr>
              <w:t>响应函</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jc w:val="center"/>
              <w:rPr>
                <w:rFonts w:asciiTheme="minorEastAsia" w:hAnsiTheme="minorEastAsia"/>
                <w:sz w:val="24"/>
                <w:szCs w:val="24"/>
              </w:rPr>
            </w:pPr>
          </w:p>
        </w:tc>
        <w:tc>
          <w:tcPr>
            <w:tcW w:w="5447" w:type="dxa"/>
            <w:vAlign w:val="center"/>
          </w:tcPr>
          <w:p>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pPr>
              <w:rPr>
                <w:rFonts w:asciiTheme="minorEastAsia" w:hAnsiTheme="minorEastAsia"/>
                <w:sz w:val="24"/>
                <w:szCs w:val="24"/>
              </w:rPr>
            </w:pPr>
          </w:p>
        </w:tc>
        <w:tc>
          <w:tcPr>
            <w:tcW w:w="1785" w:type="dxa"/>
            <w:vAlign w:val="center"/>
          </w:tcPr>
          <w:p>
            <w:pPr>
              <w:rPr>
                <w:rFonts w:asciiTheme="minorEastAsia" w:hAnsiTheme="minorEastAsia"/>
                <w:sz w:val="24"/>
                <w:szCs w:val="24"/>
              </w:rPr>
            </w:pPr>
          </w:p>
        </w:tc>
      </w:tr>
    </w:tbl>
    <w:p>
      <w:pPr>
        <w:spacing w:line="360" w:lineRule="auto"/>
        <w:rPr>
          <w:rFonts w:ascii="宋体" w:hAnsi="宋体"/>
          <w:b/>
          <w:sz w:val="30"/>
          <w:szCs w:val="30"/>
          <w:u w:val="single"/>
        </w:rPr>
      </w:pPr>
    </w:p>
    <w:p>
      <w:pPr>
        <w:spacing w:line="360" w:lineRule="auto"/>
        <w:rPr>
          <w:rFonts w:ascii="宋体" w:hAnsi="宋体"/>
          <w:b/>
          <w:sz w:val="30"/>
          <w:szCs w:val="30"/>
          <w:u w:val="single"/>
        </w:rPr>
      </w:pPr>
    </w:p>
    <w:p>
      <w:pPr>
        <w:spacing w:line="360" w:lineRule="auto"/>
        <w:rPr>
          <w:rFonts w:ascii="宋体" w:hAnsi="宋体"/>
          <w:b/>
          <w:sz w:val="30"/>
          <w:szCs w:val="30"/>
          <w:u w:val="single"/>
        </w:rPr>
      </w:pP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rPr>
          <w:rFonts w:ascii="宋体" w:hAnsi="宋体"/>
          <w:b/>
          <w:sz w:val="24"/>
          <w:szCs w:val="24"/>
        </w:rPr>
      </w:pPr>
    </w:p>
    <w:p>
      <w:pPr>
        <w:widowControl/>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spacing w:line="360" w:lineRule="auto"/>
        <w:rPr>
          <w:rFonts w:ascii="黑体" w:hAnsi="黑体" w:eastAsia="黑体"/>
          <w:bCs/>
          <w:color w:val="000000" w:themeColor="text1"/>
          <w:sz w:val="28"/>
          <w:szCs w:val="28"/>
          <w14:textFill>
            <w14:solidFill>
              <w14:schemeClr w14:val="tx1"/>
            </w14:solidFill>
          </w14:textFill>
        </w:rPr>
      </w:pPr>
      <w:r>
        <w:rPr>
          <w:rFonts w:hint="eastAsia" w:ascii="黑体" w:hAnsi="黑体" w:eastAsia="黑体"/>
          <w:sz w:val="28"/>
          <w:szCs w:val="28"/>
        </w:rPr>
        <w:t>三、</w:t>
      </w:r>
      <w:r>
        <w:rPr>
          <w:rFonts w:hint="eastAsia" w:ascii="黑体" w:hAnsi="黑体" w:eastAsia="黑体"/>
          <w:bCs/>
          <w:color w:val="000000" w:themeColor="text1"/>
          <w:sz w:val="28"/>
          <w:szCs w:val="28"/>
          <w14:textFill>
            <w14:solidFill>
              <w14:schemeClr w14:val="tx1"/>
            </w14:solidFill>
          </w14:textFill>
        </w:rPr>
        <w:t>报价一览表</w:t>
      </w:r>
    </w:p>
    <w:p>
      <w:pPr>
        <w:spacing w:line="360" w:lineRule="auto"/>
        <w:rPr>
          <w:rFonts w:ascii="黑体" w:eastAsia="黑体"/>
          <w:bCs/>
          <w:color w:val="000000" w:themeColor="text1"/>
          <w:sz w:val="24"/>
          <w:szCs w:val="24"/>
          <w14:textFill>
            <w14:solidFill>
              <w14:schemeClr w14:val="tx1"/>
            </w14:solidFill>
          </w14:textFill>
        </w:rPr>
      </w:pPr>
    </w:p>
    <w:p>
      <w:pPr>
        <w:spacing w:line="360" w:lineRule="auto"/>
        <w:rPr>
          <w:rFonts w:ascii="黑体" w:eastAsia="黑体"/>
          <w:bCs/>
          <w:color w:val="000000" w:themeColor="text1"/>
          <w:sz w:val="24"/>
          <w:szCs w:val="24"/>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供应商名称（盖章）：</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u w:val="single"/>
          <w14:textFill>
            <w14:solidFill>
              <w14:schemeClr w14:val="tx1"/>
            </w14:solidFill>
          </w14:textFill>
        </w:rPr>
      </w:pPr>
      <w:r>
        <w:rPr>
          <w:rFonts w:hint="eastAsia" w:ascii="黑体" w:eastAsia="黑体"/>
          <w:bCs/>
          <w:color w:val="000000" w:themeColor="text1"/>
          <w:sz w:val="24"/>
          <w:szCs w:val="24"/>
          <w14:textFill>
            <w14:solidFill>
              <w14:schemeClr w14:val="tx1"/>
            </w14:solidFill>
          </w14:textFill>
        </w:rPr>
        <w:t>采购项目编号：</w:t>
      </w:r>
      <w:r>
        <w:rPr>
          <w:rFonts w:hint="eastAsia" w:ascii="黑体" w:eastAsia="黑体"/>
          <w:bCs/>
          <w:color w:val="000000" w:themeColor="text1"/>
          <w:sz w:val="24"/>
          <w:szCs w:val="24"/>
          <w:u w:val="single"/>
          <w14:textFill>
            <w14:solidFill>
              <w14:schemeClr w14:val="tx1"/>
            </w14:solidFill>
          </w14:textFill>
        </w:rPr>
        <w:t xml:space="preserve">                   </w:t>
      </w:r>
    </w:p>
    <w:p>
      <w:pPr>
        <w:spacing w:line="360" w:lineRule="auto"/>
        <w:rPr>
          <w:rFonts w:ascii="黑体" w:eastAsia="黑体"/>
          <w:bCs/>
          <w:color w:val="000000" w:themeColor="text1"/>
          <w:sz w:val="24"/>
          <w:szCs w:val="24"/>
          <w14:textFill>
            <w14:solidFill>
              <w14:schemeClr w14:val="tx1"/>
            </w14:solidFill>
          </w14:textFill>
        </w:rPr>
      </w:pPr>
    </w:p>
    <w:tbl>
      <w:tblPr>
        <w:tblStyle w:val="31"/>
        <w:tblW w:w="100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56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项目名称</w:t>
            </w:r>
          </w:p>
        </w:tc>
        <w:tc>
          <w:tcPr>
            <w:tcW w:w="4515" w:type="dxa"/>
            <w:vAlign w:val="center"/>
          </w:tcPr>
          <w:p>
            <w:pPr>
              <w:autoSpaceDE w:val="0"/>
              <w:autoSpaceDN w:val="0"/>
              <w:adjustRightInd w:val="0"/>
              <w:jc w:val="center"/>
              <w:rPr>
                <w:rFonts w:asci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总报价</w:t>
            </w:r>
            <w:r>
              <w:rPr>
                <w:rFonts w:ascii="宋体" w:hAnsi="宋体"/>
                <w:b/>
                <w:bCs/>
                <w:color w:val="000000" w:themeColor="text1"/>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小写</w:t>
            </w:r>
            <w:r>
              <w:rPr>
                <w:rFonts w:ascii="宋体" w:hAnsi="宋体"/>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565" w:type="dxa"/>
            <w:vAlign w:val="center"/>
          </w:tcPr>
          <w:p>
            <w:pPr>
              <w:spacing w:line="400" w:lineRule="exact"/>
              <w:jc w:val="center"/>
              <w:rPr>
                <w:rFonts w:ascii="宋体" w:hAnsi="宋体" w:eastAsia="宋体" w:cs="Times New Roman"/>
                <w:bCs/>
                <w:color w:val="000000" w:themeColor="text1"/>
                <w:kern w:val="0"/>
                <w:sz w:val="24"/>
                <w:szCs w:val="24"/>
                <w:u w:color="000000"/>
                <w14:textFill>
                  <w14:solidFill>
                    <w14:schemeClr w14:val="tx1"/>
                  </w14:solidFill>
                </w14:textFill>
              </w:rPr>
            </w:pPr>
          </w:p>
        </w:tc>
        <w:tc>
          <w:tcPr>
            <w:tcW w:w="4515" w:type="dxa"/>
            <w:vAlign w:val="center"/>
          </w:tcPr>
          <w:p>
            <w:pPr>
              <w:rPr>
                <w:rFonts w:ascii="宋体" w:hAnsi="宋体" w:eastAsia="宋体" w:cs="Times New Roman"/>
                <w:b/>
                <w:color w:val="000000" w:themeColor="text1"/>
                <w:kern w:val="0"/>
                <w:sz w:val="24"/>
                <w:szCs w:val="24"/>
                <w:u w:color="00000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0" w:hRule="atLeast"/>
        </w:trPr>
        <w:tc>
          <w:tcPr>
            <w:tcW w:w="10080" w:type="dxa"/>
            <w:gridSpan w:val="2"/>
            <w:vAlign w:val="center"/>
          </w:tcPr>
          <w:p>
            <w:pPr>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总报价（大写）</w:t>
            </w:r>
            <w:r>
              <w:rPr>
                <w:rFonts w:hint="eastAsia" w:asciiTheme="minorEastAsia" w:hAnsiTheme="minorEastAsia"/>
                <w:bCs/>
                <w:color w:val="000000" w:themeColor="text1"/>
                <w:kern w:val="0"/>
                <w:sz w:val="24"/>
                <w:szCs w:val="24"/>
                <w:u w:color="000000"/>
                <w14:textFill>
                  <w14:solidFill>
                    <w14:schemeClr w14:val="tx1"/>
                  </w14:solidFill>
                </w14:textFill>
              </w:rPr>
              <w:t>：　　　</w:t>
            </w:r>
          </w:p>
        </w:tc>
      </w:tr>
    </w:tbl>
    <w:p>
      <w:pPr>
        <w:spacing w:before="5"/>
        <w:rPr>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spacing w:line="400" w:lineRule="exact"/>
        <w:rPr>
          <w:rFonts w:ascii="黑体" w:eastAsia="黑体"/>
          <w:bCs/>
          <w:color w:val="000000" w:themeColor="text1"/>
          <w:sz w:val="32"/>
          <w14:textFill>
            <w14:solidFill>
              <w14:schemeClr w14:val="tx1"/>
            </w14:solidFill>
          </w14:textFill>
        </w:rPr>
      </w:pPr>
    </w:p>
    <w:p>
      <w:pPr>
        <w:rPr>
          <w:rFonts w:ascii="黑体" w:hAnsi="黑体" w:eastAsia="黑体"/>
          <w:sz w:val="28"/>
          <w:szCs w:val="28"/>
        </w:rPr>
      </w:pPr>
      <w:r>
        <w:rPr>
          <w:rFonts w:ascii="宋体" w:hAnsi="宋体"/>
          <w:b/>
          <w:sz w:val="44"/>
        </w:rPr>
        <w:br w:type="page"/>
      </w:r>
      <w:r>
        <w:rPr>
          <w:rFonts w:hint="eastAsia" w:ascii="黑体" w:hAnsi="黑体" w:eastAsia="黑体"/>
          <w:sz w:val="28"/>
          <w:szCs w:val="28"/>
        </w:rPr>
        <w:t>四、明细报价表</w:t>
      </w:r>
    </w:p>
    <w:p>
      <w:pPr>
        <w:spacing w:line="400" w:lineRule="exact"/>
        <w:rPr>
          <w:rFonts w:asciiTheme="minorEastAsia" w:hAnsiTheme="minorEastAsia"/>
          <w:bCs/>
          <w:color w:val="000000" w:themeColor="text1"/>
          <w:sz w:val="24"/>
          <w:szCs w:val="24"/>
          <w:u w:val="single"/>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101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275"/>
        <w:gridCol w:w="4015"/>
        <w:gridCol w:w="466"/>
        <w:gridCol w:w="1166"/>
        <w:gridCol w:w="1242"/>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类别</w:t>
            </w:r>
          </w:p>
        </w:tc>
        <w:tc>
          <w:tcPr>
            <w:tcW w:w="401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内容</w:t>
            </w:r>
          </w:p>
        </w:tc>
        <w:tc>
          <w:tcPr>
            <w:tcW w:w="4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16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预估</w:t>
            </w:r>
          </w:p>
        </w:tc>
        <w:tc>
          <w:tcPr>
            <w:tcW w:w="124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单价限价（元）</w:t>
            </w:r>
          </w:p>
        </w:tc>
        <w:tc>
          <w:tcPr>
            <w:tcW w:w="1189" w:type="dxa"/>
            <w:vMerge w:val="restart"/>
            <w:tcBorders>
              <w:top w:val="single" w:color="000000" w:sz="8"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投标报价</w:t>
            </w:r>
          </w:p>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7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401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4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24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18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油印</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一体机专用纸60g16K（单面）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一体机专用纸60g16K（双面）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0.15</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一体机专用纸60g8K（单面）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一体机专用纸60g8K（双面）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320000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复印/打印</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全木浆复印纸70g16K（单面）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全木浆复印纸70g16K（双面）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全木浆复印纸70g8K（单面）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全木浆复印纸70g8K（双面）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0.8</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全木浆复印纸70gA3（单面）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全木浆复印纸70gA3（双面）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彩色复印/打印</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全木浆复印纸70gA4（单面）</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教学诊断服务</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条形码（用于数据采集信息识别）</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0.08</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扫描（包含提供扫描仪、平台、数据采集、答题卡制作、扫描及数据分析）</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学生个性考后刊（含学情分析、共性个性错题、优生专属训练题解析等模块，其中错题部分均包含原题及举一反三的变式训练题）及电子版个性化错题</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老师班级考后刊（含学情分析、班级共性错题等模块，其中错题部分均包含原题及举一反三的变式训练题）及电子版班级共性错题</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8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6922"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24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cstheme="minorEastAsia"/>
                <w:i w:val="0"/>
                <w:iCs w:val="0"/>
                <w:color w:val="000000"/>
                <w:kern w:val="0"/>
                <w:sz w:val="24"/>
                <w:szCs w:val="24"/>
                <w:u w:val="none"/>
                <w:lang w:val="en-US" w:eastAsia="zh-CN" w:bidi="ar"/>
              </w:rPr>
              <w:t>67.23</w:t>
            </w:r>
          </w:p>
        </w:tc>
        <w:tc>
          <w:tcPr>
            <w:tcW w:w="1189"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cstheme="minorEastAsia"/>
                <w:i w:val="0"/>
                <w:iCs w:val="0"/>
                <w:color w:val="000000"/>
                <w:kern w:val="0"/>
                <w:sz w:val="24"/>
                <w:szCs w:val="24"/>
                <w:u w:val="none"/>
                <w:lang w:val="en-US" w:eastAsia="zh-CN" w:bidi="ar"/>
              </w:rPr>
            </w:pPr>
          </w:p>
        </w:tc>
      </w:tr>
    </w:tbl>
    <w:p>
      <w:pPr>
        <w:spacing w:before="5"/>
        <w:rPr>
          <w:rFonts w:hint="eastAsia"/>
          <w:b/>
          <w:bCs/>
          <w:color w:val="000000" w:themeColor="text1"/>
          <w:sz w:val="24"/>
          <w:szCs w:val="24"/>
          <w14:textFill>
            <w14:solidFill>
              <w14:schemeClr w14:val="tx1"/>
            </w14:solidFill>
          </w14:textFill>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eastAsia="宋体"/>
          <w:b/>
          <w:sz w:val="24"/>
          <w:szCs w:val="24"/>
        </w:rPr>
      </w:pPr>
    </w:p>
    <w:p>
      <w:pPr>
        <w:rPr>
          <w:rFonts w:ascii="宋体" w:hAnsi="宋体" w:eastAsia="宋体"/>
          <w:bCs/>
          <w:sz w:val="24"/>
          <w:szCs w:val="24"/>
        </w:rPr>
      </w:pPr>
      <w:r>
        <w:rPr>
          <w:rFonts w:hint="eastAsia" w:ascii="宋体" w:hAnsi="宋体" w:eastAsia="宋体"/>
          <w:b/>
          <w:sz w:val="24"/>
          <w:szCs w:val="24"/>
        </w:rPr>
        <w:t>注：</w:t>
      </w: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）供应商应当根据“项目技术要求和有关说明”的内容在上表中详细填写；</w:t>
      </w:r>
    </w:p>
    <w:p>
      <w:pPr>
        <w:ind w:firstLine="360" w:firstLineChars="15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w:t>
      </w:r>
      <w:r>
        <w:rPr>
          <w:rFonts w:hint="eastAsia" w:ascii="宋体" w:hAnsi="宋体" w:eastAsia="宋体"/>
          <w:bCs/>
          <w:sz w:val="24"/>
          <w:szCs w:val="24"/>
        </w:rPr>
        <w:t>）表格不够可自行延长。</w:t>
      </w:r>
    </w:p>
    <w:p>
      <w:pPr>
        <w:widowControl/>
        <w:jc w:val="left"/>
        <w:rPr>
          <w:rFonts w:ascii="黑体" w:hAnsi="宋体" w:eastAsia="黑体"/>
          <w:bCs/>
          <w:sz w:val="24"/>
          <w:szCs w:val="24"/>
        </w:rPr>
      </w:pPr>
      <w:r>
        <w:rPr>
          <w:rFonts w:ascii="黑体" w:hAnsi="宋体" w:eastAsia="黑体"/>
          <w:bCs/>
          <w:sz w:val="24"/>
          <w:szCs w:val="24"/>
        </w:rPr>
        <w:br w:type="page"/>
      </w:r>
    </w:p>
    <w:p>
      <w:pPr>
        <w:spacing w:line="360" w:lineRule="auto"/>
        <w:rPr>
          <w:rFonts w:ascii="黑体" w:hAnsi="黑体" w:eastAsia="黑体"/>
          <w:sz w:val="28"/>
          <w:szCs w:val="28"/>
        </w:rPr>
      </w:pPr>
      <w:r>
        <w:rPr>
          <w:rFonts w:hint="eastAsia" w:ascii="黑体" w:hAnsi="黑体" w:eastAsia="黑体"/>
          <w:sz w:val="28"/>
          <w:szCs w:val="28"/>
        </w:rPr>
        <w:t>五、技术参数响应及偏离表</w:t>
      </w:r>
    </w:p>
    <w:p>
      <w:pPr>
        <w:jc w:val="center"/>
        <w:rPr>
          <w:rFonts w:ascii="宋体"/>
          <w:bCs/>
          <w:color w:val="000000" w:themeColor="text1"/>
          <w14:textFill>
            <w14:solidFill>
              <w14:schemeClr w14:val="tx1"/>
            </w14:solidFill>
          </w14:textFill>
        </w:rPr>
      </w:pPr>
    </w:p>
    <w:p>
      <w:pPr>
        <w:jc w:val="center"/>
        <w:rPr>
          <w:rFonts w:ascii="宋体"/>
          <w:bCs/>
          <w:color w:val="000000" w:themeColor="text1"/>
          <w14:textFill>
            <w14:solidFill>
              <w14:schemeClr w14:val="tx1"/>
            </w14:solidFill>
          </w14:textFill>
        </w:rPr>
      </w:pPr>
    </w:p>
    <w:p>
      <w:pPr>
        <w:spacing w:line="400" w:lineRule="exact"/>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供应商名称（盖章）：</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 xml:space="preserve">          采购项目编号：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p>
    <w:p>
      <w:pPr>
        <w:spacing w:line="400" w:lineRule="exact"/>
        <w:rPr>
          <w:rFonts w:ascii="黑体" w:eastAsia="黑体"/>
          <w:bCs/>
          <w:color w:val="000000" w:themeColor="text1"/>
          <w:sz w:val="24"/>
          <w:szCs w:val="24"/>
          <w14:textFill>
            <w14:solidFill>
              <w14:schemeClr w14:val="tx1"/>
            </w14:solidFill>
          </w14:textFill>
        </w:rPr>
      </w:pPr>
    </w:p>
    <w:tbl>
      <w:tblPr>
        <w:tblStyle w:val="31"/>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bCs/>
                <w:color w:val="000000" w:themeColor="text1"/>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Cs/>
                <w:color w:val="000000" w:themeColor="text1"/>
                <w14:textFill>
                  <w14:solidFill>
                    <w14:schemeClr w14:val="tx1"/>
                  </w14:solidFill>
                </w14:textFill>
              </w:rPr>
            </w:pPr>
          </w:p>
        </w:tc>
      </w:tr>
    </w:tbl>
    <w:p>
      <w:pPr>
        <w:rPr>
          <w:rFonts w:asciiTheme="minorEastAsia" w:hAnsiTheme="minorEastAsia"/>
          <w:b/>
          <w:color w:val="000000" w:themeColor="text1"/>
          <w:sz w:val="24"/>
          <w:szCs w:val="24"/>
          <w14:textFill>
            <w14:solidFill>
              <w14:schemeClr w14:val="tx1"/>
            </w14:solidFill>
          </w14:textFill>
        </w:rPr>
      </w:pPr>
    </w:p>
    <w:p>
      <w:pPr>
        <w:spacing w:before="5"/>
        <w:rPr>
          <w:rFonts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法定代表人或被授权代表（签字或盖章）：</w:t>
      </w:r>
      <w:r>
        <w:rPr>
          <w:rFonts w:hint="eastAsia" w:asciiTheme="minorEastAsia" w:hAnsiTheme="minorEastAsia"/>
          <w:b/>
          <w:bCs/>
          <w:color w:val="000000" w:themeColor="text1"/>
          <w:sz w:val="24"/>
          <w:szCs w:val="24"/>
          <w:u w:val="single"/>
          <w14:textFill>
            <w14:solidFill>
              <w14:schemeClr w14:val="tx1"/>
            </w14:solidFill>
          </w14:textFill>
        </w:rPr>
        <w:t xml:space="preserve">                               </w:t>
      </w:r>
      <w:r>
        <w:rPr>
          <w:rFonts w:hint="eastAsia" w:asciiTheme="minorEastAsia" w:hAnsiTheme="minorEastAsia"/>
          <w:b/>
          <w:bCs/>
          <w:color w:val="000000" w:themeColor="text1"/>
          <w:sz w:val="24"/>
          <w:szCs w:val="24"/>
          <w14:textFill>
            <w14:solidFill>
              <w14:schemeClr w14:val="tx1"/>
            </w14:solidFill>
          </w14:textFill>
        </w:rPr>
        <w:t xml:space="preserve"> </w:t>
      </w:r>
    </w:p>
    <w:p>
      <w:pPr>
        <w:rPr>
          <w:rFonts w:asciiTheme="minorEastAsia" w:hAnsiTheme="minorEastAsia"/>
          <w:bCs/>
          <w:color w:val="000000" w:themeColor="text1"/>
          <w:sz w:val="30"/>
          <w14:textFill>
            <w14:solidFill>
              <w14:schemeClr w14:val="tx1"/>
            </w14:solidFill>
          </w14:textFill>
        </w:rPr>
      </w:pP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注：</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）本表不得删除；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）如无任何技术偏离，请于本表 “偏离说明”中注明“无偏离”；</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（3）如有技术偏离项，请于本表中列明偏离内容，如需要可自行延长，其余无偏离内容不须赘述。</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黑体" w:hAnsi="黑体" w:eastAsia="黑体"/>
          <w:bCs/>
          <w:sz w:val="28"/>
          <w:szCs w:val="28"/>
        </w:rPr>
      </w:pPr>
      <w:bookmarkStart w:id="60" w:name="_Toc55147061"/>
      <w:r>
        <w:rPr>
          <w:rFonts w:hint="eastAsia" w:ascii="黑体" w:hAnsi="黑体" w:eastAsia="黑体"/>
          <w:sz w:val="28"/>
          <w:szCs w:val="28"/>
        </w:rPr>
        <w:t>六、其他格式附件</w:t>
      </w:r>
    </w:p>
    <w:p>
      <w:pPr>
        <w:rPr>
          <w:rFonts w:ascii="黑体" w:hAnsi="黑体" w:eastAsia="黑体"/>
          <w:sz w:val="24"/>
          <w:szCs w:val="24"/>
        </w:rPr>
      </w:pPr>
      <w:r>
        <w:rPr>
          <w:rFonts w:hint="eastAsia" w:ascii="黑体" w:hAnsi="黑体" w:eastAsia="黑体"/>
          <w:sz w:val="24"/>
          <w:szCs w:val="24"/>
        </w:rPr>
        <w:t>（一）响应函（格式）</w:t>
      </w:r>
    </w:p>
    <w:p>
      <w:pPr>
        <w:spacing w:line="360" w:lineRule="auto"/>
        <w:jc w:val="center"/>
        <w:rPr>
          <w:rFonts w:ascii="宋体"/>
          <w:bCs/>
          <w:color w:val="000000" w:themeColor="text1"/>
          <w:sz w:val="24"/>
          <w:szCs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响应函</w:t>
      </w:r>
    </w:p>
    <w:p>
      <w:pPr>
        <w:spacing w:line="360" w:lineRule="auto"/>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致常州中采招投标有限公司：</w:t>
      </w:r>
    </w:p>
    <w:p>
      <w:pPr>
        <w:spacing w:line="360" w:lineRule="auto"/>
        <w:ind w:firstLine="480" w:firstLineChars="200"/>
        <w:rPr>
          <w:rFonts w:asci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我方收到贵方编号</w:t>
      </w:r>
      <w:r>
        <w:rPr>
          <w:rFonts w:hint="eastAsia" w:ascii="宋体" w:hAnsi="宋体"/>
          <w:bCs/>
          <w:color w:val="000000" w:themeColor="text1"/>
          <w:sz w:val="24"/>
          <w:szCs w:val="24"/>
          <w:u w:val="single"/>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采购文件，经仔细阅读和研究，我方决定参加此项目的报价。</w:t>
      </w:r>
    </w:p>
    <w:p>
      <w:pPr>
        <w:numPr>
          <w:ilvl w:val="0"/>
          <w:numId w:val="8"/>
        </w:numPr>
        <w:tabs>
          <w:tab w:val="left" w:pos="315"/>
          <w:tab w:val="left" w:pos="840"/>
          <w:tab w:val="left" w:pos="945"/>
          <w:tab w:val="left" w:pos="1050"/>
          <w:tab w:val="left" w:pos="1260"/>
          <w:tab w:val="clear" w:pos="552"/>
        </w:tabs>
        <w:spacing w:line="360" w:lineRule="auto"/>
        <w:ind w:left="0" w:firstLine="525"/>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我方愿意按照采购文件的一切要求，提供本项目的报价，总价见《报价一览表》。</w:t>
      </w:r>
    </w:p>
    <w:p>
      <w:pPr>
        <w:numPr>
          <w:ilvl w:val="0"/>
          <w:numId w:val="8"/>
        </w:numPr>
        <w:tabs>
          <w:tab w:val="left" w:pos="0"/>
          <w:tab w:val="left" w:pos="315"/>
          <w:tab w:val="left" w:pos="525"/>
          <w:tab w:val="left" w:pos="840"/>
          <w:tab w:val="left" w:pos="945"/>
          <w:tab w:val="left" w:pos="1050"/>
          <w:tab w:val="clear" w:pos="552"/>
        </w:tabs>
        <w:spacing w:line="360" w:lineRule="auto"/>
        <w:ind w:left="0" w:firstLine="523" w:firstLineChars="218"/>
        <w:rPr>
          <w:rFonts w:ascii="宋体" w:hAnsi="Times New Roman" w:eastAsia="宋体" w:cs="Times New Roman"/>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我方愿意提供采购文件中要求的文件、资料。</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我方同意按采购文件中的规定，本响应文件报价的有效期限为报价截止之日起</w:t>
      </w:r>
      <w:r>
        <w:rPr>
          <w:rFonts w:ascii="宋体" w:hAnsi="宋体"/>
          <w:bCs/>
          <w:color w:val="000000" w:themeColor="text1"/>
          <w:sz w:val="24"/>
          <w:szCs w:val="24"/>
          <w14:textFill>
            <w14:solidFill>
              <w14:schemeClr w14:val="tx1"/>
            </w14:solidFill>
          </w14:textFill>
        </w:rPr>
        <w:t>90</w:t>
      </w:r>
      <w:r>
        <w:rPr>
          <w:rFonts w:hint="eastAsia" w:ascii="宋体" w:hAnsi="宋体"/>
          <w:bCs/>
          <w:color w:val="000000" w:themeColor="text1"/>
          <w:sz w:val="24"/>
          <w:szCs w:val="24"/>
          <w14:textFill>
            <w14:solidFill>
              <w14:schemeClr w14:val="tx1"/>
            </w14:solidFill>
          </w14:textFill>
        </w:rPr>
        <w:t>天。</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如果我方的响应文件被接受，我方将履行采购文件中规定的每一项要求，按期、按质、按量，完成交货任务。</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color w:val="000000" w:themeColor="text1"/>
          <w:sz w:val="24"/>
          <w:szCs w:val="24"/>
          <w14:textFill>
            <w14:solidFill>
              <w14:schemeClr w14:val="tx1"/>
            </w14:solidFill>
          </w14:textFill>
        </w:rPr>
        <w:t>我方愿意遵守《中华人民共</w:t>
      </w:r>
      <w:r>
        <w:rPr>
          <w:rFonts w:hint="eastAsia" w:ascii="宋体" w:hAnsi="宋体"/>
          <w:bCs/>
          <w:sz w:val="24"/>
          <w:szCs w:val="24"/>
        </w:rPr>
        <w:t>和国政府采购法》，并按《中华人民共和国民法典》、财政部《采购货物和服务招标投标管理办法》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文件所有的规定。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文件的规定填写《投标（报价）承诺函》。如我方在报价截止期后撤回响应及成交后拒绝遵守报价承诺或拒绝在规定的时间内与采购人签订合同，则接受采购监督管理部门的处理。</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如果我方被确定为成交供应商，我方愿意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文件、响应文件和合同条款的，一经查实，我方愿意赔偿由此而造成的一切损失，并同意接受按</w:t>
      </w:r>
      <w:r>
        <w:rPr>
          <w:rFonts w:hint="eastAsia" w:ascii="宋体" w:hAnsi="宋体"/>
          <w:bCs/>
          <w:color w:val="000000" w:themeColor="text1"/>
          <w:sz w:val="24"/>
          <w:szCs w:val="24"/>
          <w14:textFill>
            <w14:solidFill>
              <w14:schemeClr w14:val="tx1"/>
            </w14:solidFill>
          </w14:textFill>
        </w:rPr>
        <w:t>采购</w:t>
      </w:r>
      <w:r>
        <w:rPr>
          <w:rFonts w:hint="eastAsia" w:ascii="宋体" w:hAnsi="宋体"/>
          <w:bCs/>
          <w:sz w:val="24"/>
          <w:szCs w:val="24"/>
        </w:rPr>
        <w:t>文件的相关要求对我方进行的处理。</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我方决不提供虚假材料谋取成交、决不采取不正当手段诋毁、排挤其他供应商、决不与采购人、其它供应商或者采购代理机构恶意串通</w:t>
      </w:r>
      <w:r>
        <w:rPr>
          <w:rFonts w:hint="eastAsia" w:ascii="宋体" w:hAnsi="宋体"/>
          <w:bCs/>
          <w:color w:val="000000" w:themeColor="text1"/>
          <w:sz w:val="24"/>
          <w:szCs w:val="24"/>
          <w14:textFill>
            <w14:solidFill>
              <w14:schemeClr w14:val="tx1"/>
            </w14:solidFill>
          </w14:textFill>
        </w:rPr>
        <w:t>、决不向采购人、</w:t>
      </w:r>
      <w:r>
        <w:rPr>
          <w:rFonts w:hint="eastAsia" w:ascii="宋体" w:hAnsi="宋体"/>
          <w:bCs/>
          <w:sz w:val="24"/>
          <w:szCs w:val="24"/>
        </w:rPr>
        <w:t>采购代理机构</w:t>
      </w:r>
      <w:r>
        <w:rPr>
          <w:rFonts w:hint="eastAsia" w:ascii="宋体" w:hAnsi="宋体"/>
          <w:bCs/>
          <w:color w:val="000000" w:themeColor="text1"/>
          <w:sz w:val="24"/>
          <w:szCs w:val="24"/>
          <w14:textFill>
            <w14:solidFill>
              <w14:schemeClr w14:val="tx1"/>
            </w14:solidFill>
          </w14:textFill>
        </w:rPr>
        <w:t>工作人员和评委进行商业贿赂、决不在采购过程中与采购人进行协商谈判、决不拒绝有关部门监督检查或提供虚假情况，如有违反，无条件接受贵方及相关管理部门的处罚。</w:t>
      </w:r>
    </w:p>
    <w:p>
      <w:pPr>
        <w:numPr>
          <w:ilvl w:val="0"/>
          <w:numId w:val="8"/>
        </w:numPr>
        <w:tabs>
          <w:tab w:val="left" w:pos="0"/>
          <w:tab w:val="left" w:pos="315"/>
          <w:tab w:val="left" w:pos="525"/>
          <w:tab w:val="left" w:pos="945"/>
          <w:tab w:val="left" w:pos="1050"/>
          <w:tab w:val="clear" w:pos="552"/>
        </w:tabs>
        <w:spacing w:line="360" w:lineRule="auto"/>
        <w:ind w:left="0" w:firstLine="523" w:firstLineChars="218"/>
        <w:rPr>
          <w:rFonts w:ascii="宋体"/>
          <w:bCs/>
          <w:color w:val="000000" w:themeColor="text1"/>
          <w:sz w:val="24"/>
          <w:szCs w:val="24"/>
          <w14:textFill>
            <w14:solidFill>
              <w14:schemeClr w14:val="tx1"/>
            </w14:solidFill>
          </w14:textFill>
        </w:rPr>
      </w:pPr>
      <w:r>
        <w:rPr>
          <w:rFonts w:hint="eastAsia" w:ascii="宋体" w:hAnsi="宋体"/>
          <w:bCs/>
          <w:sz w:val="24"/>
          <w:szCs w:val="24"/>
        </w:rPr>
        <w:t>如果我们中标，我们将按照采购文件的规定向贵公司支付采购代理服务费；为执行合同，我们将按供应商须知有关要求提供必要的履约保证。</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供应商（盖章）：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法定代表人或法定代表人授权代表签字或盖章：</w:t>
      </w:r>
    </w:p>
    <w:p>
      <w:pPr>
        <w:spacing w:line="400" w:lineRule="exact"/>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电话：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传真：</w:t>
      </w:r>
    </w:p>
    <w:p>
      <w:pPr>
        <w:spacing w:line="40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通讯地址： </w:t>
      </w:r>
      <w:r>
        <w:rPr>
          <w:rFonts w:ascii="宋体" w:hAnsi="宋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邮编：</w:t>
      </w:r>
      <w:bookmarkStart w:id="61" w:name="_Toc55147054"/>
    </w:p>
    <w:p>
      <w:pPr>
        <w:widowControl/>
        <w:jc w:val="left"/>
        <w:rPr>
          <w:rFonts w:ascii="黑体" w:hAnsi="黑体" w:eastAsia="黑体"/>
          <w:sz w:val="24"/>
          <w:szCs w:val="24"/>
        </w:rPr>
      </w:pPr>
      <w:r>
        <w:rPr>
          <w:rFonts w:ascii="黑体" w:hAnsi="黑体" w:eastAsia="黑体"/>
          <w:sz w:val="24"/>
          <w:szCs w:val="24"/>
        </w:rPr>
        <w:br w:type="page"/>
      </w:r>
    </w:p>
    <w:p>
      <w:pPr>
        <w:rPr>
          <w:rFonts w:ascii="黑体" w:hAnsi="黑体" w:eastAsia="黑体"/>
          <w:sz w:val="24"/>
          <w:szCs w:val="24"/>
        </w:rPr>
      </w:pPr>
      <w:r>
        <w:rPr>
          <w:rFonts w:hint="eastAsia" w:ascii="黑体" w:hAnsi="黑体" w:eastAsia="黑体"/>
          <w:sz w:val="24"/>
          <w:szCs w:val="24"/>
        </w:rPr>
        <w:t>（二）</w:t>
      </w:r>
      <w:bookmarkEnd w:id="61"/>
      <w:r>
        <w:rPr>
          <w:rFonts w:hint="eastAsia" w:ascii="黑体" w:hAnsi="黑体" w:eastAsia="黑体"/>
          <w:sz w:val="24"/>
          <w:szCs w:val="24"/>
        </w:rPr>
        <w:t>关于资格的声明函（格式）</w:t>
      </w:r>
    </w:p>
    <w:p>
      <w:pPr>
        <w:spacing w:line="360" w:lineRule="auto"/>
        <w:rPr>
          <w:rFonts w:ascii="黑体" w:eastAsia="黑体"/>
          <w:bCs/>
          <w:color w:val="000000" w:themeColor="text1"/>
          <w:sz w:val="36"/>
          <w14:textFill>
            <w14:solidFill>
              <w14:schemeClr w14:val="tx1"/>
            </w14:solidFill>
          </w14:textFill>
        </w:rPr>
      </w:pPr>
    </w:p>
    <w:p>
      <w:pPr>
        <w:spacing w:line="480" w:lineRule="auto"/>
        <w:ind w:firstLine="560" w:firstLineChars="200"/>
        <w:jc w:val="center"/>
        <w:rPr>
          <w:rFonts w:ascii="黑体" w:hAnsi="黑体" w:eastAsia="黑体"/>
          <w:bCs/>
          <w:color w:val="000000" w:themeColor="text1"/>
          <w:sz w:val="28"/>
          <w:szCs w:val="28"/>
          <w14:textFill>
            <w14:solidFill>
              <w14:schemeClr w14:val="tx1"/>
            </w14:solidFill>
          </w14:textFill>
        </w:rPr>
      </w:pPr>
      <w:bookmarkStart w:id="62" w:name="报价方关于资格的声明函（格式）"/>
      <w:bookmarkEnd w:id="62"/>
      <w:r>
        <w:rPr>
          <w:rFonts w:hint="eastAsia" w:ascii="黑体" w:hAnsi="黑体" w:eastAsia="黑体"/>
          <w:bCs/>
          <w:color w:val="000000" w:themeColor="text1"/>
          <w:sz w:val="28"/>
          <w:szCs w:val="28"/>
          <w14:textFill>
            <w14:solidFill>
              <w14:schemeClr w14:val="tx1"/>
            </w14:solidFill>
          </w14:textFill>
        </w:rPr>
        <w:t>关于资格的声明函</w:t>
      </w:r>
    </w:p>
    <w:p>
      <w:pPr>
        <w:spacing w:line="480" w:lineRule="auto"/>
        <w:jc w:val="center"/>
        <w:rPr>
          <w:rFonts w:ascii="宋体"/>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常州中采招投标有限公司：</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我公司（单位）参加本次项目（项目编号：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bCs/>
          <w:color w:val="000000" w:themeColor="text1"/>
          <w:sz w:val="24"/>
          <w:szCs w:val="24"/>
          <w14:textFill>
            <w14:solidFill>
              <w14:schemeClr w14:val="tx1"/>
            </w14:solidFill>
          </w14:textFill>
        </w:rPr>
        <w:t>）采购活动前三年内，在经营活动中没有重大违法记录，我公司（单位）愿针对本次项目进行报价，响应文件中所有关于报价资格的文件、证明、陈述均是真实的、准确的。若有违背，我公司（单位）愿意承担由此而产生的一切后果。</w:t>
      </w:r>
    </w:p>
    <w:p>
      <w:pPr>
        <w:spacing w:line="360" w:lineRule="auto"/>
        <w:rPr>
          <w:rFonts w:asciiTheme="minorEastAsia" w:hAnsiTheme="minorEastAsia"/>
          <w:bCs/>
          <w:color w:val="000000" w:themeColor="text1"/>
          <w:sz w:val="24"/>
          <w:szCs w:val="24"/>
          <w14:textFill>
            <w14:solidFill>
              <w14:schemeClr w14:val="tx1"/>
            </w14:solidFill>
          </w14:textFill>
        </w:rPr>
      </w:pP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供应商（盖章）：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法定代表人或法定代表人授权代表（签字或盖章）：</w:t>
      </w:r>
    </w:p>
    <w:p>
      <w:pPr>
        <w:spacing w:line="360" w:lineRule="auto"/>
        <w:rPr>
          <w:rFonts w:asciiTheme="minorEastAsia" w:hAnsiTheme="minorEastAsia"/>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Theme="minorEastAsia" w:hAnsiTheme="minorEastAsia"/>
          <w:bCs/>
          <w:sz w:val="24"/>
          <w:u w:val="single"/>
        </w:rPr>
        <w:t xml:space="preserve">     </w:t>
      </w:r>
      <w:r>
        <w:rPr>
          <w:rFonts w:hint="eastAsia" w:asciiTheme="minorEastAsia" w:hAnsiTheme="minorEastAsia"/>
          <w:bCs/>
          <w:sz w:val="24"/>
        </w:rPr>
        <w:t>年</w:t>
      </w:r>
      <w:r>
        <w:rPr>
          <w:rFonts w:hint="eastAsia" w:asciiTheme="minorEastAsia" w:hAnsiTheme="minorEastAsia"/>
          <w:bCs/>
          <w:sz w:val="24"/>
          <w:u w:val="single"/>
        </w:rPr>
        <w:t xml:space="preserve">    </w:t>
      </w:r>
      <w:r>
        <w:rPr>
          <w:rFonts w:hint="eastAsia" w:asciiTheme="minorEastAsia" w:hAnsiTheme="minorEastAsia"/>
          <w:bCs/>
          <w:sz w:val="24"/>
        </w:rPr>
        <w:t>月</w:t>
      </w:r>
      <w:r>
        <w:rPr>
          <w:rFonts w:hint="eastAsia" w:asciiTheme="minorEastAsia" w:hAnsiTheme="minorEastAsia"/>
          <w:bCs/>
          <w:sz w:val="24"/>
          <w:u w:val="single"/>
        </w:rPr>
        <w:t xml:space="preserve">    </w:t>
      </w:r>
      <w:r>
        <w:rPr>
          <w:rFonts w:hint="eastAsia" w:asciiTheme="minorEastAsia" w:hAnsiTheme="minorEastAsia"/>
          <w:bCs/>
          <w:sz w:val="24"/>
        </w:rPr>
        <w:t>日</w:t>
      </w: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p>
    <w:p>
      <w:pPr>
        <w:spacing w:line="360" w:lineRule="auto"/>
        <w:ind w:firstLine="480" w:firstLineChars="200"/>
        <w:rPr>
          <w:rFonts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备注：上述所称“重大违法记录”,是指供应商因违法经营受到刑事处罚或者责令停产停业、吊销许可证或者执照、较大数额罚款等行政处罚。</w:t>
      </w:r>
    </w:p>
    <w:p>
      <w:pPr>
        <w:widowControl/>
        <w:jc w:val="left"/>
        <w:rPr>
          <w:rFonts w:ascii="黑体" w:hAnsi="宋体" w:eastAsia="黑体"/>
          <w:bCs/>
          <w:color w:val="000000" w:themeColor="text1"/>
          <w:sz w:val="24"/>
          <w:szCs w:val="24"/>
          <w14:textFill>
            <w14:solidFill>
              <w14:schemeClr w14:val="tx1"/>
            </w14:solidFill>
          </w14:textFill>
        </w:rPr>
      </w:pPr>
      <w:r>
        <w:rPr>
          <w:rFonts w:ascii="黑体" w:hAnsi="宋体" w:eastAsia="黑体"/>
          <w:bCs/>
          <w:color w:val="000000" w:themeColor="text1"/>
          <w:sz w:val="24"/>
          <w:szCs w:val="24"/>
          <w14:textFill>
            <w14:solidFill>
              <w14:schemeClr w14:val="tx1"/>
            </w14:solidFill>
          </w14:textFill>
        </w:rPr>
        <w:br w:type="page"/>
      </w:r>
    </w:p>
    <w:p>
      <w:pPr>
        <w:widowControl/>
        <w:jc w:val="left"/>
        <w:rPr>
          <w:rFonts w:ascii="黑体" w:hAnsi="宋体" w:eastAsia="黑体"/>
          <w:bCs/>
          <w:color w:val="000000" w:themeColor="text1"/>
          <w:sz w:val="24"/>
          <w:szCs w:val="24"/>
          <w14:textFill>
            <w14:solidFill>
              <w14:schemeClr w14:val="tx1"/>
            </w14:solidFill>
          </w14:textFill>
        </w:rPr>
      </w:pPr>
      <w:bookmarkStart w:id="63" w:name="_Toc55147055"/>
      <w:r>
        <w:rPr>
          <w:rFonts w:hint="eastAsia" w:ascii="黑体" w:hAnsi="宋体" w:eastAsia="黑体"/>
          <w:bCs/>
          <w:color w:val="000000" w:themeColor="text1"/>
          <w:sz w:val="24"/>
          <w:szCs w:val="24"/>
          <w14:textFill>
            <w14:solidFill>
              <w14:schemeClr w14:val="tx1"/>
            </w14:solidFill>
          </w14:textFill>
        </w:rPr>
        <w:t>（三）法定代表人资格证明书/法定代表人授权委托书</w:t>
      </w:r>
      <w:bookmarkEnd w:id="63"/>
      <w:r>
        <w:rPr>
          <w:rFonts w:hint="eastAsia" w:ascii="黑体" w:hAnsi="黑体" w:eastAsia="黑体"/>
          <w:sz w:val="24"/>
          <w:szCs w:val="24"/>
        </w:rPr>
        <w:t>（格式）</w:t>
      </w:r>
    </w:p>
    <w:p>
      <w:pPr>
        <w:spacing w:line="58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法定代表人资格证明书</w:t>
      </w:r>
    </w:p>
    <w:p>
      <w:pPr>
        <w:spacing w:line="580" w:lineRule="exact"/>
        <w:jc w:val="center"/>
        <w:rPr>
          <w:rFonts w:ascii="黑体" w:hAnsi="黑体" w:eastAsia="黑体"/>
          <w:bCs/>
          <w:color w:val="000000" w:themeColor="text1"/>
          <w:sz w:val="28"/>
          <w:szCs w:val="28"/>
          <w14:textFill>
            <w14:solidFill>
              <w14:schemeClr w14:val="tx1"/>
            </w14:solidFill>
          </w14:textFill>
        </w:rPr>
      </w:pPr>
    </w:p>
    <w:p>
      <w:pPr>
        <w:spacing w:line="560" w:lineRule="exact"/>
        <w:rPr>
          <w:rFonts w:ascii="宋体" w:hAnsi="宋体"/>
          <w:sz w:val="24"/>
        </w:rPr>
      </w:pPr>
      <w:r>
        <w:rPr>
          <w:rFonts w:hint="eastAsia" w:ascii="宋体" w:hAnsi="宋体"/>
          <w:sz w:val="24"/>
        </w:rPr>
        <w:t>姓名</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性别</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年龄</w:t>
      </w:r>
      <w:r>
        <w:rPr>
          <w:rFonts w:ascii="宋体" w:hAnsi="宋体"/>
          <w:sz w:val="24"/>
        </w:rPr>
        <w:t>:</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职务</w:t>
      </w:r>
      <w:r>
        <w:rPr>
          <w:rFonts w:ascii="宋体" w:hAnsi="宋体"/>
          <w:sz w:val="24"/>
        </w:rPr>
        <w:t>:</w:t>
      </w:r>
    </w:p>
    <w:p>
      <w:pPr>
        <w:spacing w:line="360" w:lineRule="auto"/>
        <w:rPr>
          <w:rFonts w:asciiTheme="minorEastAsia" w:hAnsiTheme="minorEastAsia"/>
          <w:sz w:val="24"/>
        </w:rPr>
      </w:pPr>
      <w:r>
        <w:rPr>
          <w:rFonts w:hint="eastAsia" w:asciiTheme="minorEastAsia" w:hAnsiTheme="minorEastAsia"/>
          <w:sz w:val="24"/>
        </w:rPr>
        <w:t>系</w:t>
      </w:r>
      <w:r>
        <w:rPr>
          <w:rFonts w:asciiTheme="minorEastAsia" w:hAnsiTheme="minorEastAsia"/>
          <w:sz w:val="24"/>
          <w:u w:val="single"/>
        </w:rPr>
        <w:t xml:space="preserve">            </w:t>
      </w:r>
      <w:r>
        <w:rPr>
          <w:rFonts w:hint="eastAsia" w:asciiTheme="minorEastAsia" w:hAnsiTheme="minorEastAsia"/>
          <w:sz w:val="24"/>
        </w:rPr>
        <w:t>（供应商名称）的法定代表人。为实施</w:t>
      </w:r>
      <w:r>
        <w:rPr>
          <w:rFonts w:asciiTheme="minorEastAsia" w:hAnsiTheme="minorEastAsia"/>
          <w:sz w:val="24"/>
        </w:rPr>
        <w:t xml:space="preserve"> </w:t>
      </w:r>
      <w:r>
        <w:rPr>
          <w:rFonts w:hint="eastAsia" w:asciiTheme="minorEastAsia" w:hAnsiTheme="minorEastAsia"/>
          <w:sz w:val="24"/>
          <w:u w:val="single"/>
        </w:rPr>
        <w:t xml:space="preserve">                 </w:t>
      </w:r>
      <w:r>
        <w:rPr>
          <w:rFonts w:hint="eastAsia" w:asciiTheme="minorEastAsia" w:hAnsiTheme="minorEastAsia"/>
          <w:sz w:val="24"/>
        </w:rPr>
        <w:t>项目（</w:t>
      </w:r>
      <w:r>
        <w:rPr>
          <w:rFonts w:hint="eastAsia" w:asciiTheme="minorEastAsia" w:hAnsiTheme="minorEastAsia"/>
          <w:bCs/>
          <w:color w:val="000000" w:themeColor="text1"/>
          <w:sz w:val="24"/>
          <w:szCs w:val="24"/>
          <w14:textFill>
            <w14:solidFill>
              <w14:schemeClr w14:val="tx1"/>
            </w14:solidFill>
          </w14:textFill>
        </w:rPr>
        <w:t>项目编号：</w:t>
      </w:r>
      <w:r>
        <w:rPr>
          <w:rFonts w:hint="eastAsia" w:asciiTheme="minorEastAsia" w:hAnsiTheme="minorEastAsia"/>
          <w:bCs/>
          <w:color w:val="000000" w:themeColor="text1"/>
          <w:sz w:val="24"/>
          <w:szCs w:val="24"/>
          <w:u w:val="single"/>
          <w14:textFill>
            <w14:solidFill>
              <w14:schemeClr w14:val="tx1"/>
            </w14:solidFill>
          </w14:textFill>
        </w:rPr>
        <w:t xml:space="preserve">                     </w:t>
      </w:r>
      <w:r>
        <w:rPr>
          <w:rFonts w:hint="eastAsia" w:asciiTheme="minorEastAsia" w:hAnsiTheme="minorEastAsia"/>
          <w:sz w:val="24"/>
        </w:rPr>
        <w:t>）的工作，签署上述项目的响应文件、进行合同谈判、签署合同和处理与之有关的一切事务。</w:t>
      </w:r>
    </w:p>
    <w:p>
      <w:pPr>
        <w:spacing w:line="360" w:lineRule="auto"/>
        <w:rPr>
          <w:rFonts w:asciiTheme="minorEastAsia" w:hAnsiTheme="minorEastAsia"/>
          <w:sz w:val="24"/>
        </w:rPr>
      </w:pPr>
      <w:r>
        <w:rPr>
          <w:rFonts w:hint="eastAsia" w:asciiTheme="minorEastAsia" w:hAnsiTheme="minorEastAsia"/>
          <w:sz w:val="24"/>
        </w:rPr>
        <w:t>特此证明。</w:t>
      </w:r>
    </w:p>
    <w:p>
      <w:pPr>
        <w:spacing w:line="560" w:lineRule="exact"/>
        <w:rPr>
          <w:rFonts w:ascii="宋体" w:hAnsi="宋体"/>
          <w:sz w:val="24"/>
        </w:rPr>
      </w:pPr>
    </w:p>
    <w:p>
      <w:pPr>
        <w:spacing w:line="560" w:lineRule="exact"/>
        <w:rPr>
          <w:rFonts w:ascii="宋体" w:hAnsi="宋体"/>
          <w:sz w:val="24"/>
        </w:rPr>
      </w:pPr>
    </w:p>
    <w:p>
      <w:pPr>
        <w:spacing w:line="360" w:lineRule="auto"/>
        <w:rPr>
          <w:rFonts w:ascii="宋体" w:hAnsi="宋体"/>
          <w:sz w:val="24"/>
        </w:rPr>
      </w:pPr>
      <w:r>
        <w:rPr>
          <w:rFonts w:ascii="宋体" w:hAnsi="宋体"/>
          <w:sz w:val="24"/>
        </w:rPr>
        <w:t xml:space="preserve">                   </w:t>
      </w:r>
      <w:r>
        <w:rPr>
          <w:rFonts w:hint="eastAsia" w:ascii="宋体" w:hAnsi="宋体"/>
          <w:sz w:val="24"/>
        </w:rPr>
        <w:t>供应商：（公章）</w:t>
      </w:r>
    </w:p>
    <w:p>
      <w:pPr>
        <w:spacing w:line="360" w:lineRule="auto"/>
        <w:rPr>
          <w:rFonts w:ascii="宋体" w:hAnsi="宋体"/>
          <w:sz w:val="24"/>
        </w:rPr>
      </w:pPr>
      <w:r>
        <w:rPr>
          <w:rFonts w:ascii="宋体" w:hAnsi="宋体"/>
          <w:sz w:val="24"/>
        </w:rPr>
        <w:t xml:space="preserve">                       </w:t>
      </w:r>
      <w:r>
        <w:rPr>
          <w:rFonts w:hint="eastAsia" w:ascii="宋体" w:hAnsi="宋体"/>
          <w:sz w:val="24"/>
        </w:rPr>
        <w:t>法定代表人签字或盖章：</w:t>
      </w:r>
    </w:p>
    <w:p>
      <w:pPr>
        <w:spacing w:line="360" w:lineRule="auto"/>
        <w:ind w:firstLine="4320" w:firstLineChars="1800"/>
        <w:rPr>
          <w:rFonts w:ascii="宋体" w:hAnsi="宋体"/>
          <w:sz w:val="24"/>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napToGrid w:val="0"/>
        <w:spacing w:line="560" w:lineRule="exact"/>
        <w:rPr>
          <w:rFonts w:ascii="宋体" w:hAnsi="宋体"/>
          <w:sz w:val="24"/>
        </w:rPr>
      </w:pPr>
    </w:p>
    <w:p>
      <w:pPr>
        <w:snapToGrid w:val="0"/>
        <w:spacing w:line="560" w:lineRule="exact"/>
        <w:rPr>
          <w:rFonts w:ascii="宋体" w:hAnsi="宋体"/>
          <w:b/>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sz w:val="24"/>
        </w:rPr>
      </w:pPr>
      <w:r>
        <w:rPr>
          <w:rFonts w:hint="eastAsia" w:ascii="宋体" w:hAnsi="宋体"/>
          <w:sz w:val="24"/>
        </w:rPr>
        <w:t>法定代表人身份证</w:t>
      </w:r>
    </w:p>
    <w:p>
      <w:pPr>
        <w:autoSpaceDE w:val="0"/>
        <w:autoSpaceDN w:val="0"/>
        <w:adjustRightInd w:val="0"/>
        <w:rPr>
          <w:rFonts w:ascii="宋体" w:hAnsi="宋体"/>
          <w:sz w:val="24"/>
        </w:rPr>
      </w:pPr>
      <w:r>
        <w:rPr>
          <w:rFonts w:hint="eastAsia" w:ascii="宋体" w:hAnsi="宋体"/>
          <w:sz w:val="24"/>
        </w:rPr>
        <w:t>（双面复印件）粘贴处</w:t>
      </w: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autoSpaceDE w:val="0"/>
        <w:autoSpaceDN w:val="0"/>
        <w:adjustRightInd w:val="0"/>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widowControl/>
        <w:jc w:val="left"/>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br w:type="page"/>
      </w:r>
    </w:p>
    <w:p>
      <w:pPr>
        <w:spacing w:line="580" w:lineRule="exact"/>
        <w:jc w:val="center"/>
        <w:rPr>
          <w:rFonts w:ascii="黑体" w:hAnsi="黑体" w:eastAsia="黑体"/>
          <w:bCs/>
          <w:color w:val="000000" w:themeColor="text1"/>
          <w:sz w:val="28"/>
          <w:szCs w:val="28"/>
          <w14:textFill>
            <w14:solidFill>
              <w14:schemeClr w14:val="tx1"/>
            </w14:solidFill>
          </w14:textFill>
        </w:rPr>
      </w:pPr>
      <w:bookmarkStart w:id="64" w:name="_Toc55147056"/>
      <w:r>
        <w:rPr>
          <w:rFonts w:hint="eastAsia" w:ascii="黑体" w:hAnsi="黑体" w:eastAsia="黑体"/>
          <w:bCs/>
          <w:color w:val="000000" w:themeColor="text1"/>
          <w:sz w:val="28"/>
          <w:szCs w:val="28"/>
          <w14:textFill>
            <w14:solidFill>
              <w14:schemeClr w14:val="tx1"/>
            </w14:solidFill>
          </w14:textFill>
        </w:rPr>
        <w:t>法定代表人授权委托书</w:t>
      </w:r>
    </w:p>
    <w:p>
      <w:pPr>
        <w:spacing w:line="360" w:lineRule="auto"/>
        <w:jc w:val="center"/>
        <w:rPr>
          <w:rFonts w:ascii="楷体_GB2312" w:eastAsia="楷体_GB2312"/>
          <w:bCs/>
          <w:color w:val="000000" w:themeColor="text1"/>
          <w:sz w:val="36"/>
          <w14:textFill>
            <w14:solidFill>
              <w14:schemeClr w14:val="tx1"/>
            </w14:solidFill>
          </w14:textFill>
        </w:rPr>
      </w:pPr>
    </w:p>
    <w:p>
      <w:pPr>
        <w:spacing w:line="360" w:lineRule="auto"/>
        <w:ind w:firstLine="480" w:firstLineChars="200"/>
        <w:rPr>
          <w:rFonts w:ascii="宋体" w:hAnsi="宋体"/>
          <w:sz w:val="24"/>
        </w:rPr>
      </w:pPr>
      <w:r>
        <w:rPr>
          <w:rFonts w:hint="eastAsia" w:ascii="宋体" w:hAnsi="宋体"/>
          <w:sz w:val="24"/>
        </w:rPr>
        <w:t>本授权委托书声明：</w:t>
      </w:r>
    </w:p>
    <w:p>
      <w:pPr>
        <w:spacing w:line="360" w:lineRule="auto"/>
        <w:ind w:firstLine="480" w:firstLineChars="200"/>
        <w:rPr>
          <w:rFonts w:ascii="宋体" w:hAnsi="宋体"/>
          <w:sz w:val="24"/>
        </w:rPr>
      </w:pPr>
      <w:r>
        <w:rPr>
          <w:rFonts w:ascii="宋体" w:hAnsi="宋体"/>
          <w:sz w:val="24"/>
          <w:u w:val="single"/>
        </w:rPr>
        <w:t>______________________</w:t>
      </w:r>
      <w:r>
        <w:rPr>
          <w:rFonts w:hint="eastAsia" w:ascii="宋体" w:hAnsi="宋体"/>
          <w:sz w:val="24"/>
        </w:rPr>
        <w:t>（供应商名称）的</w:t>
      </w:r>
      <w:r>
        <w:rPr>
          <w:rFonts w:ascii="宋体" w:hAnsi="宋体"/>
          <w:sz w:val="24"/>
          <w:u w:val="single"/>
        </w:rPr>
        <w:t>____________</w:t>
      </w:r>
      <w:r>
        <w:rPr>
          <w:rFonts w:hint="eastAsia" w:ascii="宋体" w:hAnsi="宋体"/>
          <w:sz w:val="24"/>
        </w:rPr>
        <w:t>（法定代表人姓名、职务）代表供应商授权</w:t>
      </w:r>
      <w:r>
        <w:rPr>
          <w:rFonts w:ascii="宋体" w:hAnsi="宋体"/>
          <w:sz w:val="24"/>
          <w:u w:val="single"/>
        </w:rPr>
        <w:t>_____________</w:t>
      </w:r>
      <w:r>
        <w:rPr>
          <w:rFonts w:hint="eastAsia" w:ascii="宋体" w:hAnsi="宋体"/>
          <w:sz w:val="24"/>
        </w:rPr>
        <w:t>（被授权代表姓名）为</w:t>
      </w:r>
      <w:r>
        <w:rPr>
          <w:rFonts w:hint="eastAsia" w:ascii="宋体" w:hAnsi="宋体"/>
          <w:sz w:val="24"/>
          <w:u w:val="single"/>
        </w:rPr>
        <w:t xml:space="preserve">                  项目</w:t>
      </w:r>
      <w:r>
        <w:rPr>
          <w:rFonts w:hint="eastAsia" w:ascii="宋体" w:hAnsi="宋体"/>
          <w:sz w:val="24"/>
        </w:rPr>
        <w:t>（</w:t>
      </w:r>
      <w:r>
        <w:rPr>
          <w:rFonts w:hint="eastAsia" w:ascii="黑体" w:eastAsia="黑体"/>
          <w:bCs/>
          <w:color w:val="000000" w:themeColor="text1"/>
          <w:sz w:val="24"/>
          <w:szCs w:val="24"/>
          <w14:textFill>
            <w14:solidFill>
              <w14:schemeClr w14:val="tx1"/>
            </w14:solidFill>
          </w14:textFill>
        </w:rPr>
        <w:t>项目编号：</w:t>
      </w:r>
      <w:r>
        <w:rPr>
          <w:rFonts w:hint="eastAsia" w:ascii="黑体" w:eastAsia="黑体"/>
          <w:bCs/>
          <w:color w:val="000000" w:themeColor="text1"/>
          <w:sz w:val="24"/>
          <w:szCs w:val="24"/>
          <w:u w:val="single"/>
          <w14:textFill>
            <w14:solidFill>
              <w14:schemeClr w14:val="tx1"/>
            </w14:solidFill>
          </w14:textFill>
        </w:rPr>
        <w:t xml:space="preserve">               </w:t>
      </w:r>
      <w:r>
        <w:rPr>
          <w:rFonts w:hint="eastAsia" w:ascii="宋体" w:hAnsi="宋体"/>
          <w:sz w:val="24"/>
        </w:rPr>
        <w:t>）报价的合法代理人，全权负责参加本次采购项目的报价、</w:t>
      </w:r>
      <w:r>
        <w:rPr>
          <w:rFonts w:hint="eastAsia" w:ascii="宋体" w:hAnsi="宋体"/>
          <w:bCs/>
          <w:color w:val="000000" w:themeColor="text1"/>
          <w:sz w:val="24"/>
          <w:szCs w:val="24"/>
          <w14:textFill>
            <w14:solidFill>
              <w14:schemeClr w14:val="tx1"/>
            </w14:solidFill>
          </w14:textFill>
        </w:rPr>
        <w:t>参与协商、签约</w:t>
      </w:r>
      <w:r>
        <w:rPr>
          <w:rFonts w:hint="eastAsia" w:ascii="宋体" w:hAnsi="宋体"/>
          <w:sz w:val="24"/>
        </w:rPr>
        <w:t>以及与之相关的各项工作。本供应商对代理人的</w:t>
      </w:r>
      <w:r>
        <w:rPr>
          <w:rFonts w:ascii="宋体" w:hAnsi="宋体"/>
          <w:sz w:val="24"/>
        </w:rPr>
        <w:t>所有</w:t>
      </w:r>
      <w:r>
        <w:rPr>
          <w:rFonts w:hint="eastAsia" w:ascii="宋体" w:hAnsi="宋体"/>
          <w:sz w:val="24"/>
        </w:rPr>
        <w:t>签字负全部责任。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我公司（单位）对被授权代表的签名负全部责任。</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在撤销授权的书面通知送达贵公司以前，本授权书一直有效，被授权代表签署的所有文件（在授权书有效期内签署的）不因授权的撤销而失效。</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被授权代表情况：</w:t>
      </w:r>
    </w:p>
    <w:p>
      <w:pPr>
        <w:spacing w:line="360" w:lineRule="auto"/>
        <w:ind w:firstLine="676" w:firstLineChars="282"/>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姓名：</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性别：</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电话：</w:t>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ab/>
      </w:r>
      <w:r>
        <w:rPr>
          <w:rFonts w:hint="eastAsia" w:ascii="宋体" w:hAnsi="宋体"/>
          <w:bCs/>
          <w:color w:val="000000" w:themeColor="text1"/>
          <w:sz w:val="24"/>
          <w:szCs w:val="24"/>
          <w14:textFill>
            <w14:solidFill>
              <w14:schemeClr w14:val="tx1"/>
            </w14:solidFill>
          </w14:textFill>
        </w:rPr>
        <w:t>职务：</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单位名称（盖章）：</w:t>
      </w: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asciiTheme="minorEastAsia" w:hAnsiTheme="minorEastAsia"/>
          <w:sz w:val="24"/>
          <w:szCs w:val="24"/>
        </w:rPr>
        <w:t>日期:</w:t>
      </w:r>
      <w:r>
        <w:rPr>
          <w:rFonts w:hint="eastAsia" w:ascii="宋体" w:hAnsi="宋体"/>
          <w:bCs/>
          <w:sz w:val="24"/>
          <w:u w:val="single"/>
        </w:rPr>
        <w:t xml:space="preserve"> 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法定代表人（签字或盖章）：</w:t>
      </w:r>
      <w:r>
        <w:rPr>
          <w:rFonts w:hint="eastAsia" w:ascii="宋体" w:hAnsi="宋体"/>
          <w:bCs/>
          <w:sz w:val="24"/>
          <w:u w:val="single"/>
        </w:rPr>
        <w:t>_____________</w:t>
      </w:r>
    </w:p>
    <w:p>
      <w:pPr>
        <w:spacing w:line="360" w:lineRule="auto"/>
        <w:ind w:firstLine="480" w:firstLineChars="200"/>
        <w:rPr>
          <w:rFonts w:ascii="宋体"/>
          <w:bCs/>
          <w:color w:val="000000" w:themeColor="text1"/>
          <w:sz w:val="24"/>
          <w:szCs w:val="24"/>
          <w14:textFill>
            <w14:solidFill>
              <w14:schemeClr w14:val="tx1"/>
            </w14:solidFill>
          </w14:textFill>
        </w:rPr>
      </w:pPr>
      <w:r>
        <w:rPr>
          <w:rFonts w:hint="eastAsia" w:ascii="宋体" w:hAnsi="宋体"/>
          <w:bCs/>
          <w:sz w:val="24"/>
        </w:rPr>
        <w:t>代理人（签字或盖章）：</w:t>
      </w:r>
      <w:r>
        <w:rPr>
          <w:rFonts w:hint="eastAsia" w:ascii="宋体" w:hAnsi="宋体"/>
          <w:bCs/>
          <w:sz w:val="24"/>
          <w:u w:val="single"/>
        </w:rPr>
        <w:t>_____________</w:t>
      </w:r>
    </w:p>
    <w:p>
      <w:pPr>
        <w:spacing w:line="360" w:lineRule="auto"/>
        <w:ind w:firstLine="480" w:firstLineChars="200"/>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法定代表人身份证</w:t>
      </w:r>
    </w:p>
    <w:p>
      <w:pPr>
        <w:autoSpaceDE w:val="0"/>
        <w:autoSpaceDN w:val="0"/>
        <w:adjustRightInd w:val="0"/>
        <w:spacing w:line="360" w:lineRule="auto"/>
        <w:ind w:firstLine="240" w:firstLineChars="100"/>
        <w:rPr>
          <w:rFonts w:ascii="宋体" w:hAnsi="宋体"/>
          <w:sz w:val="24"/>
        </w:rPr>
      </w:pPr>
      <w:r>
        <w:rPr>
          <w:rFonts w:hint="eastAsia" w:ascii="宋体" w:hAnsi="宋体"/>
          <w:sz w:val="24"/>
        </w:rPr>
        <w:t>（双面复印件）粘贴处</w:t>
      </w:r>
    </w:p>
    <w:p>
      <w:pPr>
        <w:autoSpaceDE w:val="0"/>
        <w:autoSpaceDN w:val="0"/>
        <w:adjustRightInd w:val="0"/>
        <w:spacing w:line="360" w:lineRule="auto"/>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代理人身份证：</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（双面复印件）粘贴处</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备注：</w:t>
      </w:r>
    </w:p>
    <w:p>
      <w:pPr>
        <w:snapToGrid w:val="0"/>
        <w:spacing w:line="360" w:lineRule="auto"/>
        <w:ind w:firstLine="480" w:firstLineChars="200"/>
        <w:rPr>
          <w:rFonts w:ascii="宋体" w:hAnsi="宋体" w:cs="宋体"/>
          <w:sz w:val="24"/>
        </w:rPr>
      </w:pPr>
      <w:r>
        <w:rPr>
          <w:rFonts w:hint="eastAsia" w:ascii="宋体" w:hAnsi="宋体" w:cs="宋体"/>
          <w:sz w:val="24"/>
        </w:rPr>
        <w:t>1.法定代表人参加报价时，需携带法定代表人资格证明书和本人身份证原件。</w:t>
      </w:r>
    </w:p>
    <w:p>
      <w:pPr>
        <w:snapToGrid w:val="0"/>
        <w:spacing w:line="360" w:lineRule="auto"/>
        <w:ind w:firstLine="480" w:firstLineChars="200"/>
        <w:rPr>
          <w:rFonts w:ascii="宋体" w:hAnsi="宋体" w:cs="宋体"/>
          <w:sz w:val="24"/>
        </w:rPr>
      </w:pPr>
      <w:r>
        <w:rPr>
          <w:rFonts w:hint="eastAsia" w:ascii="宋体" w:hAnsi="宋体" w:cs="宋体"/>
          <w:sz w:val="24"/>
        </w:rPr>
        <w:t>2.代理人参加报价时，需携带法定代表人授权委托书和本人身份证原件。</w:t>
      </w:r>
    </w:p>
    <w:p>
      <w:pPr>
        <w:snapToGrid w:val="0"/>
        <w:spacing w:line="360" w:lineRule="auto"/>
        <w:ind w:firstLine="480" w:firstLineChars="200"/>
        <w:rPr>
          <w:rFonts w:ascii="宋体" w:hAnsi="宋体" w:cs="宋体"/>
          <w:sz w:val="24"/>
        </w:rPr>
      </w:pPr>
    </w:p>
    <w:bookmarkEnd w:id="64"/>
    <w:p>
      <w:pPr>
        <w:widowControl/>
        <w:jc w:val="left"/>
        <w:rPr>
          <w:rFonts w:ascii="黑体" w:hAnsi="宋体" w:eastAsia="黑体"/>
          <w:bCs/>
          <w:color w:val="000000" w:themeColor="text1"/>
          <w:sz w:val="24"/>
          <w:szCs w:val="24"/>
          <w14:textFill>
            <w14:solidFill>
              <w14:schemeClr w14:val="tx1"/>
            </w14:solidFill>
          </w14:textFill>
        </w:rPr>
      </w:pPr>
      <w:r>
        <w:br w:type="page"/>
      </w:r>
      <w:bookmarkStart w:id="65" w:name="_Toc59000743"/>
      <w:r>
        <w:rPr>
          <w:rFonts w:hint="eastAsia" w:ascii="黑体" w:hAnsi="宋体" w:eastAsia="黑体"/>
          <w:bCs/>
          <w:color w:val="000000" w:themeColor="text1"/>
          <w:sz w:val="24"/>
          <w:szCs w:val="24"/>
          <w14:textFill>
            <w14:solidFill>
              <w14:schemeClr w14:val="tx1"/>
            </w14:solidFill>
          </w14:textFill>
        </w:rPr>
        <w:t>（四）具备履行合同所必需的设备和专业技术能力的书面声明（格式）</w:t>
      </w:r>
    </w:p>
    <w:p>
      <w:pPr>
        <w:widowControl/>
        <w:jc w:val="left"/>
        <w:rPr>
          <w:rFonts w:ascii="黑体" w:hAnsi="宋体" w:eastAsia="黑体"/>
          <w:bCs/>
          <w:sz w:val="24"/>
          <w:szCs w:val="24"/>
        </w:rPr>
      </w:pPr>
    </w:p>
    <w:p>
      <w:pPr>
        <w:widowControl/>
        <w:jc w:val="left"/>
        <w:rPr>
          <w:rFonts w:ascii="黑体" w:hAnsi="宋体" w:eastAsia="黑体"/>
          <w:bCs/>
          <w:sz w:val="24"/>
          <w:szCs w:val="24"/>
        </w:rPr>
      </w:pPr>
    </w:p>
    <w:p>
      <w:pPr>
        <w:tabs>
          <w:tab w:val="left" w:pos="360"/>
        </w:tabs>
        <w:ind w:firstLine="561"/>
        <w:jc w:val="center"/>
        <w:rPr>
          <w:rFonts w:ascii="黑体" w:hAnsi="黑体" w:eastAsia="黑体" w:cs="Times New Roman"/>
          <w:sz w:val="28"/>
          <w:szCs w:val="28"/>
        </w:rPr>
      </w:pPr>
      <w:r>
        <w:rPr>
          <w:rFonts w:hint="eastAsia" w:ascii="黑体" w:hAnsi="黑体" w:eastAsia="黑体" w:cs="Times New Roman"/>
          <w:sz w:val="28"/>
          <w:szCs w:val="28"/>
        </w:rPr>
        <w:t>具备履行合同所必需的设备和专业技术能力的书面声明</w:t>
      </w:r>
      <w:bookmarkEnd w:id="65"/>
    </w:p>
    <w:p/>
    <w:p>
      <w:pPr>
        <w:spacing w:line="360" w:lineRule="auto"/>
        <w:ind w:firstLine="480" w:firstLineChars="200"/>
        <w:rPr>
          <w:rFonts w:ascii="宋体" w:hAnsi="宋体"/>
          <w:bCs/>
          <w:sz w:val="24"/>
        </w:rPr>
      </w:pPr>
      <w:r>
        <w:rPr>
          <w:rFonts w:hint="eastAsia" w:ascii="宋体" w:hAnsi="宋体"/>
          <w:bCs/>
          <w:sz w:val="24"/>
        </w:rPr>
        <w:t>我单位郑重声明：我单位具备履行本项采购合同所必需的设备和专业技术能力，为履行本项采购合同我单位具备如下主要设备和主要专业技术能力：</w:t>
      </w:r>
    </w:p>
    <w:p>
      <w:pPr>
        <w:spacing w:line="360" w:lineRule="auto"/>
        <w:ind w:firstLine="480" w:firstLineChars="200"/>
        <w:rPr>
          <w:rFonts w:ascii="宋体" w:hAnsi="宋体"/>
          <w:bCs/>
          <w:sz w:val="24"/>
        </w:rPr>
      </w:pPr>
      <w:r>
        <w:rPr>
          <w:rFonts w:hint="eastAsia" w:ascii="宋体" w:hAnsi="宋体"/>
          <w:bCs/>
          <w:sz w:val="24"/>
        </w:rPr>
        <w:t xml:space="preserve">主要设备有：            </w:t>
      </w:r>
    </w:p>
    <w:p>
      <w:pPr>
        <w:spacing w:line="360" w:lineRule="auto"/>
        <w:ind w:firstLine="480" w:firstLineChars="200"/>
        <w:rPr>
          <w:rFonts w:ascii="宋体" w:hAnsi="宋体"/>
          <w:bCs/>
          <w:sz w:val="24"/>
        </w:rPr>
      </w:pPr>
      <w:r>
        <w:rPr>
          <w:rFonts w:hint="eastAsia" w:ascii="宋体" w:hAnsi="宋体"/>
          <w:bCs/>
          <w:sz w:val="24"/>
        </w:rPr>
        <w:t xml:space="preserve">主要专业技术能力有：  </w:t>
      </w:r>
    </w:p>
    <w:p>
      <w:pPr>
        <w:spacing w:line="460" w:lineRule="exact"/>
        <w:rPr>
          <w:rFonts w:ascii="宋体" w:hAnsi="宋体"/>
          <w:bCs/>
          <w:sz w:val="24"/>
        </w:rPr>
      </w:pPr>
    </w:p>
    <w:p>
      <w:pPr>
        <w:spacing w:line="460" w:lineRule="exact"/>
        <w:rPr>
          <w:rFonts w:ascii="宋体" w:hAnsi="宋体"/>
          <w:bCs/>
          <w:sz w:val="24"/>
        </w:rPr>
      </w:pPr>
    </w:p>
    <w:p>
      <w:pPr>
        <w:spacing w:line="460" w:lineRule="exact"/>
        <w:ind w:firstLine="3120" w:firstLineChars="1300"/>
        <w:jc w:val="left"/>
        <w:rPr>
          <w:rFonts w:ascii="宋体" w:hAnsi="宋体"/>
          <w:bCs/>
          <w:sz w:val="24"/>
        </w:rPr>
      </w:pPr>
      <w:r>
        <w:rPr>
          <w:rFonts w:hint="eastAsia" w:ascii="宋体" w:hAnsi="宋体"/>
          <w:bCs/>
          <w:sz w:val="24"/>
        </w:rPr>
        <w:t>单位名称（公章）：</w:t>
      </w:r>
    </w:p>
    <w:p>
      <w:pPr>
        <w:spacing w:line="460" w:lineRule="exact"/>
        <w:ind w:firstLine="3120" w:firstLineChars="1300"/>
        <w:jc w:val="left"/>
        <w:rPr>
          <w:rFonts w:ascii="宋体" w:hAnsi="宋体"/>
          <w:bCs/>
          <w:sz w:val="24"/>
        </w:rPr>
      </w:pPr>
      <w:r>
        <w:rPr>
          <w:rFonts w:hint="eastAsia" w:ascii="宋体" w:hAnsi="宋体"/>
          <w:bCs/>
          <w:sz w:val="24"/>
        </w:rPr>
        <w:t>法定代表人或代理人（签字或盖章）：</w:t>
      </w:r>
      <w:r>
        <w:rPr>
          <w:rFonts w:hint="eastAsia" w:ascii="宋体" w:hAnsi="宋体"/>
          <w:bCs/>
          <w:sz w:val="24"/>
          <w:u w:val="single"/>
        </w:rPr>
        <w:t>_____________</w:t>
      </w:r>
    </w:p>
    <w:p>
      <w:pPr>
        <w:spacing w:line="460" w:lineRule="exact"/>
        <w:ind w:firstLine="3120" w:firstLineChars="1300"/>
        <w:jc w:val="lef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widowControl/>
        <w:jc w:val="left"/>
        <w:rPr>
          <w:rFonts w:ascii="黑体" w:hAnsi="宋体" w:eastAsia="黑体"/>
          <w:bCs/>
          <w:color w:val="000000" w:themeColor="text1"/>
          <w:sz w:val="24"/>
          <w:szCs w:val="24"/>
          <w14:textFill>
            <w14:solidFill>
              <w14:schemeClr w14:val="tx1"/>
            </w14:solidFill>
          </w14:textFill>
        </w:rPr>
      </w:pPr>
    </w:p>
    <w:p>
      <w:pPr>
        <w:spacing w:line="580" w:lineRule="exact"/>
        <w:ind w:firstLine="480" w:firstLineChars="200"/>
        <w:jc w:val="left"/>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spacing w:line="580" w:lineRule="exact"/>
        <w:ind w:firstLine="480" w:firstLineChars="200"/>
        <w:rPr>
          <w:rFonts w:ascii="宋体" w:hAnsi="宋体"/>
          <w:bCs/>
          <w:color w:val="000000" w:themeColor="text1"/>
          <w:sz w:val="24"/>
          <w:szCs w:val="24"/>
          <w14:textFill>
            <w14:solidFill>
              <w14:schemeClr w14:val="tx1"/>
            </w14:solidFill>
          </w14:textFill>
        </w:rPr>
      </w:pPr>
    </w:p>
    <w:p>
      <w:pPr>
        <w:widowControl/>
        <w:jc w:val="left"/>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br w:type="page"/>
      </w:r>
    </w:p>
    <w:p>
      <w:pPr>
        <w:widowControl/>
        <w:jc w:val="left"/>
        <w:rPr>
          <w:rFonts w:ascii="宋体" w:hAnsi="宋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（五）参加采购活动前 3 年内在经营活动中没有重大违法记录的书面声明</w:t>
      </w:r>
      <w:r>
        <w:rPr>
          <w:rFonts w:hint="eastAsia" w:ascii="黑体" w:hAnsi="黑体" w:eastAsia="黑体"/>
          <w:sz w:val="24"/>
          <w:szCs w:val="24"/>
        </w:rPr>
        <w:t>（格式）</w:t>
      </w:r>
    </w:p>
    <w:p>
      <w:pPr>
        <w:spacing w:line="580" w:lineRule="exact"/>
        <w:rPr>
          <w:rFonts w:ascii="黑体" w:hAnsi="宋体" w:eastAsia="黑体"/>
          <w:bCs/>
          <w:color w:val="000000" w:themeColor="text1"/>
          <w:sz w:val="24"/>
          <w:szCs w:val="24"/>
          <w14:textFill>
            <w14:solidFill>
              <w14:schemeClr w14:val="tx1"/>
            </w14:solidFill>
          </w14:textFill>
        </w:rPr>
      </w:pPr>
    </w:p>
    <w:p>
      <w:pPr>
        <w:tabs>
          <w:tab w:val="left" w:pos="360"/>
        </w:tabs>
        <w:ind w:firstLine="561"/>
        <w:jc w:val="center"/>
        <w:rPr>
          <w:rFonts w:ascii="黑体" w:hAnsi="黑体" w:eastAsia="黑体" w:cs="Times New Roman"/>
          <w:sz w:val="28"/>
          <w:szCs w:val="28"/>
        </w:rPr>
      </w:pPr>
      <w:bookmarkStart w:id="66" w:name="_Toc59000745"/>
      <w:r>
        <w:rPr>
          <w:rFonts w:hint="eastAsia" w:ascii="黑体" w:hAnsi="黑体" w:eastAsia="黑体" w:cs="Times New Roman"/>
          <w:sz w:val="28"/>
          <w:szCs w:val="28"/>
        </w:rPr>
        <w:t>参加采购活动前 3 年内在经营活动中没有重大违法记录的书面声明</w:t>
      </w:r>
      <w:bookmarkEnd w:id="66"/>
    </w:p>
    <w:p>
      <w:pPr>
        <w:tabs>
          <w:tab w:val="left" w:pos="360"/>
        </w:tabs>
        <w:ind w:firstLine="561"/>
        <w:jc w:val="center"/>
        <w:rPr>
          <w:rFonts w:ascii="黑体" w:hAnsi="黑体" w:eastAsia="黑体" w:cs="Times New Roman"/>
          <w:sz w:val="28"/>
          <w:szCs w:val="28"/>
        </w:rPr>
      </w:pPr>
    </w:p>
    <w:p>
      <w:pPr>
        <w:spacing w:line="560" w:lineRule="exact"/>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声  明 </w:t>
      </w:r>
    </w:p>
    <w:p>
      <w:pPr>
        <w:spacing w:line="560" w:lineRule="exact"/>
        <w:rPr>
          <w:rFonts w:ascii="宋体" w:hAnsi="宋体"/>
          <w:b/>
          <w:bCs/>
          <w:sz w:val="32"/>
          <w:szCs w:val="32"/>
        </w:rPr>
      </w:pPr>
    </w:p>
    <w:p>
      <w:pPr>
        <w:snapToGrid w:val="0"/>
        <w:spacing w:line="360" w:lineRule="auto"/>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郑重声明：参加本次采购活动前 3 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pPr>
        <w:snapToGrid w:val="0"/>
        <w:spacing w:line="460" w:lineRule="exact"/>
        <w:rPr>
          <w:rFonts w:ascii="宋体" w:hAnsi="宋体"/>
          <w:sz w:val="24"/>
        </w:rPr>
      </w:pPr>
      <w:r>
        <w:rPr>
          <w:rFonts w:hint="eastAsia" w:ascii="宋体" w:hAnsi="宋体"/>
          <w:sz w:val="24"/>
        </w:rPr>
        <w:t xml:space="preserve">    </w:t>
      </w:r>
    </w:p>
    <w:p>
      <w:pPr>
        <w:snapToGrid w:val="0"/>
        <w:spacing w:line="460" w:lineRule="exact"/>
        <w:ind w:firstLine="3120" w:firstLineChars="1300"/>
        <w:rPr>
          <w:rFonts w:ascii="宋体" w:hAnsi="宋体"/>
          <w:sz w:val="24"/>
        </w:rPr>
      </w:pPr>
      <w:r>
        <w:rPr>
          <w:rFonts w:hint="eastAsia" w:ascii="宋体" w:hAnsi="宋体"/>
          <w:sz w:val="24"/>
        </w:rPr>
        <w:t>单位名称（公章）：</w:t>
      </w:r>
    </w:p>
    <w:p>
      <w:pPr>
        <w:snapToGrid w:val="0"/>
        <w:spacing w:line="460" w:lineRule="exact"/>
        <w:rPr>
          <w:rFonts w:ascii="宋体" w:hAnsi="宋体"/>
          <w:sz w:val="24"/>
        </w:rPr>
      </w:pPr>
      <w:r>
        <w:rPr>
          <w:rFonts w:hint="eastAsia" w:ascii="宋体" w:hAnsi="宋体"/>
          <w:sz w:val="24"/>
        </w:rPr>
        <w:t xml:space="preserve">                          法定代表人或代理人（签字或盖章）：</w:t>
      </w:r>
      <w:r>
        <w:rPr>
          <w:rFonts w:hint="eastAsia" w:ascii="宋体" w:hAnsi="宋体"/>
          <w:sz w:val="24"/>
          <w:u w:val="single"/>
        </w:rPr>
        <w:t>_______________</w:t>
      </w:r>
    </w:p>
    <w:p>
      <w:pPr>
        <w:spacing w:line="560" w:lineRule="exact"/>
        <w:ind w:firstLine="495"/>
        <w:rPr>
          <w:rFonts w:ascii="宋体" w:hAnsi="宋体"/>
          <w:sz w:val="24"/>
        </w:rPr>
      </w:pPr>
      <w:r>
        <w:rPr>
          <w:rFonts w:hint="eastAsia" w:ascii="宋体" w:hAnsi="宋体"/>
          <w:sz w:val="24"/>
        </w:rPr>
        <w:t xml:space="preserve">                      日期: </w:t>
      </w:r>
      <w:r>
        <w:rPr>
          <w:rFonts w:hint="eastAsia" w:ascii="宋体" w:hAnsi="宋体"/>
          <w:sz w:val="24"/>
          <w:u w:val="single"/>
        </w:rPr>
        <w:t>______</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spacing w:line="560" w:lineRule="exact"/>
        <w:ind w:firstLine="495"/>
        <w:rPr>
          <w:rFonts w:ascii="宋体" w:hAnsi="宋体"/>
          <w:bCs/>
          <w:sz w:val="24"/>
        </w:rPr>
      </w:pPr>
    </w:p>
    <w:p>
      <w:pPr>
        <w:widowControl/>
        <w:jc w:val="left"/>
        <w:rPr>
          <w:rFonts w:ascii="宋体" w:hAnsi="宋体"/>
          <w:bCs/>
          <w:sz w:val="24"/>
        </w:rPr>
      </w:pPr>
      <w:r>
        <w:rPr>
          <w:rFonts w:ascii="宋体" w:hAnsi="宋体"/>
          <w:bCs/>
          <w:sz w:val="24"/>
        </w:rPr>
        <w:br w:type="page"/>
      </w:r>
    </w:p>
    <w:p>
      <w:pPr>
        <w:widowControl/>
        <w:jc w:val="left"/>
        <w:rPr>
          <w:rFonts w:ascii="黑体" w:hAnsi="宋体" w:eastAsia="黑体"/>
          <w:bCs/>
          <w:color w:val="000000" w:themeColor="text1"/>
          <w:sz w:val="24"/>
          <w:szCs w:val="24"/>
          <w14:textFill>
            <w14:solidFill>
              <w14:schemeClr w14:val="tx1"/>
            </w14:solidFill>
          </w14:textFill>
        </w:rPr>
      </w:pPr>
      <w:r>
        <w:rPr>
          <w:rFonts w:hint="eastAsia" w:ascii="黑体" w:hAnsi="宋体" w:eastAsia="黑体"/>
          <w:bCs/>
          <w:color w:val="000000" w:themeColor="text1"/>
          <w:sz w:val="24"/>
          <w:szCs w:val="24"/>
          <w14:textFill>
            <w14:solidFill>
              <w14:schemeClr w14:val="tx1"/>
            </w14:solidFill>
          </w14:textFill>
        </w:rPr>
        <w:t>（六）项目人员配置表</w:t>
      </w:r>
      <w:bookmarkEnd w:id="60"/>
      <w:r>
        <w:rPr>
          <w:rFonts w:hint="eastAsia" w:ascii="黑体" w:hAnsi="黑体" w:eastAsia="黑体"/>
          <w:sz w:val="24"/>
          <w:szCs w:val="24"/>
        </w:rPr>
        <w:t>（格式）</w:t>
      </w:r>
    </w:p>
    <w:p>
      <w:pPr>
        <w:spacing w:line="360" w:lineRule="auto"/>
        <w:ind w:firstLine="480" w:firstLineChars="200"/>
        <w:rPr>
          <w:color w:val="000000" w:themeColor="text1"/>
          <w:sz w:val="24"/>
          <w:szCs w:val="24"/>
          <w14:textFill>
            <w14:solidFill>
              <w14:schemeClr w14:val="tx1"/>
            </w14:solidFill>
          </w14:textFill>
        </w:rPr>
      </w:pPr>
    </w:p>
    <w:p>
      <w:pPr>
        <w:jc w:val="center"/>
        <w:rPr>
          <w:rFonts w:ascii="黑体" w:hAnsi="黑体" w:eastAsia="黑体"/>
          <w:sz w:val="28"/>
          <w:szCs w:val="28"/>
        </w:rPr>
      </w:pPr>
      <w:r>
        <w:rPr>
          <w:rFonts w:ascii="黑体" w:hAnsi="黑体" w:eastAsia="黑体"/>
          <w:sz w:val="28"/>
          <w:szCs w:val="28"/>
        </w:rPr>
        <w:t>项目人员配置</w:t>
      </w:r>
      <w:r>
        <w:rPr>
          <w:rFonts w:hint="eastAsia" w:ascii="黑体" w:hAnsi="黑体" w:eastAsia="黑体"/>
          <w:sz w:val="28"/>
          <w:szCs w:val="28"/>
        </w:rPr>
        <w:t>表</w:t>
      </w:r>
    </w:p>
    <w:p>
      <w:pPr>
        <w:ind w:firstLine="840" w:firstLineChars="350"/>
        <w:rPr>
          <w:rFonts w:ascii="黑体" w:hAnsi="Calibri" w:eastAsia="黑体"/>
          <w:bCs/>
          <w:sz w:val="24"/>
          <w:szCs w:val="24"/>
          <w:u w:val="single"/>
        </w:rPr>
      </w:pPr>
      <w:r>
        <w:rPr>
          <w:rFonts w:hint="eastAsia" w:ascii="黑体" w:hAnsi="Calibri" w:eastAsia="黑体"/>
          <w:bCs/>
          <w:sz w:val="24"/>
          <w:szCs w:val="24"/>
        </w:rPr>
        <w:t>供应商名称（盖章）：</w:t>
      </w:r>
      <w:r>
        <w:rPr>
          <w:rFonts w:hint="eastAsia" w:ascii="黑体" w:hAnsi="Calibri" w:eastAsia="黑体"/>
          <w:bCs/>
          <w:sz w:val="24"/>
          <w:szCs w:val="24"/>
          <w:u w:val="single"/>
        </w:rPr>
        <w:t xml:space="preserve">                </w:t>
      </w:r>
      <w:r>
        <w:rPr>
          <w:rFonts w:hint="eastAsia" w:ascii="黑体" w:hAnsi="Calibri" w:eastAsia="黑体"/>
          <w:bCs/>
          <w:sz w:val="24"/>
          <w:szCs w:val="24"/>
        </w:rPr>
        <w:t xml:space="preserve">      采购项目编号：</w:t>
      </w:r>
      <w:r>
        <w:rPr>
          <w:rFonts w:hint="eastAsia" w:ascii="黑体" w:hAnsi="Calibri" w:eastAsia="黑体"/>
          <w:bCs/>
          <w:sz w:val="24"/>
          <w:szCs w:val="24"/>
          <w:u w:val="single"/>
        </w:rPr>
        <w:t xml:space="preserve">              </w:t>
      </w:r>
    </w:p>
    <w:p>
      <w:pPr>
        <w:ind w:firstLine="840" w:firstLineChars="350"/>
        <w:rPr>
          <w:rFonts w:ascii="黑体" w:hAnsi="Calibri" w:eastAsia="黑体"/>
          <w:bCs/>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139"/>
        <w:gridCol w:w="1134"/>
        <w:gridCol w:w="2126"/>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12" w:type="dxa"/>
            <w:vAlign w:val="center"/>
          </w:tcPr>
          <w:p>
            <w:pPr>
              <w:jc w:val="center"/>
              <w:rPr>
                <w:rFonts w:ascii="Calibri" w:hAnsi="Calibri"/>
                <w:b/>
                <w:sz w:val="24"/>
              </w:rPr>
            </w:pPr>
            <w:r>
              <w:rPr>
                <w:rFonts w:hint="eastAsia" w:ascii="Calibri" w:hAnsi="Calibri"/>
                <w:b/>
                <w:sz w:val="24"/>
              </w:rPr>
              <w:t>序号</w:t>
            </w:r>
          </w:p>
        </w:tc>
        <w:tc>
          <w:tcPr>
            <w:tcW w:w="2139" w:type="dxa"/>
            <w:vAlign w:val="center"/>
          </w:tcPr>
          <w:p>
            <w:pPr>
              <w:jc w:val="center"/>
              <w:rPr>
                <w:rFonts w:ascii="Calibri" w:hAnsi="Calibri"/>
                <w:b/>
                <w:sz w:val="24"/>
              </w:rPr>
            </w:pPr>
            <w:r>
              <w:rPr>
                <w:rFonts w:hint="eastAsia" w:ascii="Calibri" w:hAnsi="Calibri"/>
                <w:b/>
                <w:sz w:val="24"/>
              </w:rPr>
              <w:t>姓名</w:t>
            </w:r>
          </w:p>
        </w:tc>
        <w:tc>
          <w:tcPr>
            <w:tcW w:w="1134" w:type="dxa"/>
            <w:vAlign w:val="center"/>
          </w:tcPr>
          <w:p>
            <w:pPr>
              <w:jc w:val="center"/>
              <w:rPr>
                <w:rFonts w:ascii="Calibri" w:hAnsi="Calibri"/>
                <w:b/>
                <w:sz w:val="24"/>
              </w:rPr>
            </w:pPr>
            <w:r>
              <w:rPr>
                <w:rFonts w:hint="eastAsia" w:ascii="Calibri" w:hAnsi="Calibri"/>
                <w:b/>
                <w:sz w:val="24"/>
              </w:rPr>
              <w:t>年龄</w:t>
            </w:r>
          </w:p>
        </w:tc>
        <w:tc>
          <w:tcPr>
            <w:tcW w:w="2126" w:type="dxa"/>
            <w:vAlign w:val="center"/>
          </w:tcPr>
          <w:p>
            <w:pPr>
              <w:jc w:val="center"/>
              <w:rPr>
                <w:rFonts w:ascii="Calibri" w:hAnsi="Calibri"/>
                <w:b/>
                <w:sz w:val="24"/>
              </w:rPr>
            </w:pPr>
            <w:r>
              <w:rPr>
                <w:rFonts w:hint="eastAsia" w:ascii="Calibri" w:hAnsi="Calibri"/>
                <w:b/>
                <w:sz w:val="24"/>
              </w:rPr>
              <w:t>本项目职责</w:t>
            </w:r>
          </w:p>
        </w:tc>
        <w:tc>
          <w:tcPr>
            <w:tcW w:w="1689" w:type="dxa"/>
            <w:vAlign w:val="center"/>
          </w:tcPr>
          <w:p>
            <w:pPr>
              <w:jc w:val="center"/>
              <w:rPr>
                <w:rFonts w:ascii="Calibri" w:hAnsi="Calibri"/>
                <w:b/>
                <w:sz w:val="24"/>
              </w:rPr>
            </w:pPr>
            <w:r>
              <w:rPr>
                <w:rFonts w:hint="eastAsia" w:ascii="Calibri" w:hAnsi="Calibri"/>
                <w:b/>
                <w:sz w:val="24"/>
              </w:rPr>
              <w:t>持有证书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宋体" w:hAnsi="宋体"/>
                <w:bCs/>
                <w:sz w:val="24"/>
                <w:szCs w:val="24"/>
              </w:rPr>
            </w:pPr>
          </w:p>
        </w:tc>
        <w:tc>
          <w:tcPr>
            <w:tcW w:w="1689" w:type="dxa"/>
          </w:tcPr>
          <w:p>
            <w:pPr>
              <w:jc w:val="center"/>
              <w:outlineLvl w:val="0"/>
              <w:rPr>
                <w:rFonts w:ascii="黑体" w:hAnsi="Calibri"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12" w:type="dxa"/>
            <w:vAlign w:val="center"/>
          </w:tcPr>
          <w:p>
            <w:pPr>
              <w:jc w:val="center"/>
              <w:outlineLvl w:val="0"/>
              <w:rPr>
                <w:rFonts w:ascii="黑体" w:hAnsi="Calibri" w:eastAsia="黑体"/>
                <w:bCs/>
                <w:sz w:val="24"/>
                <w:szCs w:val="24"/>
              </w:rPr>
            </w:pPr>
          </w:p>
        </w:tc>
        <w:tc>
          <w:tcPr>
            <w:tcW w:w="2139" w:type="dxa"/>
            <w:vAlign w:val="center"/>
          </w:tcPr>
          <w:p>
            <w:pPr>
              <w:jc w:val="center"/>
              <w:outlineLvl w:val="0"/>
              <w:rPr>
                <w:rFonts w:ascii="黑体" w:hAnsi="Calibri" w:eastAsia="黑体"/>
                <w:bCs/>
                <w:sz w:val="24"/>
                <w:szCs w:val="24"/>
              </w:rPr>
            </w:pPr>
          </w:p>
        </w:tc>
        <w:tc>
          <w:tcPr>
            <w:tcW w:w="1134" w:type="dxa"/>
            <w:vAlign w:val="center"/>
          </w:tcPr>
          <w:p>
            <w:pPr>
              <w:jc w:val="center"/>
              <w:outlineLvl w:val="0"/>
              <w:rPr>
                <w:rFonts w:ascii="黑体" w:hAnsi="Calibri" w:eastAsia="黑体"/>
                <w:bCs/>
                <w:sz w:val="24"/>
                <w:szCs w:val="24"/>
              </w:rPr>
            </w:pPr>
          </w:p>
        </w:tc>
        <w:tc>
          <w:tcPr>
            <w:tcW w:w="2126" w:type="dxa"/>
            <w:vAlign w:val="center"/>
          </w:tcPr>
          <w:p>
            <w:pPr>
              <w:jc w:val="center"/>
              <w:outlineLvl w:val="0"/>
              <w:rPr>
                <w:rFonts w:ascii="黑体" w:hAnsi="Calibri" w:eastAsia="黑体"/>
                <w:bCs/>
                <w:sz w:val="24"/>
                <w:szCs w:val="24"/>
              </w:rPr>
            </w:pPr>
          </w:p>
        </w:tc>
        <w:tc>
          <w:tcPr>
            <w:tcW w:w="1689" w:type="dxa"/>
          </w:tcPr>
          <w:p>
            <w:pPr>
              <w:jc w:val="center"/>
              <w:outlineLvl w:val="0"/>
              <w:rPr>
                <w:rFonts w:ascii="黑体" w:hAnsi="Calibri" w:eastAsia="黑体"/>
                <w:bCs/>
                <w:sz w:val="24"/>
                <w:szCs w:val="24"/>
              </w:rPr>
            </w:pPr>
          </w:p>
        </w:tc>
      </w:tr>
    </w:tbl>
    <w:p>
      <w:pPr>
        <w:rPr>
          <w:rFonts w:ascii="Calibri" w:hAnsi="Calibri"/>
          <w:b/>
          <w:bCs/>
          <w:color w:val="000000"/>
          <w:sz w:val="24"/>
          <w:szCs w:val="24"/>
        </w:rPr>
      </w:pPr>
    </w:p>
    <w:p>
      <w:pPr>
        <w:spacing w:before="5"/>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法定代表人或被授权代表（签字或盖章）：</w:t>
      </w:r>
      <w:r>
        <w:rPr>
          <w:rFonts w:hint="eastAsia"/>
          <w:b/>
          <w:bCs/>
          <w:color w:val="000000" w:themeColor="text1"/>
          <w:sz w:val="24"/>
          <w:szCs w:val="24"/>
          <w:u w:val="single"/>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 xml:space="preserve"> </w:t>
      </w:r>
    </w:p>
    <w:p>
      <w:pPr>
        <w:rPr>
          <w:rFonts w:ascii="宋体" w:hAnsi="宋体"/>
          <w:bCs/>
          <w:color w:val="000000"/>
          <w:szCs w:val="21"/>
        </w:rPr>
      </w:pP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w:t>
      </w:r>
      <w:r>
        <w:rPr>
          <w:rFonts w:hint="eastAsia" w:asciiTheme="minorEastAsia" w:hAnsiTheme="minorEastAsia"/>
          <w:color w:val="000000" w:themeColor="text1"/>
          <w:sz w:val="24"/>
          <w:szCs w:val="24"/>
          <w14:textFill>
            <w14:solidFill>
              <w14:schemeClr w14:val="tx1"/>
            </w14:solidFill>
          </w14:textFill>
        </w:rPr>
        <w:t xml:space="preserve"> 表格不够可自行延长。</w:t>
      </w:r>
    </w:p>
    <w:p>
      <w:pPr>
        <w:spacing w:line="360" w:lineRule="auto"/>
        <w:rPr>
          <w:rFonts w:asciiTheme="minorEastAsia" w:hAnsiTheme="minorEastAsia"/>
          <w:color w:val="000000" w:themeColor="text1"/>
          <w:sz w:val="24"/>
          <w:szCs w:val="24"/>
          <w14:textFill>
            <w14:solidFill>
              <w14:schemeClr w14:val="tx1"/>
            </w14:solidFill>
          </w14:textFill>
        </w:rPr>
      </w:pPr>
      <w:r>
        <w:br w:type="page"/>
      </w:r>
      <w:r>
        <w:rPr>
          <w:rFonts w:hint="eastAsia" w:ascii="黑体" w:hAnsi="宋体" w:eastAsia="黑体"/>
          <w:bCs/>
          <w:color w:val="000000" w:themeColor="text1"/>
          <w:sz w:val="24"/>
          <w:szCs w:val="24"/>
          <w14:textFill>
            <w14:solidFill>
              <w14:schemeClr w14:val="tx1"/>
            </w14:solidFill>
          </w14:textFill>
        </w:rPr>
        <w:t>（七）疫情期间参与采购活动开评标人员健康信息登记表</w:t>
      </w:r>
    </w:p>
    <w:p>
      <w:pPr>
        <w:jc w:val="center"/>
        <w:rPr>
          <w:rFonts w:ascii="Times New Roman" w:hAnsi="Times New Roman"/>
          <w:b/>
          <w:color w:val="000000"/>
          <w:sz w:val="28"/>
          <w:szCs w:val="28"/>
        </w:rPr>
      </w:pP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疫情期间参与采购活动开评标人员健康信息登记表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姓名</w:t>
            </w:r>
          </w:p>
        </w:tc>
        <w:tc>
          <w:tcPr>
            <w:tcW w:w="1582" w:type="dxa"/>
            <w:vAlign w:val="center"/>
          </w:tcPr>
          <w:p>
            <w:pPr>
              <w:jc w:val="center"/>
              <w:rPr>
                <w:rFonts w:ascii="宋体" w:hAnsi="宋体"/>
                <w:sz w:val="24"/>
              </w:rPr>
            </w:pPr>
          </w:p>
        </w:tc>
        <w:tc>
          <w:tcPr>
            <w:tcW w:w="1537" w:type="dxa"/>
            <w:gridSpan w:val="3"/>
            <w:vAlign w:val="center"/>
          </w:tcPr>
          <w:p>
            <w:pPr>
              <w:jc w:val="center"/>
              <w:rPr>
                <w:rFonts w:ascii="宋体" w:hAnsi="宋体"/>
                <w:sz w:val="24"/>
              </w:rPr>
            </w:pPr>
            <w:r>
              <w:rPr>
                <w:rFonts w:hint="eastAsia" w:ascii="宋体" w:hAnsi="宋体"/>
                <w:sz w:val="24"/>
              </w:rPr>
              <w:t>身份证号码</w:t>
            </w:r>
          </w:p>
        </w:tc>
        <w:tc>
          <w:tcPr>
            <w:tcW w:w="348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单位地址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个人住址</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单位电话</w:t>
            </w:r>
          </w:p>
        </w:tc>
        <w:tc>
          <w:tcPr>
            <w:tcW w:w="2142" w:type="dxa"/>
            <w:gridSpan w:val="3"/>
            <w:vAlign w:val="center"/>
          </w:tcPr>
          <w:p>
            <w:pPr>
              <w:jc w:val="center"/>
              <w:rPr>
                <w:rFonts w:ascii="宋体" w:hAnsi="宋体"/>
                <w:sz w:val="24"/>
              </w:rPr>
            </w:pPr>
          </w:p>
        </w:tc>
        <w:tc>
          <w:tcPr>
            <w:tcW w:w="1545" w:type="dxa"/>
            <w:gridSpan w:val="2"/>
            <w:vAlign w:val="center"/>
          </w:tcPr>
          <w:p>
            <w:pPr>
              <w:jc w:val="center"/>
              <w:rPr>
                <w:rFonts w:ascii="宋体" w:hAnsi="宋体"/>
                <w:sz w:val="24"/>
              </w:rPr>
            </w:pPr>
            <w:r>
              <w:rPr>
                <w:rFonts w:hint="eastAsia" w:ascii="宋体" w:hAnsi="宋体"/>
                <w:sz w:val="24"/>
              </w:rPr>
              <w:t>个人手机</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人员身份</w:t>
            </w:r>
          </w:p>
        </w:tc>
        <w:tc>
          <w:tcPr>
            <w:tcW w:w="6601" w:type="dxa"/>
            <w:gridSpan w:val="6"/>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项目名称</w:t>
            </w:r>
          </w:p>
        </w:tc>
        <w:tc>
          <w:tcPr>
            <w:tcW w:w="6601"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u w:val="single"/>
              </w:rPr>
            </w:pPr>
            <w:r>
              <w:rPr>
                <w:rFonts w:hint="eastAsia" w:ascii="宋体" w:hAnsi="宋体"/>
                <w:sz w:val="24"/>
              </w:rPr>
              <w:t>□否     □是 ，到达时间为：</w:t>
            </w:r>
            <w:r>
              <w:rPr>
                <w:rFonts w:hint="eastAsia" w:ascii="宋体" w:hAnsi="宋体"/>
                <w:sz w:val="24"/>
                <w:u w:val="single"/>
              </w:rPr>
              <w:t xml:space="preserve"> </w:t>
            </w:r>
            <w:r>
              <w:rPr>
                <w:rFonts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离开常州往</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返常日期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宋体" w:hAnsi="宋体"/>
                <w:sz w:val="24"/>
              </w:rPr>
            </w:pPr>
            <w:r>
              <w:rPr>
                <w:rFonts w:hint="eastAsia" w:ascii="宋体" w:hAnsi="宋体"/>
                <w:sz w:val="24"/>
              </w:rPr>
              <w:t>途径（换乘）</w:t>
            </w:r>
          </w:p>
        </w:tc>
        <w:tc>
          <w:tcPr>
            <w:tcW w:w="2122" w:type="dxa"/>
            <w:gridSpan w:val="2"/>
            <w:vAlign w:val="center"/>
          </w:tcPr>
          <w:p>
            <w:pPr>
              <w:jc w:val="center"/>
              <w:rPr>
                <w:rFonts w:ascii="宋体" w:hAnsi="宋体"/>
                <w:sz w:val="24"/>
              </w:rPr>
            </w:pPr>
          </w:p>
        </w:tc>
        <w:tc>
          <w:tcPr>
            <w:tcW w:w="1565" w:type="dxa"/>
            <w:gridSpan w:val="3"/>
            <w:vAlign w:val="center"/>
          </w:tcPr>
          <w:p>
            <w:pPr>
              <w:jc w:val="center"/>
              <w:rPr>
                <w:rFonts w:ascii="宋体" w:hAnsi="宋体"/>
                <w:sz w:val="24"/>
              </w:rPr>
            </w:pPr>
            <w:r>
              <w:rPr>
                <w:rFonts w:hint="eastAsia" w:ascii="宋体" w:hAnsi="宋体"/>
                <w:sz w:val="24"/>
              </w:rPr>
              <w:t>途径日期</w:t>
            </w:r>
          </w:p>
        </w:tc>
        <w:tc>
          <w:tcPr>
            <w:tcW w:w="291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numPr>
                <w:ilvl w:val="0"/>
                <w:numId w:val="9"/>
              </w:numPr>
              <w:jc w:val="center"/>
              <w:rPr>
                <w:rFonts w:ascii="宋体" w:hAnsi="宋体" w:eastAsia="宋体" w:cs="Times New Roman"/>
                <w:sz w:val="24"/>
                <w:szCs w:val="20"/>
              </w:rPr>
            </w:pPr>
            <w:r>
              <w:rPr>
                <w:rFonts w:hint="eastAsia" w:ascii="宋体" w:hAnsi="宋体" w:eastAsia="宋体" w:cs="Times New Roman"/>
                <w:sz w:val="24"/>
                <w:szCs w:val="20"/>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sz w:val="24"/>
              </w:rPr>
            </w:pPr>
            <w:r>
              <w:rPr>
                <w:rFonts w:hint="eastAsia"/>
                <w:sz w:val="24"/>
              </w:rPr>
              <w:t>单位（公章）：</w:t>
            </w:r>
          </w:p>
          <w:p>
            <w:pPr>
              <w:ind w:firstLine="4920" w:firstLineChars="2050"/>
              <w:jc w:val="left"/>
              <w:rPr>
                <w:sz w:val="24"/>
              </w:rPr>
            </w:pPr>
            <w:r>
              <w:rPr>
                <w:rFonts w:hint="eastAsia" w:ascii="宋体" w:hAnsi="宋体"/>
                <w:sz w:val="24"/>
              </w:rPr>
              <w:t>日期：</w:t>
            </w:r>
          </w:p>
        </w:tc>
      </w:tr>
    </w:tbl>
    <w:p>
      <w:pPr>
        <w:spacing w:line="360" w:lineRule="auto"/>
        <w:rPr>
          <w:rFonts w:ascii="宋体" w:hAnsi="宋体" w:eastAsia="宋体" w:cs="宋体"/>
          <w:b/>
          <w:sz w:val="24"/>
          <w:szCs w:val="24"/>
        </w:rPr>
      </w:pPr>
      <w:r>
        <w:rPr>
          <w:rFonts w:hint="eastAsia" w:ascii="宋体" w:hAnsi="宋体" w:eastAsia="宋体" w:cs="宋体"/>
          <w:b/>
          <w:sz w:val="24"/>
          <w:szCs w:val="24"/>
        </w:rPr>
        <w:t>存在瞒报或审查不严的企业，一经发现将严肃处理，在诚信体系中予以记录，并报有关部门依法追究责任。</w:t>
      </w:r>
    </w:p>
    <w:p>
      <w:pPr>
        <w:widowControl/>
        <w:jc w:val="left"/>
      </w:pPr>
      <w:r>
        <w:br w:type="page"/>
      </w:r>
    </w:p>
    <w:p>
      <w:pPr>
        <w:keepNext/>
        <w:spacing w:line="360" w:lineRule="auto"/>
        <w:jc w:val="center"/>
        <w:outlineLvl w:val="0"/>
        <w:rPr>
          <w:rFonts w:ascii="黑体" w:hAnsi="黑体" w:eastAsia="黑体" w:cs="Times New Roman"/>
          <w:bCs/>
          <w:kern w:val="0"/>
          <w:sz w:val="28"/>
          <w:szCs w:val="28"/>
        </w:rPr>
      </w:pPr>
      <w:bookmarkStart w:id="67" w:name="_Toc63173555"/>
      <w:bookmarkStart w:id="68" w:name="_Toc25701"/>
      <w:r>
        <w:rPr>
          <w:rFonts w:hint="eastAsia" w:ascii="黑体" w:hAnsi="黑体" w:eastAsia="黑体" w:cs="Times New Roman"/>
          <w:bCs/>
          <w:kern w:val="0"/>
          <w:sz w:val="28"/>
          <w:szCs w:val="28"/>
        </w:rPr>
        <w:t>友 情 提 醒</w:t>
      </w:r>
      <w:bookmarkEnd w:id="67"/>
      <w:bookmarkEnd w:id="68"/>
    </w:p>
    <w:p>
      <w:pPr>
        <w:spacing w:line="360" w:lineRule="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各供应商：</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您好！</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为了提高贵单位的响应文件的有效性，减少不必要的无效</w:t>
      </w:r>
      <w:r>
        <w:rPr>
          <w:rFonts w:hint="eastAsia" w:eastAsia="宋体"/>
          <w:color w:val="000000" w:themeColor="text1"/>
          <w:sz w:val="24"/>
          <w:szCs w:val="24"/>
          <w14:textFill>
            <w14:solidFill>
              <w14:schemeClr w14:val="tx1"/>
            </w14:solidFill>
          </w14:textFill>
        </w:rPr>
        <w:t>报价</w:t>
      </w:r>
      <w:r>
        <w:rPr>
          <w:rFonts w:eastAsia="宋体"/>
          <w:color w:val="000000" w:themeColor="text1"/>
          <w:sz w:val="24"/>
          <w:szCs w:val="24"/>
          <w14:textFill>
            <w14:solidFill>
              <w14:schemeClr w14:val="tx1"/>
            </w14:solidFill>
          </w14:textFill>
        </w:rPr>
        <w:t>，特友情提醒注意以下几点：</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请谨记采购文件上表述的各项事宜时间节点，特别是开标时间和地点，迟到的将一律不能进入开标室。</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响应文件应按要求密封，并在封袋上加盖供应商公章。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 响应文件须按采购文件《二、供应商须知》及《五、响应文件格式》中相关要求装订、密封、标记、盖章和签署。响应文件封袋须加盖供应商公章。</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4.</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响应文件中的证明文件及资料需提供复印件并加盖公章，有要求提供原件或公证件的必须将原件或公证件携带至开标现场备查或核查。</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需要提供样品的，请严格按采购文件要求提供，同时注意密封、隐蔽标签的相关要求。</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6.</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因采购文件文字表述有限，鼓励您现场踏勘，可以在投标前充分了解现场环境、项目进度和质量要求等信息，为贵单位有针对性的制作响应文件积累充分的原始资料。</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7.</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设定最高限价的，超过限价一律废标。</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请精心仔细审阅采购文件，特别是加粗部分的文字。如有疑问，请按采购文件要求进行询疑。</w:t>
      </w:r>
    </w:p>
    <w:p>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 xml:space="preserve">我单位十分欢迎贵单位对招标采购组织工作提出宝贵意见和建议。电话：0519-86661066  </w:t>
      </w:r>
    </w:p>
    <w:p>
      <w:pPr>
        <w:spacing w:line="360" w:lineRule="auto"/>
        <w:ind w:firstLine="480" w:firstLineChars="20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最后祝贵单位投标成功！</w:t>
      </w:r>
    </w:p>
    <w:p>
      <w:pPr>
        <w:spacing w:line="360" w:lineRule="auto"/>
        <w:ind w:firstLine="480" w:firstLineChars="200"/>
        <w:rPr>
          <w:rFonts w:eastAsia="宋体"/>
          <w:color w:val="000000" w:themeColor="text1"/>
          <w:sz w:val="24"/>
          <w:szCs w:val="24"/>
          <w14:textFill>
            <w14:solidFill>
              <w14:schemeClr w14:val="tx1"/>
            </w14:solidFill>
          </w14:textFill>
        </w:rPr>
      </w:pPr>
    </w:p>
    <w:p>
      <w:pPr>
        <w:spacing w:line="360" w:lineRule="auto"/>
        <w:ind w:firstLine="480" w:firstLineChars="200"/>
        <w:rPr>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本采购文件的最终解释权归常州中采招投标有限公司所有。</w:t>
      </w: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（全文完）</w:t>
      </w:r>
    </w:p>
    <w:p>
      <w:pPr>
        <w:widowControl/>
        <w:jc w:val="left"/>
        <w:rPr>
          <w:rFonts w:ascii="黑体" w:hAnsi="黑体" w:eastAsia="黑体"/>
          <w:color w:val="000000" w:themeColor="text1"/>
          <w:sz w:val="28"/>
          <w:szCs w:val="28"/>
          <w14:textFill>
            <w14:solidFill>
              <w14:schemeClr w14:val="tx1"/>
            </w14:solidFill>
          </w14:textFill>
        </w:rPr>
      </w:pPr>
    </w:p>
    <w:sectPr>
      <w:headerReference r:id="rId12" w:type="first"/>
      <w:footerReference r:id="rId14" w:type="first"/>
      <w:headerReference r:id="rId10" w:type="default"/>
      <w:footerReference r:id="rId13" w:type="default"/>
      <w:headerReference r:id="rId11" w:type="even"/>
      <w:pgSz w:w="11906" w:h="16838"/>
      <w:pgMar w:top="1276" w:right="851" w:bottom="1134" w:left="1134" w:header="568" w:footer="59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316035"/>
    </w:sdtPr>
    <w:sdtContent>
      <w:p>
        <w:pPr>
          <w:pStyle w:val="20"/>
          <w:tabs>
            <w:tab w:val="left" w:pos="3900"/>
            <w:tab w:val="center" w:pos="4960"/>
          </w:tabs>
          <w:rPr>
            <w:rFonts w:asciiTheme="minorHAnsi" w:hAnsiTheme="minorHAnsi" w:eastAsiaTheme="minorEastAsia" w:cstheme="minorBidi"/>
            <w:kern w:val="2"/>
            <w:sz w:val="21"/>
            <w:szCs w:val="22"/>
          </w:rPr>
        </w:pPr>
        <w: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w:t>
    </w:r>
    <w:r>
      <w:rPr>
        <w:rStyle w:val="35"/>
      </w:rP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807669"/>
    </w:sdtPr>
    <w:sdtContent>
      <w:p>
        <w:pPr>
          <w:pStyle w:val="20"/>
          <w:tabs>
            <w:tab w:val="left" w:pos="3900"/>
            <w:tab w:val="center" w:pos="4960"/>
          </w:tabs>
          <w:rPr>
            <w:rFonts w:asciiTheme="minorHAnsi" w:hAnsiTheme="minorHAnsi" w:eastAsiaTheme="minorEastAsia" w:cstheme="minorBidi"/>
            <w:kern w:val="2"/>
            <w:sz w:val="21"/>
            <w:szCs w:val="22"/>
          </w:rPr>
        </w:pPr>
        <w:r>
          <w:tab/>
        </w:r>
        <w:r>
          <w:tab/>
        </w:r>
        <w:r>
          <w:rPr>
            <w:rFonts w:asciiTheme="minorEastAsia" w:hAnsiTheme="minorEastAsia" w:eastAsiaTheme="minorEastAsia"/>
            <w:sz w:val="21"/>
            <w:szCs w:val="21"/>
            <w:lang w:val="zh-CN"/>
          </w:rPr>
          <w:t xml:space="preserve"> 第</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24</w:t>
        </w:r>
        <w:r>
          <w:rPr>
            <w:rFonts w:asciiTheme="minorEastAsia" w:hAnsiTheme="minorEastAsia" w:eastAsiaTheme="minorEastAsia"/>
            <w:bCs/>
            <w:sz w:val="21"/>
            <w:szCs w:val="21"/>
          </w:rPr>
          <w:fldChar w:fldCharType="end"/>
        </w:r>
        <w:r>
          <w:rPr>
            <w:rFonts w:asciiTheme="minorEastAsia" w:hAnsiTheme="minorEastAsia" w:eastAsiaTheme="minorEastAsia"/>
            <w:bCs/>
            <w:sz w:val="21"/>
            <w:szCs w:val="21"/>
          </w:rPr>
          <w:t>页</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共 </w:t>
        </w:r>
        <w:r>
          <w:rPr>
            <w:rFonts w:hint="eastAsia" w:asciiTheme="minorEastAsia" w:hAnsiTheme="minorEastAsia" w:eastAsiaTheme="minorEastAsia"/>
            <w:bCs/>
            <w:sz w:val="21"/>
            <w:szCs w:val="21"/>
          </w:rPr>
          <w:t>40</w:t>
        </w:r>
        <w:r>
          <w:rPr>
            <w:rFonts w:asciiTheme="minorEastAsia" w:hAnsiTheme="minorEastAsia" w:eastAsiaTheme="minorEastAsia"/>
            <w:bCs/>
            <w:sz w:val="21"/>
            <w:szCs w:val="21"/>
          </w:rPr>
          <w:t>页</w:t>
        </w:r>
      </w:p>
    </w:sdtContent>
  </w:sdt>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100909"/>
    </w:sdtPr>
    <w:sdtContent>
      <w:sdt>
        <w:sdtPr>
          <w:id w:val="-1669238322"/>
        </w:sdtPr>
        <w:sdtContent>
          <w:p>
            <w:pPr>
              <w:pStyle w:val="20"/>
              <w:jc w:val="center"/>
            </w:pPr>
            <w:r>
              <w:rPr>
                <w:rFonts w:hint="eastAsia" w:asciiTheme="minorEastAsia" w:hAnsiTheme="minorEastAsia" w:eastAsiaTheme="minorEastAsia"/>
                <w:szCs w:val="18"/>
              </w:rPr>
              <w:t>第</w:t>
            </w:r>
            <w:r>
              <w:rPr>
                <w:rFonts w:asciiTheme="minorEastAsia" w:hAnsiTheme="minorEastAsia" w:eastAsiaTheme="minorEastAsia"/>
                <w:szCs w:val="18"/>
                <w:lang w:val="zh-CN"/>
              </w:rPr>
              <w:t xml:space="preserve"> </w:t>
            </w:r>
            <w:r>
              <w:rPr>
                <w:rFonts w:asciiTheme="minorEastAsia" w:hAnsiTheme="minorEastAsia" w:eastAsiaTheme="minorEastAsia"/>
                <w:bCs/>
                <w:szCs w:val="18"/>
              </w:rPr>
              <w:fldChar w:fldCharType="begin"/>
            </w:r>
            <w:r>
              <w:rPr>
                <w:rFonts w:asciiTheme="minorEastAsia" w:hAnsiTheme="minorEastAsia" w:eastAsiaTheme="minorEastAsia"/>
                <w:bCs/>
                <w:szCs w:val="18"/>
              </w:rPr>
              <w:instrText xml:space="preserve">PAGE</w:instrText>
            </w:r>
            <w:r>
              <w:rPr>
                <w:rFonts w:asciiTheme="minorEastAsia" w:hAnsiTheme="minorEastAsia" w:eastAsiaTheme="minorEastAsia"/>
                <w:bCs/>
                <w:szCs w:val="18"/>
              </w:rPr>
              <w:fldChar w:fldCharType="separate"/>
            </w:r>
            <w:r>
              <w:rPr>
                <w:rFonts w:asciiTheme="minorEastAsia" w:hAnsiTheme="minorEastAsia" w:eastAsiaTheme="minorEastAsia"/>
                <w:bCs/>
                <w:szCs w:val="18"/>
              </w:rPr>
              <w:t>39</w:t>
            </w:r>
            <w:r>
              <w:rPr>
                <w:rFonts w:asciiTheme="minorEastAsia" w:hAnsiTheme="minorEastAsia" w:eastAsiaTheme="minorEastAsia"/>
                <w:bCs/>
                <w:szCs w:val="18"/>
              </w:rPr>
              <w:fldChar w:fldCharType="end"/>
            </w:r>
            <w:r>
              <w:rPr>
                <w:rFonts w:hint="eastAsia" w:asciiTheme="minorEastAsia" w:hAnsiTheme="minorEastAsia" w:eastAsiaTheme="minorEastAsia"/>
                <w:bCs/>
                <w:szCs w:val="18"/>
              </w:rPr>
              <w:t xml:space="preserve"> 页，</w:t>
            </w:r>
            <w:r>
              <w:rPr>
                <w:rFonts w:hint="eastAsia" w:asciiTheme="minorEastAsia" w:hAnsiTheme="minorEastAsia" w:eastAsiaTheme="minorEastAsia"/>
                <w:szCs w:val="18"/>
                <w:lang w:val="zh-CN"/>
              </w:rPr>
              <w:t>共</w:t>
            </w:r>
            <w:r>
              <w:rPr>
                <w:rFonts w:hint="eastAsia" w:asciiTheme="minorEastAsia" w:hAnsiTheme="minorEastAsia" w:eastAsiaTheme="minorEastAsia"/>
                <w:bCs/>
                <w:szCs w:val="18"/>
                <w:lang w:val="en-US" w:eastAsia="zh-CN"/>
              </w:rPr>
              <w:t>38</w:t>
            </w:r>
            <w:r>
              <w:rPr>
                <w:rFonts w:hint="eastAsia" w:asciiTheme="minorEastAsia" w:hAnsiTheme="minorEastAsia" w:eastAsiaTheme="minorEastAsia"/>
                <w:bCs/>
                <w:szCs w:val="18"/>
              </w:rPr>
              <w:t>页</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368604791"/>
    </w:sdtPr>
    <w:sdtEndPr>
      <w:rPr>
        <w:rStyle w:val="35"/>
      </w:rPr>
    </w:sdtEndPr>
    <w:sdtContent>
      <w:p>
        <w:pPr>
          <w:pStyle w:val="20"/>
          <w:framePr w:wrap="auto" w:vAnchor="text" w:hAnchor="margin" w:xAlign="center" w:y="1"/>
          <w:rPr>
            <w:rStyle w:val="35"/>
          </w:rPr>
        </w:pPr>
        <w:r>
          <w:rPr>
            <w:rStyle w:val="35"/>
          </w:rPr>
          <w:fldChar w:fldCharType="begin"/>
        </w:r>
        <w:r>
          <w:rPr>
            <w:rStyle w:val="35"/>
          </w:rPr>
          <w:instrText xml:space="preserve"> PAGE </w:instrText>
        </w:r>
        <w:r>
          <w:rPr>
            <w:rStyle w:val="35"/>
          </w:rPr>
          <w:fldChar w:fldCharType="separate"/>
        </w:r>
        <w:r>
          <w:rPr>
            <w:rStyle w:val="35"/>
          </w:rPr>
          <w:t>1</w:t>
        </w:r>
        <w:r>
          <w:rPr>
            <w:rStyle w:val="35"/>
          </w:rP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60950" cy="5080000"/>
          <wp:effectExtent l="0" t="0" r="6350" b="6350"/>
          <wp:wrapNone/>
          <wp:docPr id="1"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1312" behindDoc="0" locked="0" layoutInCell="1" allowOverlap="1">
          <wp:simplePos x="0" y="0"/>
          <wp:positionH relativeFrom="column">
            <wp:posOffset>2073910</wp:posOffset>
          </wp:positionH>
          <wp:positionV relativeFrom="paragraph">
            <wp:posOffset>-42545</wp:posOffset>
          </wp:positionV>
          <wp:extent cx="2016760" cy="20447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6795"/>
        <w:tab w:val="right" w:pos="8789"/>
      </w:tabs>
      <w:ind w:right="55"/>
      <w:jc w:val="left"/>
      <w:rPr>
        <w:rFonts w:ascii="华文新魏" w:hAnsi="华文新魏" w:eastAsia="华文新魏"/>
        <w:sz w:val="21"/>
        <w:szCs w:val="21"/>
      </w:rPr>
    </w:pPr>
    <w:r>
      <w:rPr>
        <w:rFonts w:ascii="华文新魏" w:hAnsi="华文新魏" w:eastAsia="华文新魏"/>
        <w:sz w:val="21"/>
        <w:szCs w:val="21"/>
      </w:rPr>
      <w:tab/>
    </w:r>
    <w:r>
      <w:rPr>
        <w:rFonts w:ascii="华文新魏" w:hAnsi="华文新魏" w:eastAsia="华文新魏"/>
        <w:sz w:val="21"/>
        <w:szCs w:val="21"/>
      </w:rPr>
      <w:tab/>
    </w:r>
    <w:r>
      <w:rPr>
        <w:rFonts w:ascii="华文新魏" w:hAnsi="华文新魏" w:eastAsia="华文新魏"/>
        <w:sz w:val="21"/>
        <w:szCs w:val="21"/>
      </w:rPr>
      <w:tab/>
    </w:r>
    <w:r>
      <w:rPr>
        <w:rFonts w:hint="eastAsia" w:ascii="华文新魏" w:hAnsi="华文新魏" w:eastAsia="华文新魏"/>
        <w:sz w:val="21"/>
        <w:szCs w:val="21"/>
      </w:rPr>
      <w:drawing>
        <wp:anchor distT="0" distB="0" distL="114300" distR="114300" simplePos="0" relativeHeight="251663360"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华文新魏" w:hAnsi="华文新魏" w:eastAsia="华文新魏"/>
        <w:sz w:val="21"/>
        <w:szCs w:val="21"/>
      </w:rPr>
    </w:pPr>
    <w:r>
      <w:rPr>
        <w:rFonts w:hint="eastAsia" w:ascii="华文新魏" w:hAnsi="华文新魏" w:eastAsia="华文新魏"/>
        <w:sz w:val="21"/>
        <w:szCs w:val="21"/>
      </w:rPr>
      <w:drawing>
        <wp:anchor distT="0" distB="0" distL="114300" distR="114300" simplePos="0" relativeHeight="251662336" behindDoc="0" locked="0" layoutInCell="1" allowOverlap="1">
          <wp:simplePos x="0" y="0"/>
          <wp:positionH relativeFrom="column">
            <wp:posOffset>2107565</wp:posOffset>
          </wp:positionH>
          <wp:positionV relativeFrom="paragraph">
            <wp:posOffset>-50165</wp:posOffset>
          </wp:positionV>
          <wp:extent cx="2016760" cy="204470"/>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60950" cy="5080000"/>
          <wp:effectExtent l="0" t="0" r="0" b="0"/>
          <wp:wrapNone/>
          <wp:docPr id="10" name="图片 10"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60950" cy="5080000"/>
          <wp:effectExtent l="0" t="0" r="0" b="0"/>
          <wp:wrapNone/>
          <wp:docPr id="12" name="图片 12"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D611A"/>
    <w:multiLevelType w:val="singleLevel"/>
    <w:tmpl w:val="CD9D611A"/>
    <w:lvl w:ilvl="0" w:tentative="0">
      <w:start w:val="2"/>
      <w:numFmt w:val="chineseCounting"/>
      <w:suff w:val="nothing"/>
      <w:lvlText w:val="%1、"/>
      <w:lvlJc w:val="left"/>
      <w:rPr>
        <w:rFonts w:hint="eastAsia"/>
      </w:rPr>
    </w:lvl>
  </w:abstractNum>
  <w:abstractNum w:abstractNumId="1">
    <w:nsid w:val="ED175074"/>
    <w:multiLevelType w:val="singleLevel"/>
    <w:tmpl w:val="ED175074"/>
    <w:lvl w:ilvl="0" w:tentative="0">
      <w:start w:val="2"/>
      <w:numFmt w:val="decimal"/>
      <w:suff w:val="nothing"/>
      <w:lvlText w:val="%1、"/>
      <w:lvlJc w:val="left"/>
    </w:lvl>
  </w:abstractNum>
  <w:abstractNum w:abstractNumId="2">
    <w:nsid w:val="07CD76B9"/>
    <w:multiLevelType w:val="multilevel"/>
    <w:tmpl w:val="07CD76B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594B7D5"/>
    <w:multiLevelType w:val="singleLevel"/>
    <w:tmpl w:val="1594B7D5"/>
    <w:lvl w:ilvl="0" w:tentative="0">
      <w:start w:val="5"/>
      <w:numFmt w:val="decimal"/>
      <w:suff w:val="space"/>
      <w:lvlText w:val="%1."/>
      <w:lvlJc w:val="left"/>
    </w:lvl>
  </w:abstractNum>
  <w:abstractNum w:abstractNumId="4">
    <w:nsid w:val="1FD96D2B"/>
    <w:multiLevelType w:val="singleLevel"/>
    <w:tmpl w:val="1FD96D2B"/>
    <w:lvl w:ilvl="0" w:tentative="0">
      <w:start w:val="1"/>
      <w:numFmt w:val="decimal"/>
      <w:lvlText w:val="（%1）"/>
      <w:lvlJc w:val="left"/>
      <w:pPr>
        <w:tabs>
          <w:tab w:val="left" w:pos="1104"/>
        </w:tabs>
        <w:ind w:left="1104" w:hanging="696"/>
      </w:pPr>
      <w:rPr>
        <w:rFonts w:cs="Times New Roman" w:asciiTheme="minorEastAsia" w:hAnsiTheme="minorEastAsia" w:eastAsiaTheme="minorEastAsia"/>
      </w:rPr>
    </w:lvl>
  </w:abstractNum>
  <w:abstractNum w:abstractNumId="5">
    <w:nsid w:val="4B320AA5"/>
    <w:multiLevelType w:val="multilevel"/>
    <w:tmpl w:val="4B320AA5"/>
    <w:lvl w:ilvl="0" w:tentative="0">
      <w:start w:val="1"/>
      <w:numFmt w:val="decimalEnclosedCircle"/>
      <w:lvlText w:val="%1"/>
      <w:lvlJc w:val="left"/>
      <w:pPr>
        <w:tabs>
          <w:tab w:val="left" w:pos="570"/>
        </w:tabs>
        <w:ind w:left="57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6">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71D54D18"/>
    <w:multiLevelType w:val="multilevel"/>
    <w:tmpl w:val="71D54D18"/>
    <w:lvl w:ilvl="0" w:tentative="0">
      <w:start w:val="1"/>
      <w:numFmt w:val="upperLetter"/>
      <w:pStyle w:val="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81E7A82"/>
    <w:multiLevelType w:val="multilevel"/>
    <w:tmpl w:val="781E7A82"/>
    <w:lvl w:ilvl="0" w:tentative="0">
      <w:start w:val="2016"/>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4"/>
  </w:num>
  <w:num w:numId="3">
    <w:abstractNumId w:val="5"/>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zRhZDcxNGIyMWQ0YjQ5NmIyNmM4ODJlN2QyYmYifQ=="/>
  </w:docVars>
  <w:rsids>
    <w:rsidRoot w:val="00202940"/>
    <w:rsid w:val="000048AE"/>
    <w:rsid w:val="00004E4E"/>
    <w:rsid w:val="00007D9A"/>
    <w:rsid w:val="00011B5A"/>
    <w:rsid w:val="00021B35"/>
    <w:rsid w:val="00023F37"/>
    <w:rsid w:val="00025959"/>
    <w:rsid w:val="00025CDA"/>
    <w:rsid w:val="00027136"/>
    <w:rsid w:val="000304B3"/>
    <w:rsid w:val="0003505C"/>
    <w:rsid w:val="0003756D"/>
    <w:rsid w:val="00040D3C"/>
    <w:rsid w:val="000467D6"/>
    <w:rsid w:val="00050C6E"/>
    <w:rsid w:val="000542BD"/>
    <w:rsid w:val="00055659"/>
    <w:rsid w:val="00056FC0"/>
    <w:rsid w:val="00057274"/>
    <w:rsid w:val="00057BBC"/>
    <w:rsid w:val="0006261F"/>
    <w:rsid w:val="00064546"/>
    <w:rsid w:val="00064F9E"/>
    <w:rsid w:val="00071CFE"/>
    <w:rsid w:val="00072395"/>
    <w:rsid w:val="0007466C"/>
    <w:rsid w:val="00081AD6"/>
    <w:rsid w:val="00085025"/>
    <w:rsid w:val="000853A3"/>
    <w:rsid w:val="00091725"/>
    <w:rsid w:val="00091930"/>
    <w:rsid w:val="000929A2"/>
    <w:rsid w:val="000935DA"/>
    <w:rsid w:val="000951E0"/>
    <w:rsid w:val="00096B78"/>
    <w:rsid w:val="00096F5C"/>
    <w:rsid w:val="000A01C4"/>
    <w:rsid w:val="000A611A"/>
    <w:rsid w:val="000A6A2A"/>
    <w:rsid w:val="000A7FF1"/>
    <w:rsid w:val="000B5A22"/>
    <w:rsid w:val="000C394C"/>
    <w:rsid w:val="000D0966"/>
    <w:rsid w:val="000D3F14"/>
    <w:rsid w:val="000D7793"/>
    <w:rsid w:val="000E0666"/>
    <w:rsid w:val="000E5708"/>
    <w:rsid w:val="000E61BA"/>
    <w:rsid w:val="000F08EC"/>
    <w:rsid w:val="000F13DD"/>
    <w:rsid w:val="000F18E1"/>
    <w:rsid w:val="000F3902"/>
    <w:rsid w:val="000F3F52"/>
    <w:rsid w:val="000F4EF1"/>
    <w:rsid w:val="00101B15"/>
    <w:rsid w:val="00102755"/>
    <w:rsid w:val="0010372C"/>
    <w:rsid w:val="001059EA"/>
    <w:rsid w:val="001061CD"/>
    <w:rsid w:val="0010690C"/>
    <w:rsid w:val="00107B7C"/>
    <w:rsid w:val="00110852"/>
    <w:rsid w:val="001111BA"/>
    <w:rsid w:val="00113991"/>
    <w:rsid w:val="00123E77"/>
    <w:rsid w:val="00125078"/>
    <w:rsid w:val="0013089A"/>
    <w:rsid w:val="001313B9"/>
    <w:rsid w:val="0013250F"/>
    <w:rsid w:val="00133344"/>
    <w:rsid w:val="00133FEA"/>
    <w:rsid w:val="00136D32"/>
    <w:rsid w:val="00136D88"/>
    <w:rsid w:val="001370A3"/>
    <w:rsid w:val="0013765A"/>
    <w:rsid w:val="00141B65"/>
    <w:rsid w:val="00147551"/>
    <w:rsid w:val="00147D46"/>
    <w:rsid w:val="00151AAE"/>
    <w:rsid w:val="00153554"/>
    <w:rsid w:val="00153F19"/>
    <w:rsid w:val="00161412"/>
    <w:rsid w:val="0016169A"/>
    <w:rsid w:val="001645F2"/>
    <w:rsid w:val="00164C83"/>
    <w:rsid w:val="00166A1C"/>
    <w:rsid w:val="00166B9F"/>
    <w:rsid w:val="00170876"/>
    <w:rsid w:val="0017431C"/>
    <w:rsid w:val="001774EB"/>
    <w:rsid w:val="00180119"/>
    <w:rsid w:val="0018151D"/>
    <w:rsid w:val="0018434D"/>
    <w:rsid w:val="00184781"/>
    <w:rsid w:val="001917BD"/>
    <w:rsid w:val="00197209"/>
    <w:rsid w:val="001A0B7A"/>
    <w:rsid w:val="001A3FBC"/>
    <w:rsid w:val="001A6D24"/>
    <w:rsid w:val="001A706E"/>
    <w:rsid w:val="001A7A41"/>
    <w:rsid w:val="001B3832"/>
    <w:rsid w:val="001B4A4A"/>
    <w:rsid w:val="001B76D5"/>
    <w:rsid w:val="001C0741"/>
    <w:rsid w:val="001C0B47"/>
    <w:rsid w:val="001C0DBC"/>
    <w:rsid w:val="001C107D"/>
    <w:rsid w:val="001C213A"/>
    <w:rsid w:val="001D26CC"/>
    <w:rsid w:val="001D3F66"/>
    <w:rsid w:val="001E150A"/>
    <w:rsid w:val="001E4668"/>
    <w:rsid w:val="001E58C3"/>
    <w:rsid w:val="001E6093"/>
    <w:rsid w:val="001E7D27"/>
    <w:rsid w:val="001F0A78"/>
    <w:rsid w:val="001F1F9F"/>
    <w:rsid w:val="001F4C40"/>
    <w:rsid w:val="001F4E86"/>
    <w:rsid w:val="001F57BF"/>
    <w:rsid w:val="0020257D"/>
    <w:rsid w:val="00202940"/>
    <w:rsid w:val="00202D50"/>
    <w:rsid w:val="00202E69"/>
    <w:rsid w:val="0020399D"/>
    <w:rsid w:val="002039D9"/>
    <w:rsid w:val="00203A18"/>
    <w:rsid w:val="00204136"/>
    <w:rsid w:val="00204689"/>
    <w:rsid w:val="00207EEF"/>
    <w:rsid w:val="00220ED1"/>
    <w:rsid w:val="00223FE7"/>
    <w:rsid w:val="0022401B"/>
    <w:rsid w:val="00224699"/>
    <w:rsid w:val="00226E8B"/>
    <w:rsid w:val="00230D81"/>
    <w:rsid w:val="00242E47"/>
    <w:rsid w:val="002463D4"/>
    <w:rsid w:val="0024665D"/>
    <w:rsid w:val="00250429"/>
    <w:rsid w:val="002520C9"/>
    <w:rsid w:val="002530FA"/>
    <w:rsid w:val="00255030"/>
    <w:rsid w:val="0026222C"/>
    <w:rsid w:val="00264142"/>
    <w:rsid w:val="002655D6"/>
    <w:rsid w:val="00274DB6"/>
    <w:rsid w:val="00277DD9"/>
    <w:rsid w:val="00280BDD"/>
    <w:rsid w:val="00282792"/>
    <w:rsid w:val="00283719"/>
    <w:rsid w:val="00284350"/>
    <w:rsid w:val="00287509"/>
    <w:rsid w:val="0028759F"/>
    <w:rsid w:val="002910AF"/>
    <w:rsid w:val="00294538"/>
    <w:rsid w:val="002946D4"/>
    <w:rsid w:val="002A6BFE"/>
    <w:rsid w:val="002A7AF7"/>
    <w:rsid w:val="002B10B3"/>
    <w:rsid w:val="002B150D"/>
    <w:rsid w:val="002B2C3C"/>
    <w:rsid w:val="002B4BBF"/>
    <w:rsid w:val="002B685A"/>
    <w:rsid w:val="002C5B47"/>
    <w:rsid w:val="002C6557"/>
    <w:rsid w:val="002D03B7"/>
    <w:rsid w:val="002D20DB"/>
    <w:rsid w:val="002D3797"/>
    <w:rsid w:val="002D6B2A"/>
    <w:rsid w:val="002D7397"/>
    <w:rsid w:val="002E1DAC"/>
    <w:rsid w:val="002E1F11"/>
    <w:rsid w:val="002E23ED"/>
    <w:rsid w:val="002E2B64"/>
    <w:rsid w:val="002E40BC"/>
    <w:rsid w:val="002E6F43"/>
    <w:rsid w:val="002F2892"/>
    <w:rsid w:val="002F34EC"/>
    <w:rsid w:val="002F72C2"/>
    <w:rsid w:val="003015C1"/>
    <w:rsid w:val="00301DEA"/>
    <w:rsid w:val="00305E08"/>
    <w:rsid w:val="003128B5"/>
    <w:rsid w:val="003140CE"/>
    <w:rsid w:val="00315EB2"/>
    <w:rsid w:val="00320C76"/>
    <w:rsid w:val="0032309C"/>
    <w:rsid w:val="003245E2"/>
    <w:rsid w:val="003268BA"/>
    <w:rsid w:val="00327E25"/>
    <w:rsid w:val="0033138A"/>
    <w:rsid w:val="003319FF"/>
    <w:rsid w:val="0033294C"/>
    <w:rsid w:val="0033728E"/>
    <w:rsid w:val="003373D3"/>
    <w:rsid w:val="00340E56"/>
    <w:rsid w:val="00342126"/>
    <w:rsid w:val="003453B0"/>
    <w:rsid w:val="00345ED2"/>
    <w:rsid w:val="00346850"/>
    <w:rsid w:val="00347318"/>
    <w:rsid w:val="003518F9"/>
    <w:rsid w:val="0035261B"/>
    <w:rsid w:val="0035426D"/>
    <w:rsid w:val="00356747"/>
    <w:rsid w:val="003606A1"/>
    <w:rsid w:val="00362634"/>
    <w:rsid w:val="003631D4"/>
    <w:rsid w:val="00372490"/>
    <w:rsid w:val="003724E1"/>
    <w:rsid w:val="00374F99"/>
    <w:rsid w:val="00387D89"/>
    <w:rsid w:val="00392157"/>
    <w:rsid w:val="00393FB0"/>
    <w:rsid w:val="003973FB"/>
    <w:rsid w:val="003A1EEF"/>
    <w:rsid w:val="003A2B32"/>
    <w:rsid w:val="003A30AE"/>
    <w:rsid w:val="003A518E"/>
    <w:rsid w:val="003A6FD9"/>
    <w:rsid w:val="003B0177"/>
    <w:rsid w:val="003B1C96"/>
    <w:rsid w:val="003B5D97"/>
    <w:rsid w:val="003B6DDC"/>
    <w:rsid w:val="003C44D1"/>
    <w:rsid w:val="003C46E2"/>
    <w:rsid w:val="003C64FC"/>
    <w:rsid w:val="003D33EB"/>
    <w:rsid w:val="003D3D61"/>
    <w:rsid w:val="003D3E89"/>
    <w:rsid w:val="003D61E3"/>
    <w:rsid w:val="003E2FFD"/>
    <w:rsid w:val="003E5D27"/>
    <w:rsid w:val="003F0A6E"/>
    <w:rsid w:val="003F5DD0"/>
    <w:rsid w:val="0040069E"/>
    <w:rsid w:val="0040123D"/>
    <w:rsid w:val="004037FD"/>
    <w:rsid w:val="00403F64"/>
    <w:rsid w:val="004049FA"/>
    <w:rsid w:val="00404C9E"/>
    <w:rsid w:val="0040669C"/>
    <w:rsid w:val="00410F06"/>
    <w:rsid w:val="00412113"/>
    <w:rsid w:val="0041222C"/>
    <w:rsid w:val="004128C0"/>
    <w:rsid w:val="00413FED"/>
    <w:rsid w:val="004173ED"/>
    <w:rsid w:val="00417824"/>
    <w:rsid w:val="00420198"/>
    <w:rsid w:val="00421BC3"/>
    <w:rsid w:val="00423A2F"/>
    <w:rsid w:val="00423D1A"/>
    <w:rsid w:val="00424F3A"/>
    <w:rsid w:val="00426EFC"/>
    <w:rsid w:val="004318E8"/>
    <w:rsid w:val="00433266"/>
    <w:rsid w:val="0043343C"/>
    <w:rsid w:val="004345F2"/>
    <w:rsid w:val="00440226"/>
    <w:rsid w:val="00440403"/>
    <w:rsid w:val="0044360E"/>
    <w:rsid w:val="004438AB"/>
    <w:rsid w:val="00443AAC"/>
    <w:rsid w:val="004466E4"/>
    <w:rsid w:val="00450228"/>
    <w:rsid w:val="00457796"/>
    <w:rsid w:val="004624C0"/>
    <w:rsid w:val="00462729"/>
    <w:rsid w:val="004635E7"/>
    <w:rsid w:val="004649AD"/>
    <w:rsid w:val="004703CF"/>
    <w:rsid w:val="00473CE7"/>
    <w:rsid w:val="00475381"/>
    <w:rsid w:val="00476318"/>
    <w:rsid w:val="00481371"/>
    <w:rsid w:val="00481DAC"/>
    <w:rsid w:val="004829BA"/>
    <w:rsid w:val="00482E88"/>
    <w:rsid w:val="00483830"/>
    <w:rsid w:val="00484AFF"/>
    <w:rsid w:val="00486A26"/>
    <w:rsid w:val="00490A1F"/>
    <w:rsid w:val="00491052"/>
    <w:rsid w:val="004913BE"/>
    <w:rsid w:val="00492B24"/>
    <w:rsid w:val="00495540"/>
    <w:rsid w:val="004960B6"/>
    <w:rsid w:val="0049762D"/>
    <w:rsid w:val="004A242D"/>
    <w:rsid w:val="004A27F7"/>
    <w:rsid w:val="004A339B"/>
    <w:rsid w:val="004A473E"/>
    <w:rsid w:val="004A5848"/>
    <w:rsid w:val="004B28CE"/>
    <w:rsid w:val="004B47A7"/>
    <w:rsid w:val="004B5D69"/>
    <w:rsid w:val="004C1504"/>
    <w:rsid w:val="004C152C"/>
    <w:rsid w:val="004C296E"/>
    <w:rsid w:val="004C5AE3"/>
    <w:rsid w:val="004D0130"/>
    <w:rsid w:val="004D48F5"/>
    <w:rsid w:val="004E1640"/>
    <w:rsid w:val="004E3B03"/>
    <w:rsid w:val="004F08E1"/>
    <w:rsid w:val="004F243A"/>
    <w:rsid w:val="004F4FA2"/>
    <w:rsid w:val="004F580F"/>
    <w:rsid w:val="0050269D"/>
    <w:rsid w:val="00503ECB"/>
    <w:rsid w:val="0050415D"/>
    <w:rsid w:val="00506D80"/>
    <w:rsid w:val="00507555"/>
    <w:rsid w:val="00513459"/>
    <w:rsid w:val="005175EA"/>
    <w:rsid w:val="005210E7"/>
    <w:rsid w:val="00521C9B"/>
    <w:rsid w:val="00521EAF"/>
    <w:rsid w:val="005222A7"/>
    <w:rsid w:val="0052245F"/>
    <w:rsid w:val="00522535"/>
    <w:rsid w:val="00526482"/>
    <w:rsid w:val="00526615"/>
    <w:rsid w:val="00526B1D"/>
    <w:rsid w:val="005333BD"/>
    <w:rsid w:val="0053577E"/>
    <w:rsid w:val="00535C96"/>
    <w:rsid w:val="00542479"/>
    <w:rsid w:val="005430CC"/>
    <w:rsid w:val="00543C1B"/>
    <w:rsid w:val="00545525"/>
    <w:rsid w:val="005522C5"/>
    <w:rsid w:val="00553339"/>
    <w:rsid w:val="00561A77"/>
    <w:rsid w:val="00565EB9"/>
    <w:rsid w:val="00570777"/>
    <w:rsid w:val="00570C84"/>
    <w:rsid w:val="005718D8"/>
    <w:rsid w:val="00574C98"/>
    <w:rsid w:val="00576301"/>
    <w:rsid w:val="00576D88"/>
    <w:rsid w:val="005823CC"/>
    <w:rsid w:val="005856CE"/>
    <w:rsid w:val="005913F0"/>
    <w:rsid w:val="00592696"/>
    <w:rsid w:val="0059393F"/>
    <w:rsid w:val="00593E2C"/>
    <w:rsid w:val="005A05DD"/>
    <w:rsid w:val="005A0F04"/>
    <w:rsid w:val="005A1486"/>
    <w:rsid w:val="005A1B02"/>
    <w:rsid w:val="005A34BA"/>
    <w:rsid w:val="005A5C96"/>
    <w:rsid w:val="005A64FA"/>
    <w:rsid w:val="005A662E"/>
    <w:rsid w:val="005B3341"/>
    <w:rsid w:val="005B3F52"/>
    <w:rsid w:val="005B67A5"/>
    <w:rsid w:val="005B7139"/>
    <w:rsid w:val="005C05C5"/>
    <w:rsid w:val="005C1267"/>
    <w:rsid w:val="005C2F0F"/>
    <w:rsid w:val="005C5901"/>
    <w:rsid w:val="005C73DA"/>
    <w:rsid w:val="005D3EB4"/>
    <w:rsid w:val="005D538D"/>
    <w:rsid w:val="005D6D16"/>
    <w:rsid w:val="005E140C"/>
    <w:rsid w:val="005E15AD"/>
    <w:rsid w:val="005E4D9F"/>
    <w:rsid w:val="005E53C9"/>
    <w:rsid w:val="005E5BA9"/>
    <w:rsid w:val="005F06CD"/>
    <w:rsid w:val="005F0F16"/>
    <w:rsid w:val="005F59AD"/>
    <w:rsid w:val="005F6732"/>
    <w:rsid w:val="00601A43"/>
    <w:rsid w:val="00605F1D"/>
    <w:rsid w:val="00607CEB"/>
    <w:rsid w:val="00610BFE"/>
    <w:rsid w:val="0061201B"/>
    <w:rsid w:val="00612E01"/>
    <w:rsid w:val="00613B14"/>
    <w:rsid w:val="00613CEF"/>
    <w:rsid w:val="006142AE"/>
    <w:rsid w:val="00614E3A"/>
    <w:rsid w:val="0061622D"/>
    <w:rsid w:val="00616B3E"/>
    <w:rsid w:val="006205AA"/>
    <w:rsid w:val="00620E63"/>
    <w:rsid w:val="00627FF7"/>
    <w:rsid w:val="0063000B"/>
    <w:rsid w:val="00634FB9"/>
    <w:rsid w:val="00635C8B"/>
    <w:rsid w:val="0064311D"/>
    <w:rsid w:val="0064361B"/>
    <w:rsid w:val="00644095"/>
    <w:rsid w:val="006445BC"/>
    <w:rsid w:val="0064481A"/>
    <w:rsid w:val="006469F7"/>
    <w:rsid w:val="006474D8"/>
    <w:rsid w:val="00656D3B"/>
    <w:rsid w:val="006605B2"/>
    <w:rsid w:val="00660C5F"/>
    <w:rsid w:val="00660DA3"/>
    <w:rsid w:val="00661355"/>
    <w:rsid w:val="00671B4C"/>
    <w:rsid w:val="00675965"/>
    <w:rsid w:val="006777BA"/>
    <w:rsid w:val="0068083B"/>
    <w:rsid w:val="00680DF5"/>
    <w:rsid w:val="00684D94"/>
    <w:rsid w:val="006856D2"/>
    <w:rsid w:val="00691240"/>
    <w:rsid w:val="00694B97"/>
    <w:rsid w:val="00697621"/>
    <w:rsid w:val="006A098D"/>
    <w:rsid w:val="006A7A51"/>
    <w:rsid w:val="006B445C"/>
    <w:rsid w:val="006B7845"/>
    <w:rsid w:val="006C02D1"/>
    <w:rsid w:val="006C68A2"/>
    <w:rsid w:val="006C6D06"/>
    <w:rsid w:val="006C7D90"/>
    <w:rsid w:val="006D1C29"/>
    <w:rsid w:val="006D3F61"/>
    <w:rsid w:val="006D41F6"/>
    <w:rsid w:val="006D73B5"/>
    <w:rsid w:val="006E1633"/>
    <w:rsid w:val="006F5130"/>
    <w:rsid w:val="006F545D"/>
    <w:rsid w:val="006F5AEB"/>
    <w:rsid w:val="006F5F68"/>
    <w:rsid w:val="006F62A7"/>
    <w:rsid w:val="006F6F4A"/>
    <w:rsid w:val="007008D6"/>
    <w:rsid w:val="0070121E"/>
    <w:rsid w:val="007017C2"/>
    <w:rsid w:val="00702D27"/>
    <w:rsid w:val="00702E0A"/>
    <w:rsid w:val="0070333F"/>
    <w:rsid w:val="00704DB6"/>
    <w:rsid w:val="007061C1"/>
    <w:rsid w:val="00722856"/>
    <w:rsid w:val="00722DAF"/>
    <w:rsid w:val="00723F71"/>
    <w:rsid w:val="00724587"/>
    <w:rsid w:val="00724C4E"/>
    <w:rsid w:val="00727356"/>
    <w:rsid w:val="00731841"/>
    <w:rsid w:val="00732F82"/>
    <w:rsid w:val="00733BB2"/>
    <w:rsid w:val="0073514C"/>
    <w:rsid w:val="00736C20"/>
    <w:rsid w:val="00740FC9"/>
    <w:rsid w:val="00741676"/>
    <w:rsid w:val="00743825"/>
    <w:rsid w:val="00744A9F"/>
    <w:rsid w:val="00745C42"/>
    <w:rsid w:val="007461A4"/>
    <w:rsid w:val="00747BFB"/>
    <w:rsid w:val="00750061"/>
    <w:rsid w:val="007527E7"/>
    <w:rsid w:val="0075660E"/>
    <w:rsid w:val="00761377"/>
    <w:rsid w:val="00762816"/>
    <w:rsid w:val="00763E37"/>
    <w:rsid w:val="00763F31"/>
    <w:rsid w:val="00764F52"/>
    <w:rsid w:val="00765221"/>
    <w:rsid w:val="007659BA"/>
    <w:rsid w:val="007669BB"/>
    <w:rsid w:val="00766BE9"/>
    <w:rsid w:val="00766C58"/>
    <w:rsid w:val="00766DBD"/>
    <w:rsid w:val="00782E16"/>
    <w:rsid w:val="0078752C"/>
    <w:rsid w:val="007876FD"/>
    <w:rsid w:val="0079236A"/>
    <w:rsid w:val="0079249B"/>
    <w:rsid w:val="00792B4C"/>
    <w:rsid w:val="00793F90"/>
    <w:rsid w:val="00796065"/>
    <w:rsid w:val="007A2784"/>
    <w:rsid w:val="007A4216"/>
    <w:rsid w:val="007A4A32"/>
    <w:rsid w:val="007A4CBA"/>
    <w:rsid w:val="007A6C6B"/>
    <w:rsid w:val="007A7164"/>
    <w:rsid w:val="007C200A"/>
    <w:rsid w:val="007C37DD"/>
    <w:rsid w:val="007D13A4"/>
    <w:rsid w:val="007D1F93"/>
    <w:rsid w:val="007D2AE4"/>
    <w:rsid w:val="007D394A"/>
    <w:rsid w:val="007D3AFC"/>
    <w:rsid w:val="007D3D4F"/>
    <w:rsid w:val="007D409E"/>
    <w:rsid w:val="007D4FDA"/>
    <w:rsid w:val="007D5669"/>
    <w:rsid w:val="007D6609"/>
    <w:rsid w:val="007D6A15"/>
    <w:rsid w:val="007D7487"/>
    <w:rsid w:val="007E0F6F"/>
    <w:rsid w:val="007E1941"/>
    <w:rsid w:val="007E5C21"/>
    <w:rsid w:val="007E7BE5"/>
    <w:rsid w:val="007E7CF1"/>
    <w:rsid w:val="007F0718"/>
    <w:rsid w:val="007F078A"/>
    <w:rsid w:val="007F08D6"/>
    <w:rsid w:val="007F265F"/>
    <w:rsid w:val="007F29CE"/>
    <w:rsid w:val="007F2AFC"/>
    <w:rsid w:val="007F2B33"/>
    <w:rsid w:val="007F2EE7"/>
    <w:rsid w:val="007F4F3F"/>
    <w:rsid w:val="007F5F43"/>
    <w:rsid w:val="007F6BB7"/>
    <w:rsid w:val="00804F68"/>
    <w:rsid w:val="00805A17"/>
    <w:rsid w:val="00807505"/>
    <w:rsid w:val="00807FA5"/>
    <w:rsid w:val="00812E0E"/>
    <w:rsid w:val="00813408"/>
    <w:rsid w:val="008228B9"/>
    <w:rsid w:val="00824828"/>
    <w:rsid w:val="00824AC5"/>
    <w:rsid w:val="008317C3"/>
    <w:rsid w:val="008333AB"/>
    <w:rsid w:val="00842802"/>
    <w:rsid w:val="00845C90"/>
    <w:rsid w:val="0084602D"/>
    <w:rsid w:val="008470A9"/>
    <w:rsid w:val="00847C32"/>
    <w:rsid w:val="008518F7"/>
    <w:rsid w:val="00854E6D"/>
    <w:rsid w:val="00855519"/>
    <w:rsid w:val="00861B70"/>
    <w:rsid w:val="00862560"/>
    <w:rsid w:val="00864082"/>
    <w:rsid w:val="00865EF6"/>
    <w:rsid w:val="008663DF"/>
    <w:rsid w:val="0086672B"/>
    <w:rsid w:val="0086699A"/>
    <w:rsid w:val="008676F7"/>
    <w:rsid w:val="008712A3"/>
    <w:rsid w:val="00871A55"/>
    <w:rsid w:val="00872882"/>
    <w:rsid w:val="00876B1C"/>
    <w:rsid w:val="00876BDE"/>
    <w:rsid w:val="00877260"/>
    <w:rsid w:val="0087730C"/>
    <w:rsid w:val="0088148E"/>
    <w:rsid w:val="00883341"/>
    <w:rsid w:val="00883AEB"/>
    <w:rsid w:val="0088562E"/>
    <w:rsid w:val="0088637D"/>
    <w:rsid w:val="0088663F"/>
    <w:rsid w:val="0089144A"/>
    <w:rsid w:val="0089291B"/>
    <w:rsid w:val="0089731A"/>
    <w:rsid w:val="008A15DF"/>
    <w:rsid w:val="008A1C5A"/>
    <w:rsid w:val="008A22E0"/>
    <w:rsid w:val="008A2ECD"/>
    <w:rsid w:val="008A5ECC"/>
    <w:rsid w:val="008A6412"/>
    <w:rsid w:val="008A6AEF"/>
    <w:rsid w:val="008A7FF8"/>
    <w:rsid w:val="008B0C6D"/>
    <w:rsid w:val="008B1A19"/>
    <w:rsid w:val="008B4B6D"/>
    <w:rsid w:val="008B531A"/>
    <w:rsid w:val="008B5E5F"/>
    <w:rsid w:val="008C3E2E"/>
    <w:rsid w:val="008C435E"/>
    <w:rsid w:val="008C4A77"/>
    <w:rsid w:val="008C5372"/>
    <w:rsid w:val="008C6F75"/>
    <w:rsid w:val="008D075F"/>
    <w:rsid w:val="008D0D50"/>
    <w:rsid w:val="008D1CFF"/>
    <w:rsid w:val="008D480A"/>
    <w:rsid w:val="008E19DA"/>
    <w:rsid w:val="008E2D3B"/>
    <w:rsid w:val="008E5A25"/>
    <w:rsid w:val="008F1893"/>
    <w:rsid w:val="008F722B"/>
    <w:rsid w:val="008F7AB4"/>
    <w:rsid w:val="008F7BCF"/>
    <w:rsid w:val="0090009F"/>
    <w:rsid w:val="00901172"/>
    <w:rsid w:val="009024E0"/>
    <w:rsid w:val="009074EF"/>
    <w:rsid w:val="009141DF"/>
    <w:rsid w:val="00914675"/>
    <w:rsid w:val="009152FE"/>
    <w:rsid w:val="00924DDB"/>
    <w:rsid w:val="00930E9B"/>
    <w:rsid w:val="00932960"/>
    <w:rsid w:val="0093404F"/>
    <w:rsid w:val="009409F6"/>
    <w:rsid w:val="00941939"/>
    <w:rsid w:val="00942491"/>
    <w:rsid w:val="00942E16"/>
    <w:rsid w:val="00943480"/>
    <w:rsid w:val="009438D9"/>
    <w:rsid w:val="00945C18"/>
    <w:rsid w:val="009515EA"/>
    <w:rsid w:val="00951AAD"/>
    <w:rsid w:val="009521C2"/>
    <w:rsid w:val="00963166"/>
    <w:rsid w:val="00966505"/>
    <w:rsid w:val="009672D8"/>
    <w:rsid w:val="009705FE"/>
    <w:rsid w:val="00971EF0"/>
    <w:rsid w:val="00971F8D"/>
    <w:rsid w:val="00977902"/>
    <w:rsid w:val="00981606"/>
    <w:rsid w:val="00981814"/>
    <w:rsid w:val="00983500"/>
    <w:rsid w:val="009863E9"/>
    <w:rsid w:val="0099184F"/>
    <w:rsid w:val="00991BF9"/>
    <w:rsid w:val="00993817"/>
    <w:rsid w:val="0099412D"/>
    <w:rsid w:val="009942E5"/>
    <w:rsid w:val="00994A86"/>
    <w:rsid w:val="00995F4A"/>
    <w:rsid w:val="009A78DF"/>
    <w:rsid w:val="009B7BB0"/>
    <w:rsid w:val="009C2EE1"/>
    <w:rsid w:val="009C7E4A"/>
    <w:rsid w:val="009D2DF7"/>
    <w:rsid w:val="009D5E5A"/>
    <w:rsid w:val="009D621A"/>
    <w:rsid w:val="009D7C01"/>
    <w:rsid w:val="009E012B"/>
    <w:rsid w:val="009E4CFE"/>
    <w:rsid w:val="00A01CBE"/>
    <w:rsid w:val="00A03484"/>
    <w:rsid w:val="00A044A8"/>
    <w:rsid w:val="00A10335"/>
    <w:rsid w:val="00A11D6B"/>
    <w:rsid w:val="00A12125"/>
    <w:rsid w:val="00A15462"/>
    <w:rsid w:val="00A17C62"/>
    <w:rsid w:val="00A24ADC"/>
    <w:rsid w:val="00A311C2"/>
    <w:rsid w:val="00A31297"/>
    <w:rsid w:val="00A33178"/>
    <w:rsid w:val="00A33366"/>
    <w:rsid w:val="00A35376"/>
    <w:rsid w:val="00A36AB2"/>
    <w:rsid w:val="00A45084"/>
    <w:rsid w:val="00A45208"/>
    <w:rsid w:val="00A46DA6"/>
    <w:rsid w:val="00A47566"/>
    <w:rsid w:val="00A50F4D"/>
    <w:rsid w:val="00A52C98"/>
    <w:rsid w:val="00A52E96"/>
    <w:rsid w:val="00A53ED0"/>
    <w:rsid w:val="00A5740D"/>
    <w:rsid w:val="00A62DD4"/>
    <w:rsid w:val="00A63480"/>
    <w:rsid w:val="00A6508F"/>
    <w:rsid w:val="00A70373"/>
    <w:rsid w:val="00A7044D"/>
    <w:rsid w:val="00A7070F"/>
    <w:rsid w:val="00A74EB5"/>
    <w:rsid w:val="00A75069"/>
    <w:rsid w:val="00A76753"/>
    <w:rsid w:val="00A81174"/>
    <w:rsid w:val="00A81FAD"/>
    <w:rsid w:val="00A83D02"/>
    <w:rsid w:val="00A911DF"/>
    <w:rsid w:val="00A915B3"/>
    <w:rsid w:val="00A922DD"/>
    <w:rsid w:val="00A94252"/>
    <w:rsid w:val="00A94C4E"/>
    <w:rsid w:val="00A95566"/>
    <w:rsid w:val="00A97430"/>
    <w:rsid w:val="00AA73A2"/>
    <w:rsid w:val="00AA7B27"/>
    <w:rsid w:val="00AB0A41"/>
    <w:rsid w:val="00AB2031"/>
    <w:rsid w:val="00AB317F"/>
    <w:rsid w:val="00AB62BB"/>
    <w:rsid w:val="00AB6447"/>
    <w:rsid w:val="00AC5887"/>
    <w:rsid w:val="00AC68A3"/>
    <w:rsid w:val="00AD1AD3"/>
    <w:rsid w:val="00AD1E17"/>
    <w:rsid w:val="00AD4F7A"/>
    <w:rsid w:val="00AD59C6"/>
    <w:rsid w:val="00AD6570"/>
    <w:rsid w:val="00AE0BF8"/>
    <w:rsid w:val="00AE119C"/>
    <w:rsid w:val="00AE18A3"/>
    <w:rsid w:val="00AE1D21"/>
    <w:rsid w:val="00AE2251"/>
    <w:rsid w:val="00AE5201"/>
    <w:rsid w:val="00B049F0"/>
    <w:rsid w:val="00B05B4A"/>
    <w:rsid w:val="00B0737E"/>
    <w:rsid w:val="00B1059A"/>
    <w:rsid w:val="00B15872"/>
    <w:rsid w:val="00B1599E"/>
    <w:rsid w:val="00B15DB4"/>
    <w:rsid w:val="00B20C8D"/>
    <w:rsid w:val="00B20CF2"/>
    <w:rsid w:val="00B21D6F"/>
    <w:rsid w:val="00B23C0B"/>
    <w:rsid w:val="00B25D0E"/>
    <w:rsid w:val="00B2689E"/>
    <w:rsid w:val="00B278AB"/>
    <w:rsid w:val="00B31203"/>
    <w:rsid w:val="00B3147B"/>
    <w:rsid w:val="00B31534"/>
    <w:rsid w:val="00B31CEA"/>
    <w:rsid w:val="00B340F0"/>
    <w:rsid w:val="00B3565A"/>
    <w:rsid w:val="00B3582B"/>
    <w:rsid w:val="00B40679"/>
    <w:rsid w:val="00B4119A"/>
    <w:rsid w:val="00B43A62"/>
    <w:rsid w:val="00B46203"/>
    <w:rsid w:val="00B52250"/>
    <w:rsid w:val="00B525BD"/>
    <w:rsid w:val="00B6010A"/>
    <w:rsid w:val="00B64016"/>
    <w:rsid w:val="00B64D67"/>
    <w:rsid w:val="00B65504"/>
    <w:rsid w:val="00B65CF7"/>
    <w:rsid w:val="00B67BE4"/>
    <w:rsid w:val="00B73026"/>
    <w:rsid w:val="00B76912"/>
    <w:rsid w:val="00B808DD"/>
    <w:rsid w:val="00B840A2"/>
    <w:rsid w:val="00B9017A"/>
    <w:rsid w:val="00B91A6A"/>
    <w:rsid w:val="00B92D19"/>
    <w:rsid w:val="00B944C6"/>
    <w:rsid w:val="00B96226"/>
    <w:rsid w:val="00BA1EF2"/>
    <w:rsid w:val="00BA3FC9"/>
    <w:rsid w:val="00BA708B"/>
    <w:rsid w:val="00BB5D84"/>
    <w:rsid w:val="00BC6208"/>
    <w:rsid w:val="00BC67D9"/>
    <w:rsid w:val="00BD3F67"/>
    <w:rsid w:val="00BD46F2"/>
    <w:rsid w:val="00BD4706"/>
    <w:rsid w:val="00BD4E1B"/>
    <w:rsid w:val="00BD5215"/>
    <w:rsid w:val="00BD6F4C"/>
    <w:rsid w:val="00BE0257"/>
    <w:rsid w:val="00BE19AC"/>
    <w:rsid w:val="00BE4247"/>
    <w:rsid w:val="00BF00D8"/>
    <w:rsid w:val="00BF2E28"/>
    <w:rsid w:val="00BF4006"/>
    <w:rsid w:val="00BF4DA0"/>
    <w:rsid w:val="00BF582C"/>
    <w:rsid w:val="00BF67D7"/>
    <w:rsid w:val="00C005AF"/>
    <w:rsid w:val="00C01A0F"/>
    <w:rsid w:val="00C02EE1"/>
    <w:rsid w:val="00C12842"/>
    <w:rsid w:val="00C12AAA"/>
    <w:rsid w:val="00C148F7"/>
    <w:rsid w:val="00C158B9"/>
    <w:rsid w:val="00C160EA"/>
    <w:rsid w:val="00C16CB1"/>
    <w:rsid w:val="00C20E61"/>
    <w:rsid w:val="00C23F31"/>
    <w:rsid w:val="00C23FAA"/>
    <w:rsid w:val="00C273A9"/>
    <w:rsid w:val="00C3084B"/>
    <w:rsid w:val="00C32179"/>
    <w:rsid w:val="00C33D8C"/>
    <w:rsid w:val="00C3646B"/>
    <w:rsid w:val="00C365AA"/>
    <w:rsid w:val="00C40ACA"/>
    <w:rsid w:val="00C422AE"/>
    <w:rsid w:val="00C42C72"/>
    <w:rsid w:val="00C45685"/>
    <w:rsid w:val="00C46B06"/>
    <w:rsid w:val="00C50959"/>
    <w:rsid w:val="00C52244"/>
    <w:rsid w:val="00C5362D"/>
    <w:rsid w:val="00C61569"/>
    <w:rsid w:val="00C61D69"/>
    <w:rsid w:val="00C627F2"/>
    <w:rsid w:val="00C628CB"/>
    <w:rsid w:val="00C633A5"/>
    <w:rsid w:val="00C63FCC"/>
    <w:rsid w:val="00C65168"/>
    <w:rsid w:val="00C65CB1"/>
    <w:rsid w:val="00C65DBC"/>
    <w:rsid w:val="00C65F6C"/>
    <w:rsid w:val="00C66647"/>
    <w:rsid w:val="00C718EB"/>
    <w:rsid w:val="00C720A7"/>
    <w:rsid w:val="00C729BC"/>
    <w:rsid w:val="00C74828"/>
    <w:rsid w:val="00C74A63"/>
    <w:rsid w:val="00C8063F"/>
    <w:rsid w:val="00C82189"/>
    <w:rsid w:val="00C82C3C"/>
    <w:rsid w:val="00C82EA4"/>
    <w:rsid w:val="00C84452"/>
    <w:rsid w:val="00C84654"/>
    <w:rsid w:val="00C8468B"/>
    <w:rsid w:val="00C900FE"/>
    <w:rsid w:val="00C921BC"/>
    <w:rsid w:val="00C925A2"/>
    <w:rsid w:val="00C93603"/>
    <w:rsid w:val="00C952EE"/>
    <w:rsid w:val="00C9550B"/>
    <w:rsid w:val="00CA228C"/>
    <w:rsid w:val="00CA24DC"/>
    <w:rsid w:val="00CA2C2C"/>
    <w:rsid w:val="00CA5793"/>
    <w:rsid w:val="00CA5CD2"/>
    <w:rsid w:val="00CB1DFA"/>
    <w:rsid w:val="00CB37FE"/>
    <w:rsid w:val="00CB481B"/>
    <w:rsid w:val="00CB60F5"/>
    <w:rsid w:val="00CC1F4B"/>
    <w:rsid w:val="00CC234A"/>
    <w:rsid w:val="00CC25E8"/>
    <w:rsid w:val="00CC3E8E"/>
    <w:rsid w:val="00CC4C52"/>
    <w:rsid w:val="00CC4C9F"/>
    <w:rsid w:val="00CC5ECC"/>
    <w:rsid w:val="00CC6205"/>
    <w:rsid w:val="00CD07C4"/>
    <w:rsid w:val="00CD0B46"/>
    <w:rsid w:val="00CD3CCE"/>
    <w:rsid w:val="00CE012D"/>
    <w:rsid w:val="00CE0132"/>
    <w:rsid w:val="00CE1157"/>
    <w:rsid w:val="00CE11F4"/>
    <w:rsid w:val="00CE2D59"/>
    <w:rsid w:val="00CE50DC"/>
    <w:rsid w:val="00CE79DC"/>
    <w:rsid w:val="00CE7B2C"/>
    <w:rsid w:val="00CF2A13"/>
    <w:rsid w:val="00CF373C"/>
    <w:rsid w:val="00CF49F4"/>
    <w:rsid w:val="00CF4EF4"/>
    <w:rsid w:val="00CF6384"/>
    <w:rsid w:val="00D02A22"/>
    <w:rsid w:val="00D05F26"/>
    <w:rsid w:val="00D14AB0"/>
    <w:rsid w:val="00D151D8"/>
    <w:rsid w:val="00D15343"/>
    <w:rsid w:val="00D21159"/>
    <w:rsid w:val="00D219B1"/>
    <w:rsid w:val="00D24BFB"/>
    <w:rsid w:val="00D2693E"/>
    <w:rsid w:val="00D26E15"/>
    <w:rsid w:val="00D26E2F"/>
    <w:rsid w:val="00D30EAE"/>
    <w:rsid w:val="00D331C8"/>
    <w:rsid w:val="00D344FE"/>
    <w:rsid w:val="00D3615A"/>
    <w:rsid w:val="00D419B2"/>
    <w:rsid w:val="00D42742"/>
    <w:rsid w:val="00D437C3"/>
    <w:rsid w:val="00D4430C"/>
    <w:rsid w:val="00D44571"/>
    <w:rsid w:val="00D44A11"/>
    <w:rsid w:val="00D44D9B"/>
    <w:rsid w:val="00D459B7"/>
    <w:rsid w:val="00D56B10"/>
    <w:rsid w:val="00D56FB3"/>
    <w:rsid w:val="00D63D06"/>
    <w:rsid w:val="00D6434A"/>
    <w:rsid w:val="00D711FC"/>
    <w:rsid w:val="00D71615"/>
    <w:rsid w:val="00D7259C"/>
    <w:rsid w:val="00D73609"/>
    <w:rsid w:val="00D8192E"/>
    <w:rsid w:val="00D85A4A"/>
    <w:rsid w:val="00D86895"/>
    <w:rsid w:val="00D90756"/>
    <w:rsid w:val="00D91D02"/>
    <w:rsid w:val="00D9261D"/>
    <w:rsid w:val="00D9727A"/>
    <w:rsid w:val="00D97D84"/>
    <w:rsid w:val="00D97F38"/>
    <w:rsid w:val="00DA4302"/>
    <w:rsid w:val="00DB0A68"/>
    <w:rsid w:val="00DB1399"/>
    <w:rsid w:val="00DB3378"/>
    <w:rsid w:val="00DB7163"/>
    <w:rsid w:val="00DC2123"/>
    <w:rsid w:val="00DC2181"/>
    <w:rsid w:val="00DC3C21"/>
    <w:rsid w:val="00DC5B2A"/>
    <w:rsid w:val="00DC691B"/>
    <w:rsid w:val="00DC77AC"/>
    <w:rsid w:val="00DD0983"/>
    <w:rsid w:val="00DD2ED6"/>
    <w:rsid w:val="00DD4FBA"/>
    <w:rsid w:val="00DD6A43"/>
    <w:rsid w:val="00DE0C70"/>
    <w:rsid w:val="00DE3390"/>
    <w:rsid w:val="00DE5195"/>
    <w:rsid w:val="00DE6763"/>
    <w:rsid w:val="00DF25DE"/>
    <w:rsid w:val="00DF26E9"/>
    <w:rsid w:val="00DF59F7"/>
    <w:rsid w:val="00DF618C"/>
    <w:rsid w:val="00DF6954"/>
    <w:rsid w:val="00DF7896"/>
    <w:rsid w:val="00E016DB"/>
    <w:rsid w:val="00E03BA4"/>
    <w:rsid w:val="00E04524"/>
    <w:rsid w:val="00E05258"/>
    <w:rsid w:val="00E061B0"/>
    <w:rsid w:val="00E06AA0"/>
    <w:rsid w:val="00E10147"/>
    <w:rsid w:val="00E10501"/>
    <w:rsid w:val="00E12152"/>
    <w:rsid w:val="00E1431B"/>
    <w:rsid w:val="00E14992"/>
    <w:rsid w:val="00E15416"/>
    <w:rsid w:val="00E2007C"/>
    <w:rsid w:val="00E2091D"/>
    <w:rsid w:val="00E217AA"/>
    <w:rsid w:val="00E24BB2"/>
    <w:rsid w:val="00E25527"/>
    <w:rsid w:val="00E25CD1"/>
    <w:rsid w:val="00E30A0C"/>
    <w:rsid w:val="00E3335C"/>
    <w:rsid w:val="00E35508"/>
    <w:rsid w:val="00E356D0"/>
    <w:rsid w:val="00E3584B"/>
    <w:rsid w:val="00E3647A"/>
    <w:rsid w:val="00E376E0"/>
    <w:rsid w:val="00E37852"/>
    <w:rsid w:val="00E4203F"/>
    <w:rsid w:val="00E42213"/>
    <w:rsid w:val="00E425A1"/>
    <w:rsid w:val="00E425F8"/>
    <w:rsid w:val="00E46A46"/>
    <w:rsid w:val="00E518FD"/>
    <w:rsid w:val="00E52199"/>
    <w:rsid w:val="00E53251"/>
    <w:rsid w:val="00E53D98"/>
    <w:rsid w:val="00E53FD2"/>
    <w:rsid w:val="00E54910"/>
    <w:rsid w:val="00E57E8F"/>
    <w:rsid w:val="00E626CC"/>
    <w:rsid w:val="00E66587"/>
    <w:rsid w:val="00E703DE"/>
    <w:rsid w:val="00E706A0"/>
    <w:rsid w:val="00E76B2E"/>
    <w:rsid w:val="00E773B0"/>
    <w:rsid w:val="00E82488"/>
    <w:rsid w:val="00E83135"/>
    <w:rsid w:val="00E83988"/>
    <w:rsid w:val="00E84EFE"/>
    <w:rsid w:val="00E9185C"/>
    <w:rsid w:val="00E91E44"/>
    <w:rsid w:val="00E926BC"/>
    <w:rsid w:val="00E9365C"/>
    <w:rsid w:val="00EB07B1"/>
    <w:rsid w:val="00EB2DF5"/>
    <w:rsid w:val="00EB32C7"/>
    <w:rsid w:val="00EB3431"/>
    <w:rsid w:val="00EB38DE"/>
    <w:rsid w:val="00EB5776"/>
    <w:rsid w:val="00EB7F8E"/>
    <w:rsid w:val="00EC2E19"/>
    <w:rsid w:val="00EC7F1A"/>
    <w:rsid w:val="00EC7FBD"/>
    <w:rsid w:val="00ED1BF6"/>
    <w:rsid w:val="00ED257E"/>
    <w:rsid w:val="00ED2D47"/>
    <w:rsid w:val="00ED41BD"/>
    <w:rsid w:val="00ED4626"/>
    <w:rsid w:val="00ED5D78"/>
    <w:rsid w:val="00EE00F4"/>
    <w:rsid w:val="00EE1140"/>
    <w:rsid w:val="00EE3926"/>
    <w:rsid w:val="00EF0017"/>
    <w:rsid w:val="00EF048E"/>
    <w:rsid w:val="00EF0795"/>
    <w:rsid w:val="00EF190F"/>
    <w:rsid w:val="00EF19B4"/>
    <w:rsid w:val="00EF33C0"/>
    <w:rsid w:val="00EF3D99"/>
    <w:rsid w:val="00EF4C18"/>
    <w:rsid w:val="00EF5366"/>
    <w:rsid w:val="00EF53AE"/>
    <w:rsid w:val="00EF5DF2"/>
    <w:rsid w:val="00EF5F35"/>
    <w:rsid w:val="00EF6F57"/>
    <w:rsid w:val="00EF7CF5"/>
    <w:rsid w:val="00F01FEB"/>
    <w:rsid w:val="00F056F4"/>
    <w:rsid w:val="00F05AB4"/>
    <w:rsid w:val="00F07347"/>
    <w:rsid w:val="00F10E0F"/>
    <w:rsid w:val="00F14DF3"/>
    <w:rsid w:val="00F204B5"/>
    <w:rsid w:val="00F23A32"/>
    <w:rsid w:val="00F26CBC"/>
    <w:rsid w:val="00F27FC4"/>
    <w:rsid w:val="00F3572C"/>
    <w:rsid w:val="00F371AF"/>
    <w:rsid w:val="00F40892"/>
    <w:rsid w:val="00F4261B"/>
    <w:rsid w:val="00F43789"/>
    <w:rsid w:val="00F44EC4"/>
    <w:rsid w:val="00F45272"/>
    <w:rsid w:val="00F45341"/>
    <w:rsid w:val="00F45D62"/>
    <w:rsid w:val="00F56F14"/>
    <w:rsid w:val="00F62790"/>
    <w:rsid w:val="00F62BB8"/>
    <w:rsid w:val="00F6312C"/>
    <w:rsid w:val="00F6342F"/>
    <w:rsid w:val="00F65F81"/>
    <w:rsid w:val="00F66FD0"/>
    <w:rsid w:val="00F67465"/>
    <w:rsid w:val="00F67DA1"/>
    <w:rsid w:val="00F7216E"/>
    <w:rsid w:val="00F74353"/>
    <w:rsid w:val="00F75850"/>
    <w:rsid w:val="00F81001"/>
    <w:rsid w:val="00F8434F"/>
    <w:rsid w:val="00F862F8"/>
    <w:rsid w:val="00F86C66"/>
    <w:rsid w:val="00F9038C"/>
    <w:rsid w:val="00F92044"/>
    <w:rsid w:val="00F92FAD"/>
    <w:rsid w:val="00F949F0"/>
    <w:rsid w:val="00FA0738"/>
    <w:rsid w:val="00FA2E64"/>
    <w:rsid w:val="00FA300B"/>
    <w:rsid w:val="00FA4293"/>
    <w:rsid w:val="00FA71A7"/>
    <w:rsid w:val="00FA7242"/>
    <w:rsid w:val="00FB1F91"/>
    <w:rsid w:val="00FB29A7"/>
    <w:rsid w:val="00FB30C0"/>
    <w:rsid w:val="00FB4E2F"/>
    <w:rsid w:val="00FB5B17"/>
    <w:rsid w:val="00FB5CEF"/>
    <w:rsid w:val="00FB75CE"/>
    <w:rsid w:val="00FD2746"/>
    <w:rsid w:val="00FE1B3A"/>
    <w:rsid w:val="00FE3859"/>
    <w:rsid w:val="00FE48E5"/>
    <w:rsid w:val="00FE684C"/>
    <w:rsid w:val="00FE719E"/>
    <w:rsid w:val="00FF020B"/>
    <w:rsid w:val="00FF323F"/>
    <w:rsid w:val="00FF543C"/>
    <w:rsid w:val="00FF7B14"/>
    <w:rsid w:val="04DC79F1"/>
    <w:rsid w:val="06897FE8"/>
    <w:rsid w:val="090F1C81"/>
    <w:rsid w:val="096E34AD"/>
    <w:rsid w:val="0C362140"/>
    <w:rsid w:val="0E336C6D"/>
    <w:rsid w:val="14B37571"/>
    <w:rsid w:val="18B905CD"/>
    <w:rsid w:val="21867F37"/>
    <w:rsid w:val="23E40BE2"/>
    <w:rsid w:val="27CF0291"/>
    <w:rsid w:val="2A2C0D9F"/>
    <w:rsid w:val="2A325F46"/>
    <w:rsid w:val="2AF00C6F"/>
    <w:rsid w:val="30A90339"/>
    <w:rsid w:val="35201C3A"/>
    <w:rsid w:val="386A5119"/>
    <w:rsid w:val="3C656573"/>
    <w:rsid w:val="3C785E11"/>
    <w:rsid w:val="3F8B57F7"/>
    <w:rsid w:val="43605C9C"/>
    <w:rsid w:val="48BD39BF"/>
    <w:rsid w:val="49807FEB"/>
    <w:rsid w:val="4B6A64E1"/>
    <w:rsid w:val="4F370DB6"/>
    <w:rsid w:val="515415F9"/>
    <w:rsid w:val="531F7526"/>
    <w:rsid w:val="53C73D82"/>
    <w:rsid w:val="557941D2"/>
    <w:rsid w:val="56E101E0"/>
    <w:rsid w:val="576F0006"/>
    <w:rsid w:val="58EA2BA7"/>
    <w:rsid w:val="5B590B23"/>
    <w:rsid w:val="5D5A6113"/>
    <w:rsid w:val="5DED4E0E"/>
    <w:rsid w:val="5EC63237"/>
    <w:rsid w:val="5FB15C3A"/>
    <w:rsid w:val="604A4152"/>
    <w:rsid w:val="61B362BB"/>
    <w:rsid w:val="670966C1"/>
    <w:rsid w:val="68F043A2"/>
    <w:rsid w:val="6E8D55CB"/>
    <w:rsid w:val="705444D3"/>
    <w:rsid w:val="72E665CC"/>
    <w:rsid w:val="74782A12"/>
    <w:rsid w:val="76B86E8E"/>
    <w:rsid w:val="77FB3AAF"/>
    <w:rsid w:val="7DD121A9"/>
    <w:rsid w:val="7FE352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41"/>
    <w:qFormat/>
    <w:uiPriority w:val="99"/>
    <w:pPr>
      <w:keepNext/>
      <w:jc w:val="center"/>
      <w:outlineLvl w:val="1"/>
    </w:pPr>
    <w:rPr>
      <w:rFonts w:ascii="楷体_GB2312" w:hAnsi="Times New Roman" w:eastAsia="楷体_GB2312" w:cs="Times New Roman"/>
      <w:b/>
      <w:bCs/>
      <w:kern w:val="0"/>
      <w:sz w:val="18"/>
      <w:szCs w:val="20"/>
    </w:rPr>
  </w:style>
  <w:style w:type="paragraph" w:styleId="5">
    <w:name w:val="heading 3"/>
    <w:basedOn w:val="1"/>
    <w:next w:val="1"/>
    <w:link w:val="42"/>
    <w:qFormat/>
    <w:uiPriority w:val="99"/>
    <w:pPr>
      <w:keepNext/>
      <w:jc w:val="center"/>
      <w:outlineLvl w:val="2"/>
    </w:pPr>
    <w:rPr>
      <w:rFonts w:ascii="Times New Roman" w:hAnsi="Times New Roman" w:eastAsia="楷体_GB2312" w:cs="Times New Roman"/>
      <w:b/>
      <w:bCs/>
      <w:kern w:val="0"/>
      <w:sz w:val="15"/>
      <w:szCs w:val="20"/>
    </w:rPr>
  </w:style>
  <w:style w:type="paragraph" w:styleId="6">
    <w:name w:val="heading 4"/>
    <w:basedOn w:val="1"/>
    <w:next w:val="1"/>
    <w:link w:val="43"/>
    <w:qFormat/>
    <w:uiPriority w:val="99"/>
    <w:pPr>
      <w:keepNext/>
      <w:jc w:val="center"/>
      <w:outlineLvl w:val="3"/>
    </w:pPr>
    <w:rPr>
      <w:rFonts w:ascii="Times New Roman" w:hAnsi="Times New Roman" w:eastAsia="楷体_GB2312" w:cs="Times New Roman"/>
      <w:b/>
      <w:bCs/>
      <w:kern w:val="0"/>
      <w:sz w:val="13"/>
      <w:szCs w:val="20"/>
    </w:rPr>
  </w:style>
  <w:style w:type="paragraph" w:styleId="7">
    <w:name w:val="heading 5"/>
    <w:basedOn w:val="1"/>
    <w:next w:val="1"/>
    <w:link w:val="44"/>
    <w:qFormat/>
    <w:uiPriority w:val="99"/>
    <w:pPr>
      <w:keepNext/>
      <w:numPr>
        <w:ilvl w:val="0"/>
        <w:numId w:val="1"/>
      </w:numPr>
      <w:outlineLvl w:val="4"/>
    </w:pPr>
    <w:rPr>
      <w:rFonts w:ascii="楷体_GB2312" w:hAnsi="Times New Roman" w:eastAsia="楷体_GB2312" w:cs="Times New Roman"/>
      <w:bCs/>
      <w:kern w:val="0"/>
      <w:sz w:val="28"/>
      <w:szCs w:val="20"/>
    </w:rPr>
  </w:style>
  <w:style w:type="paragraph" w:styleId="8">
    <w:name w:val="heading 6"/>
    <w:basedOn w:val="1"/>
    <w:next w:val="1"/>
    <w:link w:val="11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99"/>
    <w:rPr>
      <w:rFonts w:ascii="华文中宋" w:hAnsi="Times New Roman" w:eastAsia="华文中宋" w:cs="Times New Roman"/>
      <w:bCs/>
      <w:kern w:val="0"/>
      <w:sz w:val="28"/>
      <w:szCs w:val="20"/>
    </w:rPr>
  </w:style>
  <w:style w:type="paragraph" w:styleId="9">
    <w:name w:val="toc 7"/>
    <w:basedOn w:val="1"/>
    <w:next w:val="1"/>
    <w:semiHidden/>
    <w:unhideWhenUsed/>
    <w:qFormat/>
    <w:uiPriority w:val="39"/>
    <w:pPr>
      <w:ind w:left="1260"/>
      <w:jc w:val="left"/>
    </w:pPr>
    <w:rPr>
      <w:sz w:val="20"/>
      <w:szCs w:val="20"/>
    </w:rPr>
  </w:style>
  <w:style w:type="paragraph" w:styleId="10">
    <w:name w:val="Normal Indent"/>
    <w:basedOn w:val="1"/>
    <w:link w:val="123"/>
    <w:qFormat/>
    <w:uiPriority w:val="0"/>
    <w:pPr>
      <w:ind w:firstLine="420"/>
    </w:pPr>
    <w:rPr>
      <w:rFonts w:ascii="Times New Roman" w:hAnsi="Times New Roman" w:eastAsia="宋体" w:cs="Times New Roman"/>
      <w:szCs w:val="20"/>
    </w:rPr>
  </w:style>
  <w:style w:type="paragraph" w:styleId="11">
    <w:name w:val="Document Map"/>
    <w:basedOn w:val="1"/>
    <w:link w:val="105"/>
    <w:semiHidden/>
    <w:qFormat/>
    <w:uiPriority w:val="99"/>
    <w:pPr>
      <w:shd w:val="clear" w:color="auto" w:fill="000080"/>
    </w:pPr>
    <w:rPr>
      <w:rFonts w:ascii="Times New Roman" w:hAnsi="Times New Roman" w:eastAsia="宋体" w:cs="Times New Roman"/>
      <w:kern w:val="0"/>
      <w:sz w:val="20"/>
      <w:szCs w:val="20"/>
    </w:rPr>
  </w:style>
  <w:style w:type="paragraph" w:styleId="12">
    <w:name w:val="annotation text"/>
    <w:basedOn w:val="1"/>
    <w:link w:val="112"/>
    <w:semiHidden/>
    <w:unhideWhenUsed/>
    <w:qFormat/>
    <w:uiPriority w:val="99"/>
    <w:pPr>
      <w:jc w:val="left"/>
    </w:pPr>
  </w:style>
  <w:style w:type="paragraph" w:styleId="13">
    <w:name w:val="Body Text Indent"/>
    <w:basedOn w:val="1"/>
    <w:link w:val="46"/>
    <w:qFormat/>
    <w:uiPriority w:val="99"/>
    <w:pPr>
      <w:ind w:firstLine="576"/>
    </w:pPr>
    <w:rPr>
      <w:rFonts w:ascii="Times New Roman" w:hAnsi="Times New Roman" w:eastAsia="宋体" w:cs="Times New Roman"/>
      <w:b/>
      <w:kern w:val="0"/>
      <w:sz w:val="30"/>
      <w:szCs w:val="20"/>
    </w:rPr>
  </w:style>
  <w:style w:type="paragraph" w:styleId="14">
    <w:name w:val="toc 5"/>
    <w:basedOn w:val="1"/>
    <w:next w:val="1"/>
    <w:semiHidden/>
    <w:unhideWhenUsed/>
    <w:qFormat/>
    <w:uiPriority w:val="39"/>
    <w:pPr>
      <w:ind w:left="840"/>
      <w:jc w:val="left"/>
    </w:pPr>
    <w:rPr>
      <w:sz w:val="20"/>
      <w:szCs w:val="20"/>
    </w:rPr>
  </w:style>
  <w:style w:type="paragraph" w:styleId="15">
    <w:name w:val="toc 3"/>
    <w:basedOn w:val="1"/>
    <w:next w:val="1"/>
    <w:unhideWhenUsed/>
    <w:qFormat/>
    <w:uiPriority w:val="39"/>
    <w:pPr>
      <w:ind w:left="420"/>
      <w:jc w:val="left"/>
    </w:pPr>
    <w:rPr>
      <w:sz w:val="20"/>
      <w:szCs w:val="20"/>
    </w:rPr>
  </w:style>
  <w:style w:type="paragraph" w:styleId="16">
    <w:name w:val="toc 8"/>
    <w:basedOn w:val="1"/>
    <w:next w:val="1"/>
    <w:semiHidden/>
    <w:unhideWhenUsed/>
    <w:qFormat/>
    <w:uiPriority w:val="39"/>
    <w:pPr>
      <w:ind w:left="1470"/>
      <w:jc w:val="left"/>
    </w:pPr>
    <w:rPr>
      <w:sz w:val="20"/>
      <w:szCs w:val="20"/>
    </w:rPr>
  </w:style>
  <w:style w:type="paragraph" w:styleId="17">
    <w:name w:val="Date"/>
    <w:basedOn w:val="1"/>
    <w:next w:val="1"/>
    <w:link w:val="45"/>
    <w:qFormat/>
    <w:uiPriority w:val="0"/>
    <w:rPr>
      <w:rFonts w:ascii="Times New Roman" w:hAnsi="Times New Roman" w:eastAsia="黑体" w:cs="Times New Roman"/>
      <w:b/>
      <w:kern w:val="0"/>
      <w:sz w:val="36"/>
      <w:szCs w:val="20"/>
    </w:rPr>
  </w:style>
  <w:style w:type="paragraph" w:styleId="18">
    <w:name w:val="Body Text Indent 2"/>
    <w:basedOn w:val="1"/>
    <w:link w:val="50"/>
    <w:qFormat/>
    <w:uiPriority w:val="99"/>
    <w:pPr>
      <w:ind w:left="900"/>
    </w:pPr>
    <w:rPr>
      <w:rFonts w:ascii="楷体_GB2312" w:hAnsi="Times New Roman" w:eastAsia="楷体_GB2312" w:cs="Times New Roman"/>
      <w:b/>
      <w:kern w:val="0"/>
      <w:sz w:val="28"/>
      <w:szCs w:val="20"/>
    </w:rPr>
  </w:style>
  <w:style w:type="paragraph" w:styleId="19">
    <w:name w:val="Balloon Text"/>
    <w:basedOn w:val="1"/>
    <w:link w:val="111"/>
    <w:semiHidden/>
    <w:unhideWhenUsed/>
    <w:qFormat/>
    <w:uiPriority w:val="99"/>
    <w:rPr>
      <w:rFonts w:ascii="Times New Roman" w:hAnsi="Times New Roman" w:eastAsia="宋体" w:cs="Times New Roman"/>
      <w:sz w:val="18"/>
      <w:szCs w:val="18"/>
    </w:rPr>
  </w:style>
  <w:style w:type="paragraph" w:styleId="20">
    <w:name w:val="footer"/>
    <w:basedOn w:val="1"/>
    <w:link w:val="4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2">
    <w:name w:val="toc 1"/>
    <w:basedOn w:val="1"/>
    <w:next w:val="1"/>
    <w:unhideWhenUsed/>
    <w:qFormat/>
    <w:uiPriority w:val="39"/>
    <w:pPr>
      <w:tabs>
        <w:tab w:val="right" w:leader="dot" w:pos="9911"/>
      </w:tabs>
      <w:jc w:val="left"/>
    </w:pPr>
    <w:rPr>
      <w:rFonts w:eastAsia="黑体"/>
      <w:sz w:val="28"/>
      <w:szCs w:val="28"/>
    </w:rPr>
  </w:style>
  <w:style w:type="paragraph" w:styleId="23">
    <w:name w:val="toc 4"/>
    <w:basedOn w:val="1"/>
    <w:next w:val="1"/>
    <w:semiHidden/>
    <w:unhideWhenUsed/>
    <w:qFormat/>
    <w:uiPriority w:val="39"/>
    <w:pPr>
      <w:ind w:left="630"/>
      <w:jc w:val="left"/>
    </w:pPr>
    <w:rPr>
      <w:sz w:val="20"/>
      <w:szCs w:val="20"/>
    </w:rPr>
  </w:style>
  <w:style w:type="paragraph" w:styleId="24">
    <w:name w:val="toc 6"/>
    <w:basedOn w:val="1"/>
    <w:next w:val="1"/>
    <w:semiHidden/>
    <w:unhideWhenUsed/>
    <w:qFormat/>
    <w:uiPriority w:val="39"/>
    <w:pPr>
      <w:ind w:left="1050"/>
      <w:jc w:val="left"/>
    </w:pPr>
    <w:rPr>
      <w:sz w:val="20"/>
      <w:szCs w:val="20"/>
    </w:rPr>
  </w:style>
  <w:style w:type="paragraph" w:styleId="25">
    <w:name w:val="Body Text Indent 3"/>
    <w:basedOn w:val="1"/>
    <w:link w:val="51"/>
    <w:qFormat/>
    <w:uiPriority w:val="99"/>
    <w:pPr>
      <w:ind w:left="359" w:leftChars="171" w:firstLine="359" w:firstLineChars="171"/>
    </w:pPr>
    <w:rPr>
      <w:rFonts w:ascii="Times New Roman" w:hAnsi="Times New Roman" w:eastAsia="宋体" w:cs="Times New Roman"/>
      <w:kern w:val="0"/>
      <w:sz w:val="20"/>
      <w:szCs w:val="20"/>
    </w:rPr>
  </w:style>
  <w:style w:type="paragraph" w:styleId="26">
    <w:name w:val="toc 2"/>
    <w:basedOn w:val="1"/>
    <w:next w:val="1"/>
    <w:unhideWhenUsed/>
    <w:qFormat/>
    <w:uiPriority w:val="39"/>
    <w:pPr>
      <w:spacing w:before="120"/>
      <w:ind w:left="210"/>
      <w:jc w:val="left"/>
    </w:pPr>
    <w:rPr>
      <w:i/>
      <w:iCs/>
      <w:sz w:val="20"/>
      <w:szCs w:val="20"/>
    </w:rPr>
  </w:style>
  <w:style w:type="paragraph" w:styleId="27">
    <w:name w:val="toc 9"/>
    <w:basedOn w:val="1"/>
    <w:next w:val="1"/>
    <w:semiHidden/>
    <w:unhideWhenUsed/>
    <w:qFormat/>
    <w:uiPriority w:val="39"/>
    <w:pPr>
      <w:ind w:left="1680"/>
      <w:jc w:val="left"/>
    </w:pPr>
    <w:rPr>
      <w:sz w:val="20"/>
      <w:szCs w:val="20"/>
    </w:rPr>
  </w:style>
  <w:style w:type="paragraph" w:styleId="28">
    <w:name w:val="Body Text 2"/>
    <w:basedOn w:val="1"/>
    <w:link w:val="106"/>
    <w:qFormat/>
    <w:uiPriority w:val="99"/>
    <w:pPr>
      <w:spacing w:after="120" w:line="480" w:lineRule="auto"/>
    </w:pPr>
    <w:rPr>
      <w:rFonts w:ascii="Times New Roman" w:hAnsi="Times New Roman" w:eastAsia="宋体" w:cs="Times New Roman"/>
      <w:kern w:val="0"/>
      <w:sz w:val="20"/>
      <w:szCs w:val="20"/>
    </w:rPr>
  </w:style>
  <w:style w:type="paragraph" w:styleId="2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12"/>
    <w:next w:val="12"/>
    <w:link w:val="113"/>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99"/>
    <w:rPr>
      <w:rFonts w:cs="Times New Roman"/>
      <w:b/>
      <w:bCs/>
    </w:rPr>
  </w:style>
  <w:style w:type="character" w:styleId="35">
    <w:name w:val="page number"/>
    <w:qFormat/>
    <w:uiPriority w:val="99"/>
    <w:rPr>
      <w:rFonts w:cs="Times New Roman"/>
    </w:rPr>
  </w:style>
  <w:style w:type="character" w:styleId="36">
    <w:name w:val="FollowedHyperlink"/>
    <w:semiHidden/>
    <w:unhideWhenUsed/>
    <w:qFormat/>
    <w:uiPriority w:val="99"/>
    <w:rPr>
      <w:color w:val="800080"/>
      <w:u w:val="single"/>
    </w:rPr>
  </w:style>
  <w:style w:type="character" w:styleId="37">
    <w:name w:val="HTML Typewriter"/>
    <w:qFormat/>
    <w:uiPriority w:val="99"/>
    <w:rPr>
      <w:rFonts w:ascii="宋体" w:hAnsi="宋体" w:eastAsia="宋体" w:cs="宋体"/>
      <w:sz w:val="24"/>
      <w:szCs w:val="24"/>
    </w:rPr>
  </w:style>
  <w:style w:type="character" w:styleId="38">
    <w:name w:val="Hyperlink"/>
    <w:qFormat/>
    <w:uiPriority w:val="99"/>
    <w:rPr>
      <w:rFonts w:cs="Times New Roman"/>
      <w:color w:val="auto"/>
      <w:u w:val="none"/>
    </w:rPr>
  </w:style>
  <w:style w:type="character" w:styleId="39">
    <w:name w:val="annotation reference"/>
    <w:basedOn w:val="33"/>
    <w:semiHidden/>
    <w:unhideWhenUsed/>
    <w:qFormat/>
    <w:uiPriority w:val="99"/>
    <w:rPr>
      <w:sz w:val="21"/>
      <w:szCs w:val="21"/>
    </w:rPr>
  </w:style>
  <w:style w:type="character" w:customStyle="1" w:styleId="40">
    <w:name w:val="标题 1 字符"/>
    <w:basedOn w:val="33"/>
    <w:link w:val="3"/>
    <w:qFormat/>
    <w:uiPriority w:val="99"/>
    <w:rPr>
      <w:rFonts w:ascii="楷体_GB2312" w:hAnsi="Times New Roman" w:eastAsia="楷体_GB2312" w:cs="Times New Roman"/>
      <w:b/>
      <w:kern w:val="0"/>
      <w:sz w:val="28"/>
      <w:szCs w:val="20"/>
    </w:rPr>
  </w:style>
  <w:style w:type="character" w:customStyle="1" w:styleId="41">
    <w:name w:val="标题 2 字符"/>
    <w:basedOn w:val="33"/>
    <w:link w:val="4"/>
    <w:qFormat/>
    <w:uiPriority w:val="99"/>
    <w:rPr>
      <w:rFonts w:ascii="楷体_GB2312" w:hAnsi="Times New Roman" w:eastAsia="楷体_GB2312" w:cs="Times New Roman"/>
      <w:b/>
      <w:bCs/>
      <w:kern w:val="0"/>
      <w:sz w:val="18"/>
      <w:szCs w:val="20"/>
    </w:rPr>
  </w:style>
  <w:style w:type="character" w:customStyle="1" w:styleId="42">
    <w:name w:val="标题 3 字符"/>
    <w:basedOn w:val="33"/>
    <w:link w:val="5"/>
    <w:qFormat/>
    <w:uiPriority w:val="99"/>
    <w:rPr>
      <w:rFonts w:ascii="Times New Roman" w:hAnsi="Times New Roman" w:eastAsia="楷体_GB2312" w:cs="Times New Roman"/>
      <w:b/>
      <w:bCs/>
      <w:kern w:val="0"/>
      <w:sz w:val="15"/>
      <w:szCs w:val="20"/>
    </w:rPr>
  </w:style>
  <w:style w:type="character" w:customStyle="1" w:styleId="43">
    <w:name w:val="标题 4 字符"/>
    <w:basedOn w:val="33"/>
    <w:link w:val="6"/>
    <w:qFormat/>
    <w:uiPriority w:val="99"/>
    <w:rPr>
      <w:rFonts w:ascii="Times New Roman" w:hAnsi="Times New Roman" w:eastAsia="楷体_GB2312" w:cs="Times New Roman"/>
      <w:b/>
      <w:bCs/>
      <w:kern w:val="0"/>
      <w:sz w:val="13"/>
      <w:szCs w:val="20"/>
    </w:rPr>
  </w:style>
  <w:style w:type="character" w:customStyle="1" w:styleId="44">
    <w:name w:val="标题 5 字符"/>
    <w:basedOn w:val="33"/>
    <w:link w:val="7"/>
    <w:qFormat/>
    <w:uiPriority w:val="99"/>
    <w:rPr>
      <w:rFonts w:ascii="楷体_GB2312" w:hAnsi="Times New Roman" w:eastAsia="楷体_GB2312" w:cs="Times New Roman"/>
      <w:bCs/>
      <w:kern w:val="0"/>
      <w:sz w:val="28"/>
      <w:szCs w:val="20"/>
    </w:rPr>
  </w:style>
  <w:style w:type="character" w:customStyle="1" w:styleId="45">
    <w:name w:val="日期 字符"/>
    <w:basedOn w:val="33"/>
    <w:link w:val="17"/>
    <w:qFormat/>
    <w:uiPriority w:val="99"/>
    <w:rPr>
      <w:rFonts w:ascii="Times New Roman" w:hAnsi="Times New Roman" w:eastAsia="黑体" w:cs="Times New Roman"/>
      <w:b/>
      <w:kern w:val="0"/>
      <w:sz w:val="36"/>
      <w:szCs w:val="20"/>
    </w:rPr>
  </w:style>
  <w:style w:type="character" w:customStyle="1" w:styleId="46">
    <w:name w:val="正文文本缩进 字符"/>
    <w:basedOn w:val="33"/>
    <w:link w:val="13"/>
    <w:qFormat/>
    <w:uiPriority w:val="99"/>
    <w:rPr>
      <w:rFonts w:ascii="Times New Roman" w:hAnsi="Times New Roman" w:eastAsia="宋体" w:cs="Times New Roman"/>
      <w:b/>
      <w:kern w:val="0"/>
      <w:sz w:val="30"/>
      <w:szCs w:val="20"/>
    </w:rPr>
  </w:style>
  <w:style w:type="character" w:customStyle="1" w:styleId="47">
    <w:name w:val="页脚 字符"/>
    <w:basedOn w:val="33"/>
    <w:link w:val="20"/>
    <w:qFormat/>
    <w:uiPriority w:val="99"/>
    <w:rPr>
      <w:rFonts w:ascii="Times New Roman" w:hAnsi="Times New Roman" w:eastAsia="宋体" w:cs="Times New Roman"/>
      <w:kern w:val="0"/>
      <w:sz w:val="18"/>
      <w:szCs w:val="20"/>
    </w:rPr>
  </w:style>
  <w:style w:type="character" w:customStyle="1" w:styleId="48">
    <w:name w:val="页眉 字符"/>
    <w:basedOn w:val="33"/>
    <w:link w:val="21"/>
    <w:qFormat/>
    <w:uiPriority w:val="99"/>
    <w:rPr>
      <w:rFonts w:ascii="Times New Roman" w:hAnsi="Times New Roman" w:eastAsia="宋体" w:cs="Times New Roman"/>
      <w:kern w:val="0"/>
      <w:sz w:val="18"/>
      <w:szCs w:val="20"/>
    </w:rPr>
  </w:style>
  <w:style w:type="character" w:customStyle="1" w:styleId="49">
    <w:name w:val="正文文本 字符"/>
    <w:basedOn w:val="33"/>
    <w:link w:val="2"/>
    <w:qFormat/>
    <w:uiPriority w:val="99"/>
    <w:rPr>
      <w:rFonts w:ascii="华文中宋" w:hAnsi="Times New Roman" w:eastAsia="华文中宋" w:cs="Times New Roman"/>
      <w:bCs/>
      <w:kern w:val="0"/>
      <w:sz w:val="28"/>
      <w:szCs w:val="20"/>
    </w:rPr>
  </w:style>
  <w:style w:type="character" w:customStyle="1" w:styleId="50">
    <w:name w:val="正文文本缩进 2 字符"/>
    <w:basedOn w:val="33"/>
    <w:link w:val="18"/>
    <w:qFormat/>
    <w:uiPriority w:val="99"/>
    <w:rPr>
      <w:rFonts w:ascii="楷体_GB2312" w:hAnsi="Times New Roman" w:eastAsia="楷体_GB2312" w:cs="Times New Roman"/>
      <w:b/>
      <w:kern w:val="0"/>
      <w:sz w:val="28"/>
      <w:szCs w:val="20"/>
    </w:rPr>
  </w:style>
  <w:style w:type="character" w:customStyle="1" w:styleId="51">
    <w:name w:val="正文文本缩进 3 字符"/>
    <w:basedOn w:val="33"/>
    <w:link w:val="25"/>
    <w:qFormat/>
    <w:uiPriority w:val="99"/>
    <w:rPr>
      <w:rFonts w:ascii="Times New Roman" w:hAnsi="Times New Roman" w:eastAsia="宋体" w:cs="Times New Roman"/>
      <w:kern w:val="0"/>
      <w:sz w:val="20"/>
      <w:szCs w:val="20"/>
    </w:rPr>
  </w:style>
  <w:style w:type="paragraph" w:customStyle="1" w:styleId="52">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4">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6">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6">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0">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2">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5">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8">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8">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9">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0">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1">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2">
    <w:name w:val="case31"/>
    <w:qFormat/>
    <w:uiPriority w:val="99"/>
    <w:rPr>
      <w:rFonts w:cs="Times New Roman"/>
      <w:spacing w:val="390"/>
      <w:sz w:val="21"/>
      <w:szCs w:val="21"/>
    </w:rPr>
  </w:style>
  <w:style w:type="paragraph" w:customStyle="1" w:styleId="103">
    <w:name w:val="普通文字"/>
    <w:basedOn w:val="1"/>
    <w:next w:val="1"/>
    <w:qFormat/>
    <w:uiPriority w:val="99"/>
    <w:rPr>
      <w:rFonts w:ascii="宋体" w:hAnsi="Times New Roman" w:eastAsia="宋体" w:cs="Times New Roman"/>
      <w:kern w:val="0"/>
      <w:sz w:val="24"/>
      <w:szCs w:val="20"/>
      <w:u w:color="000000"/>
    </w:rPr>
  </w:style>
  <w:style w:type="paragraph" w:customStyle="1" w:styleId="104">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character" w:customStyle="1" w:styleId="105">
    <w:name w:val="文档结构图 字符"/>
    <w:basedOn w:val="33"/>
    <w:link w:val="11"/>
    <w:semiHidden/>
    <w:qFormat/>
    <w:uiPriority w:val="99"/>
    <w:rPr>
      <w:rFonts w:ascii="Times New Roman" w:hAnsi="Times New Roman" w:eastAsia="宋体" w:cs="Times New Roman"/>
      <w:kern w:val="0"/>
      <w:sz w:val="20"/>
      <w:szCs w:val="20"/>
      <w:shd w:val="clear" w:color="auto" w:fill="000080"/>
    </w:rPr>
  </w:style>
  <w:style w:type="character" w:customStyle="1" w:styleId="106">
    <w:name w:val="正文文本 2 字符"/>
    <w:basedOn w:val="33"/>
    <w:link w:val="28"/>
    <w:qFormat/>
    <w:uiPriority w:val="99"/>
    <w:rPr>
      <w:rFonts w:ascii="Times New Roman" w:hAnsi="Times New Roman" w:eastAsia="宋体" w:cs="Times New Roman"/>
      <w:kern w:val="0"/>
      <w:sz w:val="20"/>
      <w:szCs w:val="20"/>
    </w:rPr>
  </w:style>
  <w:style w:type="paragraph" w:customStyle="1" w:styleId="107">
    <w:name w:val="Char Char Char Char"/>
    <w:basedOn w:val="11"/>
    <w:qFormat/>
    <w:uiPriority w:val="99"/>
    <w:pPr>
      <w:adjustRightInd w:val="0"/>
      <w:snapToGrid w:val="0"/>
      <w:spacing w:line="360" w:lineRule="auto"/>
    </w:pPr>
    <w:rPr>
      <w:rFonts w:ascii="Tahoma" w:hAnsi="Tahoma"/>
      <w:sz w:val="24"/>
      <w:szCs w:val="24"/>
    </w:rPr>
  </w:style>
  <w:style w:type="paragraph" w:customStyle="1" w:styleId="108">
    <w:name w:val="Char Char1 Char Char Char Char"/>
    <w:basedOn w:val="11"/>
    <w:qFormat/>
    <w:uiPriority w:val="99"/>
    <w:pPr>
      <w:adjustRightInd w:val="0"/>
      <w:spacing w:line="436" w:lineRule="exact"/>
      <w:ind w:left="357"/>
      <w:jc w:val="left"/>
      <w:outlineLvl w:val="3"/>
    </w:pPr>
    <w:rPr>
      <w:rFonts w:ascii="Tahoma" w:hAnsi="Tahoma"/>
      <w:b/>
      <w:sz w:val="24"/>
      <w:szCs w:val="24"/>
    </w:rPr>
  </w:style>
  <w:style w:type="paragraph" w:styleId="109">
    <w:name w:val="List Paragraph"/>
    <w:basedOn w:val="1"/>
    <w:qFormat/>
    <w:uiPriority w:val="99"/>
    <w:pPr>
      <w:ind w:firstLine="420" w:firstLineChars="200"/>
    </w:pPr>
    <w:rPr>
      <w:rFonts w:ascii="Times New Roman" w:hAnsi="Times New Roman" w:eastAsia="宋体" w:cs="Times New Roman"/>
      <w:szCs w:val="20"/>
    </w:rPr>
  </w:style>
  <w:style w:type="paragraph" w:customStyle="1" w:styleId="110">
    <w:name w:val="修订1"/>
    <w:hidden/>
    <w:semiHidden/>
    <w:qFormat/>
    <w:uiPriority w:val="99"/>
    <w:rPr>
      <w:rFonts w:ascii="Times New Roman" w:hAnsi="Times New Roman" w:eastAsia="宋体" w:cs="Times New Roman"/>
      <w:kern w:val="2"/>
      <w:sz w:val="21"/>
      <w:lang w:val="en-US" w:eastAsia="zh-CN" w:bidi="ar-SA"/>
    </w:rPr>
  </w:style>
  <w:style w:type="character" w:customStyle="1" w:styleId="111">
    <w:name w:val="批注框文本 字符"/>
    <w:basedOn w:val="33"/>
    <w:link w:val="19"/>
    <w:semiHidden/>
    <w:qFormat/>
    <w:uiPriority w:val="99"/>
    <w:rPr>
      <w:rFonts w:ascii="Times New Roman" w:hAnsi="Times New Roman" w:eastAsia="宋体" w:cs="Times New Roman"/>
      <w:sz w:val="18"/>
      <w:szCs w:val="18"/>
    </w:rPr>
  </w:style>
  <w:style w:type="character" w:customStyle="1" w:styleId="112">
    <w:name w:val="批注文字 字符"/>
    <w:basedOn w:val="33"/>
    <w:link w:val="12"/>
    <w:semiHidden/>
    <w:qFormat/>
    <w:uiPriority w:val="99"/>
  </w:style>
  <w:style w:type="character" w:customStyle="1" w:styleId="113">
    <w:name w:val="批注主题 字符"/>
    <w:basedOn w:val="112"/>
    <w:link w:val="30"/>
    <w:semiHidden/>
    <w:qFormat/>
    <w:uiPriority w:val="99"/>
    <w:rPr>
      <w:b/>
      <w:bCs/>
    </w:rPr>
  </w:style>
  <w:style w:type="paragraph" w:customStyle="1" w:styleId="114">
    <w:name w:val="列表段落1"/>
    <w:basedOn w:val="1"/>
    <w:qFormat/>
    <w:uiPriority w:val="99"/>
    <w:pPr>
      <w:ind w:firstLine="420" w:firstLineChars="200"/>
    </w:pPr>
    <w:rPr>
      <w:rFonts w:ascii="Times New Roman" w:hAnsi="Times New Roman" w:eastAsia="宋体" w:cs="Times New Roman"/>
      <w:szCs w:val="21"/>
    </w:rPr>
  </w:style>
  <w:style w:type="character" w:customStyle="1" w:styleId="115">
    <w:name w:val="标题 6 字符"/>
    <w:basedOn w:val="33"/>
    <w:link w:val="8"/>
    <w:qFormat/>
    <w:uiPriority w:val="9"/>
    <w:rPr>
      <w:rFonts w:asciiTheme="majorHAnsi" w:hAnsiTheme="majorHAnsi" w:eastAsiaTheme="majorEastAsia" w:cstheme="majorBidi"/>
      <w:b/>
      <w:bCs/>
      <w:kern w:val="2"/>
      <w:sz w:val="24"/>
      <w:szCs w:val="24"/>
    </w:rPr>
  </w:style>
  <w:style w:type="paragraph" w:customStyle="1" w:styleId="116">
    <w:name w:val="TOC 标题1"/>
    <w:basedOn w:val="3"/>
    <w:next w:val="1"/>
    <w:unhideWhenUsed/>
    <w:qFormat/>
    <w:uiPriority w:val="39"/>
    <w:pPr>
      <w:keepLines/>
      <w:widowControl/>
      <w:spacing w:before="480" w:line="276" w:lineRule="auto"/>
      <w:jc w:val="left"/>
      <w:outlineLvl w:val="9"/>
    </w:pPr>
    <w:rPr>
      <w:rFonts w:asciiTheme="majorHAnsi" w:hAnsiTheme="majorHAnsi" w:eastAsiaTheme="majorEastAsia" w:cstheme="majorBidi"/>
      <w:bCs/>
      <w:color w:val="376092" w:themeColor="accent1" w:themeShade="BF"/>
      <w:szCs w:val="28"/>
    </w:rPr>
  </w:style>
  <w:style w:type="paragraph" w:customStyle="1" w:styleId="1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18">
    <w:name w:val="Í¼±íÕýÎÄ"/>
    <w:basedOn w:val="1"/>
    <w:next w:val="10"/>
    <w:qFormat/>
    <w:uiPriority w:val="0"/>
    <w:pPr>
      <w:ind w:firstLine="420" w:firstLineChars="200"/>
    </w:pPr>
    <w:rPr>
      <w:rFonts w:ascii="Times New Roman" w:hAnsi="Times New Roman" w:eastAsia="宋体" w:cs="Times New Roman"/>
      <w:sz w:val="24"/>
      <w:szCs w:val="20"/>
    </w:rPr>
  </w:style>
  <w:style w:type="character" w:customStyle="1" w:styleId="119">
    <w:name w:val="未处理的提及1"/>
    <w:basedOn w:val="33"/>
    <w:semiHidden/>
    <w:unhideWhenUsed/>
    <w:qFormat/>
    <w:uiPriority w:val="99"/>
    <w:rPr>
      <w:color w:val="605E5C"/>
      <w:shd w:val="clear" w:color="auto" w:fill="E1DFDD"/>
    </w:rPr>
  </w:style>
  <w:style w:type="paragraph" w:customStyle="1" w:styleId="120">
    <w:name w:val="标题2"/>
    <w:basedOn w:val="4"/>
    <w:next w:val="1"/>
    <w:qFormat/>
    <w:uiPriority w:val="0"/>
    <w:pPr>
      <w:spacing w:line="360" w:lineRule="auto"/>
    </w:pPr>
    <w:rPr>
      <w:rFonts w:ascii="黑体" w:hAnsi="黑体" w:eastAsia="黑体"/>
      <w:b w:val="0"/>
      <w:sz w:val="32"/>
      <w:szCs w:val="32"/>
    </w:rPr>
  </w:style>
  <w:style w:type="paragraph" w:customStyle="1" w:styleId="121">
    <w:name w:val="标题1"/>
    <w:basedOn w:val="3"/>
    <w:next w:val="1"/>
    <w:qFormat/>
    <w:uiPriority w:val="0"/>
    <w:pPr>
      <w:spacing w:line="360" w:lineRule="auto"/>
    </w:pPr>
    <w:rPr>
      <w:rFonts w:ascii="黑体" w:hAnsi="黑体" w:eastAsia="黑体"/>
      <w:b w:val="0"/>
      <w:bCs/>
      <w:szCs w:val="28"/>
    </w:rPr>
  </w:style>
  <w:style w:type="paragraph" w:customStyle="1" w:styleId="122">
    <w:name w:val="标题1-1"/>
    <w:basedOn w:val="3"/>
    <w:next w:val="1"/>
    <w:qFormat/>
    <w:uiPriority w:val="0"/>
    <w:pPr>
      <w:jc w:val="left"/>
    </w:pPr>
    <w:rPr>
      <w:rFonts w:ascii="黑体" w:hAnsi="宋体" w:eastAsia="黑体"/>
      <w:b w:val="0"/>
      <w:bCs/>
      <w:color w:val="000000" w:themeColor="text1"/>
      <w:sz w:val="24"/>
      <w:szCs w:val="24"/>
      <w14:textFill>
        <w14:solidFill>
          <w14:schemeClr w14:val="tx1"/>
        </w14:solidFill>
      </w14:textFill>
    </w:rPr>
  </w:style>
  <w:style w:type="character" w:customStyle="1" w:styleId="123">
    <w:name w:val="正文缩进 字符"/>
    <w:link w:val="10"/>
    <w:qFormat/>
    <w:uiPriority w:val="0"/>
    <w:rPr>
      <w:rFonts w:ascii="Times New Roman" w:hAnsi="Times New Roman" w:eastAsia="宋体" w:cs="Times New Roman"/>
      <w:kern w:val="2"/>
      <w:sz w:val="21"/>
    </w:rPr>
  </w:style>
  <w:style w:type="table" w:customStyle="1" w:styleId="124">
    <w:name w:val="网格型浅色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25">
    <w:name w:val="正文缩进1"/>
    <w:basedOn w:val="1"/>
    <w:qFormat/>
    <w:uiPriority w:val="0"/>
    <w:pPr>
      <w:autoSpaceDE w:val="0"/>
      <w:autoSpaceDN w:val="0"/>
      <w:adjustRightInd w:val="0"/>
      <w:ind w:firstLine="420"/>
      <w:jc w:val="left"/>
    </w:pPr>
    <w:rPr>
      <w:rFonts w:ascii="宋体"/>
      <w:sz w:val="24"/>
    </w:rPr>
  </w:style>
  <w:style w:type="paragraph" w:customStyle="1" w:styleId="126">
    <w:name w:val="索引 11"/>
    <w:basedOn w:val="1"/>
    <w:next w:val="1"/>
    <w:qFormat/>
    <w:uiPriority w:val="0"/>
    <w:pPr>
      <w:spacing w:line="360" w:lineRule="auto"/>
    </w:pPr>
    <w:rPr>
      <w:rFonts w:ascii="仿宋_GB2312" w:hAnsi="Times New Roman" w:eastAsia="仿宋_GB2312" w:cs="Times New Roman"/>
      <w:sz w:val="24"/>
      <w:szCs w:val="20"/>
    </w:rPr>
  </w:style>
  <w:style w:type="table" w:customStyle="1" w:styleId="127">
    <w:name w:val="网格型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Grid Table Light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29">
    <w:name w:val="Char"/>
    <w:basedOn w:val="1"/>
    <w:qFormat/>
    <w:uiPriority w:val="0"/>
    <w:pPr>
      <w:tabs>
        <w:tab w:val="left" w:pos="360"/>
      </w:tabs>
      <w:ind w:firstLine="561"/>
      <w:jc w:val="center"/>
    </w:pPr>
    <w:rPr>
      <w:rFonts w:ascii="黑体" w:hAnsi="黑体" w:eastAsia="黑体" w:cs="Times New Roman"/>
      <w:sz w:val="28"/>
      <w:szCs w:val="28"/>
    </w:rPr>
  </w:style>
  <w:style w:type="character" w:customStyle="1" w:styleId="130">
    <w:name w:val="日期 字符1"/>
    <w:qFormat/>
    <w:locked/>
    <w:uiPriority w:val="0"/>
    <w:rPr>
      <w:kern w:val="2"/>
      <w:sz w:val="24"/>
    </w:rPr>
  </w:style>
  <w:style w:type="paragraph" w:customStyle="1" w:styleId="13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2">
    <w:name w:val="列出段落1"/>
    <w:basedOn w:val="1"/>
    <w:qFormat/>
    <w:uiPriority w:val="0"/>
    <w:pPr>
      <w:widowControl/>
      <w:ind w:left="720"/>
      <w:contextualSpacing/>
      <w:jc w:val="left"/>
    </w:pPr>
    <w:rPr>
      <w:rFonts w:ascii="Calibri" w:hAnsi="Calibri" w:eastAsia="宋体" w:cs="Calibri"/>
      <w:kern w:val="0"/>
      <w:sz w:val="24"/>
      <w:szCs w:val="24"/>
      <w:lang w:eastAsia="en-US" w:bidi="en-US"/>
    </w:rPr>
  </w:style>
  <w:style w:type="paragraph" w:customStyle="1" w:styleId="133">
    <w:name w:val="纯文本1"/>
    <w:basedOn w:val="1"/>
    <w:qFormat/>
    <w:uiPriority w:val="0"/>
    <w:rPr>
      <w:rFonts w:ascii="宋体" w:hAnsi="Courier New" w:eastAsia="宋体" w:cs="Times New Roman"/>
      <w:kern w:val="0"/>
      <w:sz w:val="20"/>
      <w:szCs w:val="20"/>
    </w:rPr>
  </w:style>
  <w:style w:type="character" w:customStyle="1" w:styleId="134">
    <w:name w:val="15"/>
    <w:basedOn w:val="33"/>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66F3-A1C8-48FA-B185-9CCCE4BD83A4}">
  <ds:schemaRefs/>
</ds:datastoreItem>
</file>

<file path=docProps/app.xml><?xml version="1.0" encoding="utf-8"?>
<Properties xmlns="http://schemas.openxmlformats.org/officeDocument/2006/extended-properties" xmlns:vt="http://schemas.openxmlformats.org/officeDocument/2006/docPropsVTypes">
  <Template>Normal.dotm</Template>
  <Company>LenovoCop</Company>
  <Pages>40</Pages>
  <Words>16455</Words>
  <Characters>17577</Characters>
  <Lines>137</Lines>
  <Paragraphs>38</Paragraphs>
  <TotalTime>57</TotalTime>
  <ScaleCrop>false</ScaleCrop>
  <LinksUpToDate>false</LinksUpToDate>
  <CharactersWithSpaces>19928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2020-11-17T01:25:00Z</dcterms:created>
  <dc:creator>黄炜</dc:creator>
  <cp:lastModifiedBy>熊萍</cp:lastModifiedBy>
  <cp:lastPrinted>2021-09-30T01:06:00Z</cp:lastPrinted>
  <dcterms:modified xsi:type="dcterms:W3CDTF">2022-10-14T03:21:46Z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336955E535A74ACFB26A034E5EEECF81</vt:lpwstr>
  </property>
</Properties>
</file>