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60"/>
        <w:rPr>
          <w:rFonts w:ascii="楷体_GB2312" w:eastAsia="楷体_GB2312"/>
          <w:bCs/>
          <w:color w:val="000000" w:themeColor="text1"/>
          <w:sz w:val="30"/>
          <w14:textFill>
            <w14:solidFill>
              <w14:schemeClr w14:val="tx1"/>
            </w14:solidFill>
          </w14:textFill>
        </w:rPr>
      </w:pPr>
    </w:p>
    <w:p>
      <w:pPr>
        <w:ind w:left="660"/>
        <w:rPr>
          <w:rFonts w:ascii="楷体_GB2312" w:eastAsia="楷体_GB2312"/>
          <w:bCs/>
          <w:color w:val="000000" w:themeColor="text1"/>
          <w:sz w:val="30"/>
          <w14:textFill>
            <w14:solidFill>
              <w14:schemeClr w14:val="tx1"/>
            </w14:solidFill>
          </w14:textFill>
        </w:rPr>
      </w:pPr>
    </w:p>
    <w:p>
      <w:pPr>
        <w:ind w:left="660"/>
        <w:rPr>
          <w:rFonts w:ascii="楷体_GB2312" w:eastAsia="楷体_GB2312"/>
          <w:bCs/>
          <w:color w:val="000000" w:themeColor="text1"/>
          <w:sz w:val="30"/>
          <w14:textFill>
            <w14:solidFill>
              <w14:schemeClr w14:val="tx1"/>
            </w14:solidFill>
          </w14:textFill>
        </w:rPr>
      </w:pPr>
    </w:p>
    <w:p>
      <w:pPr>
        <w:snapToGrid w:val="0"/>
        <w:spacing w:line="360" w:lineRule="auto"/>
        <w:jc w:val="center"/>
        <w:rPr>
          <w:rFonts w:ascii="华文中宋" w:hAnsi="华文中宋" w:eastAsia="华文中宋"/>
          <w:bCs/>
          <w:color w:val="000000" w:themeColor="text1"/>
          <w:sz w:val="30"/>
          <w14:textFill>
            <w14:solidFill>
              <w14:schemeClr w14:val="tx1"/>
            </w14:solidFill>
          </w14:textFill>
        </w:rPr>
      </w:pPr>
      <w:r>
        <w:rPr>
          <w:rFonts w:hint="eastAsia" w:ascii="黑体" w:hAnsi="黑体" w:eastAsia="黑体" w:cs="黑体"/>
          <w:b/>
          <w:spacing w:val="170"/>
          <w:kern w:val="0"/>
          <w:sz w:val="84"/>
          <w:szCs w:val="84"/>
        </w:rPr>
        <w:t>采购</w:t>
      </w:r>
      <w:r>
        <w:rPr>
          <w:rFonts w:hint="eastAsia" w:ascii="黑体" w:hAnsi="黑体" w:eastAsia="黑体"/>
          <w:b/>
          <w:spacing w:val="170"/>
          <w:sz w:val="84"/>
          <w:szCs w:val="84"/>
        </w:rPr>
        <w:t>文件</w:t>
      </w:r>
    </w:p>
    <w:p>
      <w:pPr>
        <w:jc w:val="center"/>
        <w:rPr>
          <w:rFonts w:ascii="华文中宋" w:hAnsi="华文中宋" w:eastAsia="华文中宋"/>
          <w:bCs/>
          <w:color w:val="000000" w:themeColor="text1"/>
          <w:sz w:val="30"/>
          <w14:textFill>
            <w14:solidFill>
              <w14:schemeClr w14:val="tx1"/>
            </w14:solidFill>
          </w14:textFill>
        </w:rPr>
      </w:pPr>
      <w:r>
        <w:rPr>
          <w:rFonts w:hint="eastAsia" w:ascii="华文中宋" w:hAnsi="华文中宋" w:eastAsia="华文中宋"/>
          <w:bCs/>
          <w:color w:val="000000" w:themeColor="text1"/>
          <w:sz w:val="30"/>
          <w14:textFill>
            <w14:solidFill>
              <w14:schemeClr w14:val="tx1"/>
            </w14:solidFill>
          </w14:textFill>
        </w:rPr>
        <w:t>（服务类）</w:t>
      </w:r>
    </w:p>
    <w:p>
      <w:pPr>
        <w:jc w:val="left"/>
        <w:rPr>
          <w:rFonts w:ascii="黑体" w:hAnsi="华文中宋" w:eastAsia="黑体"/>
          <w:bCs/>
          <w:color w:val="000000" w:themeColor="text1"/>
          <w:spacing w:val="20"/>
          <w:w w:val="90"/>
          <w:sz w:val="48"/>
          <w:szCs w:val="48"/>
          <w14:textFill>
            <w14:solidFill>
              <w14:schemeClr w14:val="tx1"/>
            </w14:solidFill>
          </w14:textFill>
        </w:rPr>
      </w:pPr>
    </w:p>
    <w:p>
      <w:pPr>
        <w:jc w:val="left"/>
        <w:rPr>
          <w:rFonts w:ascii="黑体" w:hAnsi="华文中宋" w:eastAsia="黑体"/>
          <w:bCs/>
          <w:color w:val="000000" w:themeColor="text1"/>
          <w:spacing w:val="20"/>
          <w:w w:val="90"/>
          <w:sz w:val="48"/>
          <w:szCs w:val="48"/>
          <w14:textFill>
            <w14:solidFill>
              <w14:schemeClr w14:val="tx1"/>
            </w14:solidFill>
          </w14:textFill>
        </w:rPr>
      </w:pPr>
    </w:p>
    <w:p>
      <w:pPr>
        <w:jc w:val="left"/>
        <w:rPr>
          <w:rFonts w:ascii="黑体" w:hAnsi="华文中宋" w:eastAsia="黑体"/>
          <w:bCs/>
          <w:color w:val="000000" w:themeColor="text1"/>
          <w:spacing w:val="20"/>
          <w:w w:val="90"/>
          <w:sz w:val="48"/>
          <w:szCs w:val="48"/>
          <w14:textFill>
            <w14:solidFill>
              <w14:schemeClr w14:val="tx1"/>
            </w14:solidFill>
          </w14:textFill>
        </w:rPr>
      </w:pPr>
    </w:p>
    <w:p>
      <w:pPr>
        <w:jc w:val="left"/>
        <w:rPr>
          <w:rFonts w:ascii="黑体" w:hAnsi="华文中宋" w:eastAsia="黑体"/>
          <w:bCs/>
          <w:color w:val="000000" w:themeColor="text1"/>
          <w:spacing w:val="20"/>
          <w:w w:val="90"/>
          <w:sz w:val="48"/>
          <w:szCs w:val="48"/>
          <w14:textFill>
            <w14:solidFill>
              <w14:schemeClr w14:val="tx1"/>
            </w14:solidFill>
          </w14:textFill>
        </w:rPr>
      </w:pPr>
    </w:p>
    <w:p>
      <w:pPr>
        <w:jc w:val="left"/>
        <w:rPr>
          <w:rFonts w:ascii="华文中宋" w:hAnsi="华文中宋" w:eastAsia="华文中宋"/>
          <w:bCs/>
          <w:color w:val="000000" w:themeColor="text1"/>
          <w:sz w:val="30"/>
          <w14:textFill>
            <w14:solidFill>
              <w14:schemeClr w14:val="tx1"/>
            </w14:solidFill>
          </w14:textFill>
        </w:rPr>
      </w:pPr>
    </w:p>
    <w:p>
      <w:pPr>
        <w:spacing w:line="360" w:lineRule="auto"/>
        <w:ind w:left="1052" w:leftChars="303" w:hanging="416" w:hangingChars="139"/>
        <w:rPr>
          <w:rFonts w:hint="eastAsia" w:ascii="黑体" w:hAnsi="华文中宋" w:eastAsia="黑体"/>
          <w:bCs/>
          <w:color w:val="000000" w:themeColor="text1"/>
          <w:sz w:val="30"/>
          <w:szCs w:val="30"/>
          <w14:textFill>
            <w14:solidFill>
              <w14:schemeClr w14:val="tx1"/>
            </w14:solidFill>
          </w14:textFill>
        </w:rPr>
      </w:pPr>
      <w:r>
        <w:rPr>
          <w:rFonts w:hint="eastAsia" w:ascii="黑体" w:hAnsi="华文中宋" w:eastAsia="黑体"/>
          <w:bCs/>
          <w:color w:val="000000" w:themeColor="text1"/>
          <w:sz w:val="30"/>
          <w:szCs w:val="30"/>
          <w14:textFill>
            <w14:solidFill>
              <w14:schemeClr w14:val="tx1"/>
            </w14:solidFill>
          </w14:textFill>
        </w:rPr>
        <w:t>采购项目编号：CZZCJT2022046</w:t>
      </w:r>
    </w:p>
    <w:p>
      <w:pPr>
        <w:spacing w:line="360" w:lineRule="auto"/>
        <w:ind w:left="1052" w:leftChars="303" w:hanging="416" w:hangingChars="139"/>
        <w:rPr>
          <w:rFonts w:hint="eastAsia" w:ascii="黑体" w:hAnsi="华文中宋" w:eastAsia="黑体"/>
          <w:bCs/>
          <w:color w:val="000000" w:themeColor="text1"/>
          <w:sz w:val="30"/>
          <w:szCs w:val="30"/>
          <w14:textFill>
            <w14:solidFill>
              <w14:schemeClr w14:val="tx1"/>
            </w14:solidFill>
          </w14:textFill>
        </w:rPr>
      </w:pPr>
      <w:r>
        <w:rPr>
          <w:rFonts w:hint="eastAsia" w:ascii="黑体" w:hAnsi="华文中宋" w:eastAsia="黑体"/>
          <w:bCs/>
          <w:color w:val="000000" w:themeColor="text1"/>
          <w:sz w:val="30"/>
          <w:szCs w:val="30"/>
          <w14:textFill>
            <w14:solidFill>
              <w14:schemeClr w14:val="tx1"/>
            </w14:solidFill>
          </w14:textFill>
        </w:rPr>
        <w:t>采购项目名称：常州市不动产登记交易中心叫号系统改造项目</w:t>
      </w:r>
    </w:p>
    <w:p>
      <w:pPr>
        <w:spacing w:line="360" w:lineRule="auto"/>
        <w:ind w:left="1052" w:leftChars="303" w:hanging="416" w:hangingChars="139"/>
        <w:rPr>
          <w:rFonts w:hint="eastAsia" w:ascii="黑体" w:hAnsi="华文中宋" w:eastAsia="黑体"/>
          <w:bCs/>
          <w:color w:val="000000" w:themeColor="text1"/>
          <w:sz w:val="30"/>
          <w:szCs w:val="30"/>
          <w14:textFill>
            <w14:solidFill>
              <w14:schemeClr w14:val="tx1"/>
            </w14:solidFill>
          </w14:textFill>
        </w:rPr>
      </w:pPr>
      <w:r>
        <w:rPr>
          <w:rFonts w:hint="eastAsia" w:ascii="黑体" w:hAnsi="华文中宋" w:eastAsia="黑体"/>
          <w:bCs/>
          <w:color w:val="000000" w:themeColor="text1"/>
          <w:sz w:val="30"/>
          <w:szCs w:val="30"/>
          <w14:textFill>
            <w14:solidFill>
              <w14:schemeClr w14:val="tx1"/>
            </w14:solidFill>
          </w14:textFill>
        </w:rPr>
        <w:t>采   购   人：常州市不动产登记交易中心</w:t>
      </w:r>
    </w:p>
    <w:p>
      <w:pPr>
        <w:spacing w:line="360" w:lineRule="auto"/>
        <w:ind w:left="1052" w:leftChars="303" w:hanging="416" w:hangingChars="139"/>
        <w:rPr>
          <w:rFonts w:hint="eastAsia" w:ascii="黑体" w:hAnsi="华文中宋" w:eastAsia="黑体"/>
          <w:bCs/>
          <w:color w:val="000000" w:themeColor="text1"/>
          <w:sz w:val="30"/>
          <w:szCs w:val="30"/>
          <w14:textFill>
            <w14:solidFill>
              <w14:schemeClr w14:val="tx1"/>
            </w14:solidFill>
          </w14:textFill>
        </w:rPr>
      </w:pPr>
      <w:r>
        <w:rPr>
          <w:rFonts w:hint="eastAsia" w:ascii="黑体" w:hAnsi="华文中宋" w:eastAsia="黑体"/>
          <w:bCs/>
          <w:color w:val="000000" w:themeColor="text1"/>
          <w:sz w:val="30"/>
          <w:szCs w:val="30"/>
          <w14:textFill>
            <w14:solidFill>
              <w14:schemeClr w14:val="tx1"/>
            </w14:solidFill>
          </w14:textFill>
        </w:rPr>
        <w:t>采购代理机构：常州中采招投标有限公司</w:t>
      </w:r>
    </w:p>
    <w:p>
      <w:pPr>
        <w:rPr>
          <w:rFonts w:ascii="华文中宋" w:hAnsi="华文中宋" w:eastAsia="华文中宋"/>
          <w:bCs/>
          <w:color w:val="000000" w:themeColor="text1"/>
          <w:sz w:val="32"/>
          <w14:textFill>
            <w14:solidFill>
              <w14:schemeClr w14:val="tx1"/>
            </w14:solidFill>
          </w14:textFill>
        </w:rPr>
      </w:pPr>
    </w:p>
    <w:p>
      <w:pPr>
        <w:rPr>
          <w:rFonts w:ascii="华文中宋" w:hAnsi="华文中宋" w:eastAsia="华文中宋"/>
          <w:bCs/>
          <w:color w:val="000000" w:themeColor="text1"/>
          <w:sz w:val="30"/>
          <w14:textFill>
            <w14:solidFill>
              <w14:schemeClr w14:val="tx1"/>
            </w14:solidFill>
          </w14:textFill>
        </w:rPr>
      </w:pPr>
    </w:p>
    <w:p>
      <w:pPr>
        <w:rPr>
          <w:rFonts w:ascii="华文中宋" w:hAnsi="华文中宋" w:eastAsia="华文中宋"/>
          <w:bCs/>
          <w:color w:val="000000" w:themeColor="text1"/>
          <w:sz w:val="30"/>
          <w14:textFill>
            <w14:solidFill>
              <w14:schemeClr w14:val="tx1"/>
            </w14:solidFill>
          </w14:textFill>
        </w:rPr>
      </w:pPr>
    </w:p>
    <w:p>
      <w:pPr>
        <w:rPr>
          <w:rFonts w:ascii="华文中宋" w:hAnsi="华文中宋" w:eastAsia="华文中宋"/>
          <w:bCs/>
          <w:color w:val="000000" w:themeColor="text1"/>
          <w:sz w:val="30"/>
          <w14:textFill>
            <w14:solidFill>
              <w14:schemeClr w14:val="tx1"/>
            </w14:solidFill>
          </w14:textFill>
        </w:rPr>
      </w:pPr>
    </w:p>
    <w:p>
      <w:pPr>
        <w:jc w:val="center"/>
        <w:rPr>
          <w:rFonts w:hint="eastAsia" w:ascii="黑体" w:hAnsi="华文中宋" w:eastAsia="黑体"/>
          <w:bCs/>
          <w:color w:val="000000" w:themeColor="text1"/>
          <w:sz w:val="30"/>
          <w:szCs w:val="30"/>
          <w14:textFill>
            <w14:solidFill>
              <w14:schemeClr w14:val="tx1"/>
            </w14:solidFill>
          </w14:textFill>
        </w:rPr>
      </w:pPr>
      <w:r>
        <w:rPr>
          <w:rFonts w:hint="eastAsia" w:ascii="黑体" w:hAnsi="华文中宋" w:eastAsia="黑体"/>
          <w:bCs/>
          <w:color w:val="000000" w:themeColor="text1"/>
          <w:sz w:val="30"/>
          <w:szCs w:val="30"/>
          <w14:textFill>
            <w14:solidFill>
              <w14:schemeClr w14:val="tx1"/>
            </w14:solidFill>
          </w14:textFill>
        </w:rPr>
        <w:t>二○二二年</w:t>
      </w:r>
      <w:r>
        <w:rPr>
          <w:rFonts w:hint="eastAsia" w:ascii="黑体" w:hAnsi="华文中宋" w:eastAsia="黑体"/>
          <w:bCs/>
          <w:color w:val="000000" w:themeColor="text1"/>
          <w:sz w:val="30"/>
          <w:szCs w:val="30"/>
          <w:lang w:val="en-US" w:eastAsia="zh-CN"/>
          <w14:textFill>
            <w14:solidFill>
              <w14:schemeClr w14:val="tx1"/>
            </w14:solidFill>
          </w14:textFill>
        </w:rPr>
        <w:t>十</w:t>
      </w:r>
      <w:r>
        <w:rPr>
          <w:rFonts w:hint="eastAsia" w:ascii="黑体" w:hAnsi="华文中宋" w:eastAsia="黑体"/>
          <w:bCs/>
          <w:color w:val="000000" w:themeColor="text1"/>
          <w:sz w:val="30"/>
          <w:szCs w:val="30"/>
          <w14:textFill>
            <w14:solidFill>
              <w14:schemeClr w14:val="tx1"/>
            </w14:solidFill>
          </w14:textFill>
        </w:rPr>
        <w:t>月</w:t>
      </w:r>
    </w:p>
    <w:p>
      <w:pPr>
        <w:rPr>
          <w:rFonts w:hint="eastAsia" w:ascii="黑体" w:hAnsi="华文中宋" w:eastAsia="黑体"/>
          <w:bCs/>
          <w:color w:val="000000" w:themeColor="text1"/>
          <w:sz w:val="30"/>
          <w:szCs w:val="30"/>
          <w14:textFill>
            <w14:solidFill>
              <w14:schemeClr w14:val="tx1"/>
            </w14:solidFill>
          </w14:textFill>
        </w:rPr>
      </w:pPr>
      <w:r>
        <w:rPr>
          <w:rFonts w:hint="eastAsia" w:ascii="黑体" w:hAnsi="华文中宋" w:eastAsia="黑体"/>
          <w:bCs/>
          <w:color w:val="000000" w:themeColor="text1"/>
          <w:sz w:val="30"/>
          <w:szCs w:val="30"/>
          <w14:textFill>
            <w14:solidFill>
              <w14:schemeClr w14:val="tx1"/>
            </w14:solidFill>
          </w14:textFill>
        </w:rPr>
        <w:br w:type="page"/>
      </w:r>
    </w:p>
    <w:p>
      <w:pPr>
        <w:jc w:val="center"/>
        <w:rPr>
          <w:rFonts w:ascii="黑体" w:hAnsi="华文中宋" w:eastAsia="黑体"/>
          <w:bCs/>
          <w:color w:val="000000" w:themeColor="text1"/>
          <w:sz w:val="30"/>
          <w:szCs w:val="30"/>
          <w14:textFill>
            <w14:solidFill>
              <w14:schemeClr w14:val="tx1"/>
            </w14:solidFill>
          </w14:textFill>
        </w:rPr>
      </w:pPr>
      <w:r>
        <w:rPr>
          <w:rFonts w:hint="eastAsia" w:ascii="黑体" w:hAnsi="华文中宋" w:eastAsia="黑体"/>
          <w:bCs/>
          <w:color w:val="000000" w:themeColor="text1"/>
          <w:sz w:val="30"/>
          <w:szCs w:val="30"/>
          <w14:textFill>
            <w14:solidFill>
              <w14:schemeClr w14:val="tx1"/>
            </w14:solidFill>
          </w14:textFill>
        </w:rPr>
        <w:t xml:space="preserve"> </w:t>
      </w:r>
      <w:bookmarkStart w:id="0" w:name="报价方须知前附表"/>
      <w:bookmarkEnd w:id="0"/>
      <w:bookmarkStart w:id="1" w:name="_Toc55147045"/>
    </w:p>
    <w:sdt>
      <w:sdtPr>
        <w:rPr>
          <w:rFonts w:asciiTheme="minorHAnsi" w:hAnsiTheme="minorHAnsi" w:eastAsiaTheme="minorEastAsia" w:cstheme="minorBidi"/>
          <w:b w:val="0"/>
          <w:bCs w:val="0"/>
          <w:color w:val="auto"/>
          <w:kern w:val="2"/>
          <w:sz w:val="21"/>
          <w:szCs w:val="22"/>
          <w:lang w:val="zh-CN"/>
        </w:rPr>
        <w:id w:val="-1880626030"/>
        <w:docPartObj>
          <w:docPartGallery w:val="Table of Contents"/>
          <w:docPartUnique/>
        </w:docPartObj>
      </w:sdtPr>
      <w:sdtEndPr>
        <w:rPr>
          <w:rFonts w:ascii="Calibri" w:hAnsi="Calibri" w:eastAsia="黑体" w:cstheme="minorBidi"/>
          <w:b w:val="0"/>
          <w:bCs w:val="0"/>
          <w:color w:val="auto"/>
          <w:kern w:val="2"/>
          <w:sz w:val="30"/>
          <w:szCs w:val="30"/>
          <w:lang w:val="en-US"/>
        </w:rPr>
      </w:sdtEndPr>
      <w:sdtContent>
        <w:p>
          <w:pPr>
            <w:pStyle w:val="116"/>
            <w:jc w:val="center"/>
            <w:rPr>
              <w:rFonts w:ascii="黑体" w:hAnsi="黑体" w:eastAsia="黑体"/>
              <w:color w:val="000000" w:themeColor="text1"/>
              <w:sz w:val="48"/>
              <w:szCs w:val="48"/>
              <w:lang w:val="zh-CN"/>
              <w14:textFill>
                <w14:solidFill>
                  <w14:schemeClr w14:val="tx1"/>
                </w14:solidFill>
              </w14:textFill>
            </w:rPr>
          </w:pPr>
          <w:r>
            <w:rPr>
              <w:rFonts w:ascii="黑体" w:hAnsi="黑体" w:eastAsia="黑体"/>
              <w:color w:val="000000" w:themeColor="text1"/>
              <w:sz w:val="48"/>
              <w:szCs w:val="48"/>
              <w:lang w:val="zh-CN"/>
              <w14:textFill>
                <w14:solidFill>
                  <w14:schemeClr w14:val="tx1"/>
                </w14:solidFill>
              </w14:textFill>
            </w:rPr>
            <w:t>目</w:t>
          </w:r>
          <w:r>
            <w:rPr>
              <w:rFonts w:hint="eastAsia" w:ascii="黑体" w:hAnsi="黑体" w:eastAsia="黑体"/>
              <w:color w:val="000000" w:themeColor="text1"/>
              <w:sz w:val="48"/>
              <w:szCs w:val="48"/>
              <w:lang w:val="zh-CN"/>
              <w14:textFill>
                <w14:solidFill>
                  <w14:schemeClr w14:val="tx1"/>
                </w14:solidFill>
              </w14:textFill>
            </w:rPr>
            <w:t xml:space="preserve"> </w:t>
          </w:r>
          <w:r>
            <w:rPr>
              <w:rFonts w:ascii="黑体" w:hAnsi="黑体" w:eastAsia="黑体"/>
              <w:color w:val="000000" w:themeColor="text1"/>
              <w:sz w:val="48"/>
              <w:szCs w:val="48"/>
              <w:lang w:val="zh-CN"/>
              <w14:textFill>
                <w14:solidFill>
                  <w14:schemeClr w14:val="tx1"/>
                </w14:solidFill>
              </w14:textFill>
            </w:rPr>
            <w:t>录</w:t>
          </w:r>
        </w:p>
        <w:p>
          <w:pPr>
            <w:pStyle w:val="22"/>
            <w:tabs>
              <w:tab w:val="right" w:leader="dot" w:pos="9639"/>
              <w:tab w:val="clear" w:pos="9911"/>
            </w:tabs>
          </w:pPr>
          <w:r>
            <w:rPr>
              <w:rFonts w:cstheme="minorHAnsi"/>
              <w:sz w:val="32"/>
              <w:szCs w:val="32"/>
            </w:rPr>
            <w:fldChar w:fldCharType="begin"/>
          </w:r>
          <w:r>
            <w:rPr>
              <w:rFonts w:cstheme="minorHAnsi"/>
              <w:sz w:val="32"/>
              <w:szCs w:val="32"/>
            </w:rPr>
            <w:instrText xml:space="preserve">TOC \o "1-3" \h \z \u</w:instrText>
          </w:r>
          <w:r>
            <w:rPr>
              <w:rFonts w:cstheme="minorHAnsi"/>
              <w:sz w:val="32"/>
              <w:szCs w:val="32"/>
            </w:rPr>
            <w:fldChar w:fldCharType="separate"/>
          </w:r>
          <w:r>
            <w:rPr>
              <w:rFonts w:cstheme="minorHAnsi"/>
              <w:szCs w:val="32"/>
            </w:rPr>
            <w:fldChar w:fldCharType="begin"/>
          </w:r>
          <w:r>
            <w:rPr>
              <w:rFonts w:cstheme="minorHAnsi"/>
              <w:szCs w:val="32"/>
            </w:rPr>
            <w:instrText xml:space="preserve"> HYPERLINK \l _Toc5409 </w:instrText>
          </w:r>
          <w:r>
            <w:rPr>
              <w:rFonts w:cstheme="minorHAnsi"/>
              <w:szCs w:val="32"/>
            </w:rPr>
            <w:fldChar w:fldCharType="separate"/>
          </w:r>
          <w:r>
            <w:rPr>
              <w:rFonts w:hint="eastAsia"/>
            </w:rPr>
            <w:t>一．谈判邀请函</w:t>
          </w:r>
          <w:r>
            <w:tab/>
          </w:r>
          <w:r>
            <w:fldChar w:fldCharType="begin"/>
          </w:r>
          <w:r>
            <w:instrText xml:space="preserve"> PAGEREF _Toc5409 \h </w:instrText>
          </w:r>
          <w:r>
            <w:fldChar w:fldCharType="separate"/>
          </w:r>
          <w:r>
            <w:t>1</w:t>
          </w:r>
          <w:r>
            <w:fldChar w:fldCharType="end"/>
          </w:r>
          <w:r>
            <w:rPr>
              <w:rFonts w:cstheme="minorHAnsi"/>
              <w:szCs w:val="32"/>
            </w:rPr>
            <w:fldChar w:fldCharType="end"/>
          </w:r>
        </w:p>
        <w:p>
          <w:pPr>
            <w:pStyle w:val="22"/>
            <w:tabs>
              <w:tab w:val="right" w:leader="dot" w:pos="9639"/>
              <w:tab w:val="clear" w:pos="9911"/>
            </w:tabs>
          </w:pPr>
          <w:r>
            <w:rPr>
              <w:rFonts w:eastAsia="黑体" w:cstheme="minorHAnsi"/>
              <w:szCs w:val="32"/>
            </w:rPr>
            <w:fldChar w:fldCharType="begin"/>
          </w:r>
          <w:r>
            <w:rPr>
              <w:rFonts w:eastAsia="黑体" w:cstheme="minorHAnsi"/>
              <w:szCs w:val="32"/>
            </w:rPr>
            <w:instrText xml:space="preserve"> HYPERLINK \l _Toc29163 </w:instrText>
          </w:r>
          <w:r>
            <w:rPr>
              <w:rFonts w:eastAsia="黑体" w:cstheme="minorHAnsi"/>
              <w:szCs w:val="32"/>
            </w:rPr>
            <w:fldChar w:fldCharType="separate"/>
          </w:r>
          <w:r>
            <w:rPr>
              <w:rFonts w:hint="eastAsia"/>
            </w:rPr>
            <w:t>二．供应商须知</w:t>
          </w:r>
          <w:r>
            <w:tab/>
          </w:r>
          <w:r>
            <w:fldChar w:fldCharType="begin"/>
          </w:r>
          <w:r>
            <w:instrText xml:space="preserve"> PAGEREF _Toc29163 \h </w:instrText>
          </w:r>
          <w:r>
            <w:fldChar w:fldCharType="separate"/>
          </w:r>
          <w:r>
            <w:t>4</w:t>
          </w:r>
          <w:r>
            <w:fldChar w:fldCharType="end"/>
          </w:r>
          <w:r>
            <w:rPr>
              <w:rFonts w:eastAsia="黑体" w:cstheme="minorHAnsi"/>
              <w:szCs w:val="32"/>
            </w:rPr>
            <w:fldChar w:fldCharType="end"/>
          </w:r>
        </w:p>
        <w:p>
          <w:pPr>
            <w:pStyle w:val="22"/>
            <w:tabs>
              <w:tab w:val="right" w:leader="dot" w:pos="9639"/>
              <w:tab w:val="clear" w:pos="9911"/>
            </w:tabs>
          </w:pPr>
          <w:r>
            <w:rPr>
              <w:rFonts w:eastAsia="黑体" w:cstheme="minorHAnsi"/>
              <w:szCs w:val="32"/>
            </w:rPr>
            <w:fldChar w:fldCharType="begin"/>
          </w:r>
          <w:r>
            <w:rPr>
              <w:rFonts w:eastAsia="黑体" w:cstheme="minorHAnsi"/>
              <w:szCs w:val="32"/>
            </w:rPr>
            <w:instrText xml:space="preserve"> HYPERLINK \l _Toc17895 </w:instrText>
          </w:r>
          <w:r>
            <w:rPr>
              <w:rFonts w:eastAsia="黑体" w:cstheme="minorHAnsi"/>
              <w:szCs w:val="32"/>
            </w:rPr>
            <w:fldChar w:fldCharType="separate"/>
          </w:r>
          <w:r>
            <w:rPr>
              <w:rFonts w:hint="eastAsia"/>
            </w:rPr>
            <w:t>三．项目技术要求和有关说明</w:t>
          </w:r>
          <w:r>
            <w:tab/>
          </w:r>
          <w:r>
            <w:fldChar w:fldCharType="begin"/>
          </w:r>
          <w:r>
            <w:instrText xml:space="preserve"> PAGEREF _Toc17895 \h </w:instrText>
          </w:r>
          <w:r>
            <w:fldChar w:fldCharType="separate"/>
          </w:r>
          <w:r>
            <w:t>11</w:t>
          </w:r>
          <w:r>
            <w:fldChar w:fldCharType="end"/>
          </w:r>
          <w:r>
            <w:rPr>
              <w:rFonts w:eastAsia="黑体" w:cstheme="minorHAnsi"/>
              <w:szCs w:val="32"/>
            </w:rPr>
            <w:fldChar w:fldCharType="end"/>
          </w:r>
        </w:p>
        <w:p>
          <w:pPr>
            <w:pStyle w:val="22"/>
            <w:tabs>
              <w:tab w:val="right" w:leader="dot" w:pos="9639"/>
              <w:tab w:val="clear" w:pos="9911"/>
            </w:tabs>
          </w:pPr>
          <w:r>
            <w:rPr>
              <w:rFonts w:eastAsia="黑体" w:cstheme="minorHAnsi"/>
              <w:szCs w:val="32"/>
            </w:rPr>
            <w:fldChar w:fldCharType="begin"/>
          </w:r>
          <w:r>
            <w:rPr>
              <w:rFonts w:eastAsia="黑体" w:cstheme="minorHAnsi"/>
              <w:szCs w:val="32"/>
            </w:rPr>
            <w:instrText xml:space="preserve"> HYPERLINK \l _Toc29401 </w:instrText>
          </w:r>
          <w:r>
            <w:rPr>
              <w:rFonts w:eastAsia="黑体" w:cstheme="minorHAnsi"/>
              <w:szCs w:val="32"/>
            </w:rPr>
            <w:fldChar w:fldCharType="separate"/>
          </w:r>
          <w:r>
            <w:rPr>
              <w:rFonts w:hint="eastAsia" w:ascii="黑体" w:hAnsi="黑体" w:eastAsia="黑体" w:cs="Times New Roman"/>
              <w:bCs/>
              <w:kern w:val="0"/>
              <w:szCs w:val="28"/>
            </w:rPr>
            <w:t>四．合同条款及格式</w:t>
          </w:r>
          <w:r>
            <w:tab/>
          </w:r>
          <w:r>
            <w:fldChar w:fldCharType="begin"/>
          </w:r>
          <w:r>
            <w:instrText xml:space="preserve"> PAGEREF _Toc29401 \h </w:instrText>
          </w:r>
          <w:r>
            <w:fldChar w:fldCharType="separate"/>
          </w:r>
          <w:r>
            <w:t>15</w:t>
          </w:r>
          <w:r>
            <w:fldChar w:fldCharType="end"/>
          </w:r>
          <w:r>
            <w:rPr>
              <w:rFonts w:eastAsia="黑体" w:cstheme="minorHAnsi"/>
              <w:szCs w:val="32"/>
            </w:rPr>
            <w:fldChar w:fldCharType="end"/>
          </w:r>
        </w:p>
        <w:p>
          <w:pPr>
            <w:pStyle w:val="22"/>
            <w:tabs>
              <w:tab w:val="right" w:leader="dot" w:pos="9639"/>
              <w:tab w:val="clear" w:pos="9911"/>
            </w:tabs>
          </w:pPr>
          <w:r>
            <w:rPr>
              <w:rFonts w:eastAsia="黑体" w:cstheme="minorHAnsi"/>
              <w:szCs w:val="32"/>
            </w:rPr>
            <w:fldChar w:fldCharType="begin"/>
          </w:r>
          <w:r>
            <w:rPr>
              <w:rFonts w:eastAsia="黑体" w:cstheme="minorHAnsi"/>
              <w:szCs w:val="32"/>
            </w:rPr>
            <w:instrText xml:space="preserve"> HYPERLINK \l _Toc31110 </w:instrText>
          </w:r>
          <w:r>
            <w:rPr>
              <w:rFonts w:eastAsia="黑体" w:cstheme="minorHAnsi"/>
              <w:szCs w:val="32"/>
            </w:rPr>
            <w:fldChar w:fldCharType="separate"/>
          </w:r>
          <w:r>
            <w:rPr>
              <w:rFonts w:hint="eastAsia" w:ascii="黑体" w:hAnsi="黑体" w:eastAsia="黑体" w:cs="Times New Roman"/>
              <w:bCs/>
              <w:kern w:val="0"/>
              <w:szCs w:val="28"/>
            </w:rPr>
            <w:t>五．响应文件格式</w:t>
          </w:r>
          <w:r>
            <w:tab/>
          </w:r>
          <w:r>
            <w:fldChar w:fldCharType="begin"/>
          </w:r>
          <w:r>
            <w:instrText xml:space="preserve"> PAGEREF _Toc31110 \h </w:instrText>
          </w:r>
          <w:r>
            <w:fldChar w:fldCharType="separate"/>
          </w:r>
          <w:r>
            <w:t>25</w:t>
          </w:r>
          <w:r>
            <w:fldChar w:fldCharType="end"/>
          </w:r>
          <w:r>
            <w:rPr>
              <w:rFonts w:eastAsia="黑体" w:cstheme="minorHAnsi"/>
              <w:szCs w:val="32"/>
            </w:rPr>
            <w:fldChar w:fldCharType="end"/>
          </w:r>
        </w:p>
        <w:p>
          <w:pPr>
            <w:pStyle w:val="22"/>
            <w:tabs>
              <w:tab w:val="right" w:leader="dot" w:pos="9639"/>
              <w:tab w:val="clear" w:pos="9911"/>
            </w:tabs>
          </w:pPr>
          <w:r>
            <w:rPr>
              <w:rFonts w:eastAsia="黑体" w:cstheme="minorHAnsi"/>
              <w:szCs w:val="32"/>
            </w:rPr>
            <w:fldChar w:fldCharType="begin"/>
          </w:r>
          <w:r>
            <w:rPr>
              <w:rFonts w:eastAsia="黑体" w:cstheme="minorHAnsi"/>
              <w:szCs w:val="32"/>
            </w:rPr>
            <w:instrText xml:space="preserve"> HYPERLINK \l _Toc25701 </w:instrText>
          </w:r>
          <w:r>
            <w:rPr>
              <w:rFonts w:eastAsia="黑体" w:cstheme="minorHAnsi"/>
              <w:szCs w:val="32"/>
            </w:rPr>
            <w:fldChar w:fldCharType="separate"/>
          </w:r>
          <w:r>
            <w:rPr>
              <w:rFonts w:hint="eastAsia" w:ascii="黑体" w:hAnsi="黑体" w:eastAsia="黑体" w:cs="Times New Roman"/>
              <w:bCs/>
              <w:kern w:val="0"/>
              <w:szCs w:val="28"/>
            </w:rPr>
            <w:t>友 情 提 醒</w:t>
          </w:r>
          <w:r>
            <w:tab/>
          </w:r>
          <w:r>
            <w:fldChar w:fldCharType="begin"/>
          </w:r>
          <w:r>
            <w:instrText xml:space="preserve"> PAGEREF _Toc25701 \h </w:instrText>
          </w:r>
          <w:r>
            <w:fldChar w:fldCharType="separate"/>
          </w:r>
          <w:r>
            <w:t>39</w:t>
          </w:r>
          <w:r>
            <w:fldChar w:fldCharType="end"/>
          </w:r>
          <w:r>
            <w:rPr>
              <w:rFonts w:eastAsia="黑体" w:cstheme="minorHAnsi"/>
              <w:szCs w:val="32"/>
            </w:rPr>
            <w:fldChar w:fldCharType="end"/>
          </w:r>
        </w:p>
        <w:p>
          <w:pPr>
            <w:spacing w:before="120" w:after="120" w:line="360" w:lineRule="auto"/>
            <w:rPr>
              <w:rFonts w:ascii="Calibri" w:hAnsi="Calibri" w:eastAsia="黑体"/>
              <w:sz w:val="30"/>
              <w:szCs w:val="30"/>
            </w:rPr>
            <w:sectPr>
              <w:headerReference r:id="rId5" w:type="first"/>
              <w:headerReference r:id="rId3" w:type="default"/>
              <w:footerReference r:id="rId6" w:type="default"/>
              <w:headerReference r:id="rId4" w:type="even"/>
              <w:footerReference r:id="rId7" w:type="even"/>
              <w:pgSz w:w="11906" w:h="16838"/>
              <w:pgMar w:top="1276" w:right="1133" w:bottom="1418" w:left="1134" w:header="568" w:footer="907" w:gutter="0"/>
              <w:pgNumType w:start="0"/>
              <w:cols w:space="425" w:num="1"/>
              <w:titlePg/>
              <w:docGrid w:type="linesAndChars" w:linePitch="312" w:charSpace="0"/>
            </w:sectPr>
          </w:pPr>
          <w:r>
            <w:rPr>
              <w:rFonts w:eastAsia="黑体" w:cstheme="minorHAnsi"/>
              <w:szCs w:val="32"/>
            </w:rPr>
            <w:fldChar w:fldCharType="end"/>
          </w:r>
        </w:p>
      </w:sdtContent>
    </w:sdt>
    <w:p>
      <w:pPr>
        <w:pStyle w:val="121"/>
      </w:pPr>
      <w:bookmarkStart w:id="2" w:name="_Toc5409"/>
      <w:r>
        <w:rPr>
          <w:rFonts w:hint="eastAsia"/>
        </w:rPr>
        <w:t>一．谈判邀请函</w:t>
      </w:r>
      <w:bookmarkEnd w:id="1"/>
      <w:bookmarkEnd w:id="2"/>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项目概况</w:t>
      </w:r>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宋体" w:hAnsi="宋体" w:eastAsia="宋体"/>
          <w:sz w:val="24"/>
          <w:szCs w:val="24"/>
        </w:rPr>
      </w:pPr>
      <w:r>
        <w:rPr>
          <w:rFonts w:hint="eastAsia" w:ascii="宋体" w:hAnsi="宋体" w:eastAsia="宋体"/>
          <w:sz w:val="24"/>
          <w:szCs w:val="24"/>
          <w:u w:val="single"/>
        </w:rPr>
        <w:t>常州市不动产登记交易中心叫号系统改造</w:t>
      </w:r>
      <w:r>
        <w:rPr>
          <w:rFonts w:hint="eastAsia" w:ascii="宋体" w:hAnsi="宋体" w:eastAsia="宋体"/>
          <w:sz w:val="24"/>
          <w:szCs w:val="24"/>
          <w:u w:val="none"/>
          <w:lang w:val="en-US" w:eastAsia="zh-CN"/>
        </w:rPr>
        <w:t>采购项目</w:t>
      </w:r>
      <w:r>
        <w:rPr>
          <w:rFonts w:hint="eastAsia" w:ascii="宋体" w:hAnsi="宋体" w:eastAsia="宋体"/>
          <w:sz w:val="24"/>
          <w:szCs w:val="24"/>
        </w:rPr>
        <w:t>的潜在供应商应在</w:t>
      </w:r>
      <w:r>
        <w:rPr>
          <w:rFonts w:hint="eastAsia" w:ascii="宋体" w:hAnsi="宋体" w:eastAsia="宋体"/>
          <w:sz w:val="24"/>
          <w:szCs w:val="24"/>
          <w:u w:val="single"/>
        </w:rPr>
        <w:t>“政采云”市场资源交易服务中心（平台）（http://www.czzczb.com/）</w:t>
      </w:r>
      <w:r>
        <w:fldChar w:fldCharType="begin"/>
      </w:r>
      <w:r>
        <w:instrText xml:space="preserve"> HYPERLINK "http://www.czzczb.com/）获取采购文件，并于2021年10月" </w:instrText>
      </w:r>
      <w:r>
        <w:fldChar w:fldCharType="separate"/>
      </w:r>
      <w:r>
        <w:rPr>
          <w:rStyle w:val="38"/>
          <w:rFonts w:hint="eastAsia" w:ascii="宋体" w:hAnsi="宋体" w:eastAsia="宋体" w:cstheme="minorBidi"/>
          <w:sz w:val="24"/>
          <w:szCs w:val="24"/>
        </w:rPr>
        <w:t>获取采购文件，并于</w:t>
      </w:r>
      <w:r>
        <w:rPr>
          <w:rStyle w:val="38"/>
          <w:rFonts w:ascii="宋体" w:hAnsi="宋体" w:eastAsia="宋体" w:cstheme="minorBidi"/>
          <w:bCs/>
          <w:sz w:val="24"/>
          <w:szCs w:val="24"/>
          <w:u w:val="single"/>
        </w:rPr>
        <w:t>20</w:t>
      </w:r>
      <w:r>
        <w:rPr>
          <w:rStyle w:val="38"/>
          <w:rFonts w:hint="eastAsia" w:ascii="宋体" w:hAnsi="宋体" w:eastAsia="宋体" w:cstheme="minorBidi"/>
          <w:bCs/>
          <w:sz w:val="24"/>
          <w:szCs w:val="24"/>
          <w:u w:val="single"/>
        </w:rPr>
        <w:t>22</w:t>
      </w:r>
      <w:r>
        <w:rPr>
          <w:rStyle w:val="38"/>
          <w:rFonts w:ascii="宋体" w:hAnsi="宋体" w:eastAsia="宋体" w:cstheme="minorBidi"/>
          <w:bCs/>
          <w:sz w:val="24"/>
          <w:szCs w:val="24"/>
          <w:u w:val="single"/>
        </w:rPr>
        <w:t>年</w:t>
      </w:r>
      <w:r>
        <w:rPr>
          <w:rStyle w:val="38"/>
          <w:rFonts w:hint="eastAsia" w:ascii="宋体" w:hAnsi="宋体" w:eastAsia="宋体" w:cstheme="minorBidi"/>
          <w:bCs/>
          <w:sz w:val="24"/>
          <w:szCs w:val="24"/>
          <w:u w:val="single"/>
          <w:lang w:val="en-US" w:eastAsia="zh-CN"/>
        </w:rPr>
        <w:t>10</w:t>
      </w:r>
      <w:r>
        <w:rPr>
          <w:rStyle w:val="38"/>
          <w:rFonts w:ascii="宋体" w:hAnsi="宋体" w:eastAsia="宋体" w:cstheme="minorBidi"/>
          <w:bCs/>
          <w:sz w:val="24"/>
          <w:szCs w:val="24"/>
          <w:u w:val="single"/>
        </w:rPr>
        <w:t>月</w:t>
      </w:r>
      <w:r>
        <w:rPr>
          <w:rStyle w:val="38"/>
          <w:rFonts w:ascii="宋体" w:hAnsi="宋体" w:eastAsia="宋体" w:cstheme="minorBidi"/>
          <w:bCs/>
          <w:sz w:val="24"/>
          <w:szCs w:val="24"/>
        </w:rPr>
        <w:fldChar w:fldCharType="end"/>
      </w:r>
      <w:r>
        <w:rPr>
          <w:rStyle w:val="38"/>
          <w:rFonts w:hint="eastAsia" w:ascii="宋体" w:hAnsi="宋体" w:eastAsia="宋体" w:cstheme="minorBidi"/>
          <w:bCs/>
          <w:sz w:val="24"/>
          <w:szCs w:val="24"/>
          <w:u w:val="single"/>
          <w:lang w:val="en-US" w:eastAsia="zh-CN"/>
        </w:rPr>
        <w:t>20</w:t>
      </w:r>
      <w:r>
        <w:rPr>
          <w:rFonts w:ascii="宋体" w:hAnsi="宋体" w:eastAsia="宋体"/>
          <w:bCs/>
          <w:sz w:val="24"/>
          <w:szCs w:val="24"/>
          <w:u w:val="single"/>
        </w:rPr>
        <w:t>日</w:t>
      </w:r>
      <w:r>
        <w:rPr>
          <w:rFonts w:hint="eastAsia" w:ascii="宋体" w:hAnsi="宋体" w:eastAsia="宋体"/>
          <w:bCs/>
          <w:sz w:val="24"/>
          <w:szCs w:val="24"/>
          <w:u w:val="single"/>
          <w:lang w:val="en-US" w:eastAsia="zh-CN"/>
        </w:rPr>
        <w:t>15</w:t>
      </w:r>
      <w:r>
        <w:rPr>
          <w:rFonts w:ascii="宋体" w:hAnsi="宋体" w:eastAsia="宋体"/>
          <w:bCs/>
          <w:sz w:val="24"/>
          <w:szCs w:val="24"/>
          <w:u w:val="single"/>
        </w:rPr>
        <w:t>点</w:t>
      </w:r>
      <w:r>
        <w:rPr>
          <w:rFonts w:hint="eastAsia" w:ascii="宋体" w:hAnsi="宋体" w:eastAsia="宋体"/>
          <w:bCs/>
          <w:sz w:val="24"/>
          <w:szCs w:val="24"/>
          <w:u w:val="single"/>
          <w:lang w:val="en-US" w:eastAsia="zh-CN"/>
        </w:rPr>
        <w:t>00</w:t>
      </w:r>
      <w:r>
        <w:rPr>
          <w:rFonts w:ascii="宋体" w:hAnsi="宋体" w:eastAsia="宋体"/>
          <w:bCs/>
          <w:sz w:val="24"/>
          <w:szCs w:val="24"/>
          <w:u w:val="single"/>
        </w:rPr>
        <w:t>分</w:t>
      </w:r>
      <w:r>
        <w:rPr>
          <w:rFonts w:hint="eastAsia" w:ascii="宋体" w:hAnsi="宋体" w:eastAsia="宋体"/>
          <w:bCs/>
          <w:sz w:val="24"/>
          <w:szCs w:val="24"/>
          <w:u w:val="single"/>
        </w:rPr>
        <w:t>（</w:t>
      </w:r>
      <w:r>
        <w:rPr>
          <w:rFonts w:hint="eastAsia" w:ascii="宋体" w:hAnsi="宋体" w:eastAsia="宋体"/>
          <w:bCs/>
          <w:sz w:val="24"/>
          <w:szCs w:val="24"/>
        </w:rPr>
        <w:t>北京时间）前递交响应文件</w:t>
      </w:r>
      <w:r>
        <w:rPr>
          <w:rFonts w:hint="eastAsia" w:ascii="宋体" w:hAnsi="宋体" w:eastAsia="宋体"/>
          <w:sz w:val="24"/>
          <w:szCs w:val="24"/>
        </w:rPr>
        <w:t>。</w:t>
      </w:r>
    </w:p>
    <w:p>
      <w:pPr>
        <w:snapToGrid w:val="0"/>
        <w:spacing w:line="360" w:lineRule="auto"/>
        <w:ind w:firstLine="240" w:firstLineChars="100"/>
        <w:rPr>
          <w:rFonts w:ascii="Times New Roman" w:hAnsi="Times New Roman"/>
          <w:sz w:val="24"/>
          <w:szCs w:val="24"/>
        </w:rPr>
      </w:pPr>
      <w:bookmarkStart w:id="3" w:name="_Toc28359002"/>
      <w:bookmarkStart w:id="4" w:name="_Toc28359079"/>
      <w:bookmarkStart w:id="5" w:name="_Toc35393621"/>
      <w:bookmarkStart w:id="6" w:name="_Toc35393790"/>
      <w:bookmarkStart w:id="7" w:name="_Hlk24379207"/>
    </w:p>
    <w:p>
      <w:pPr>
        <w:spacing w:line="360" w:lineRule="auto"/>
        <w:ind w:firstLine="482" w:firstLineChars="200"/>
        <w:rPr>
          <w:b/>
          <w:bCs/>
          <w:sz w:val="24"/>
          <w:szCs w:val="24"/>
        </w:rPr>
      </w:pPr>
      <w:r>
        <w:rPr>
          <w:rFonts w:hint="eastAsia"/>
          <w:b/>
          <w:bCs/>
          <w:sz w:val="24"/>
          <w:szCs w:val="24"/>
        </w:rPr>
        <w:t>一、项目基本情况</w:t>
      </w:r>
      <w:bookmarkEnd w:id="3"/>
      <w:bookmarkEnd w:id="4"/>
      <w:bookmarkEnd w:id="5"/>
      <w:bookmarkEnd w:id="6"/>
    </w:p>
    <w:p>
      <w:pPr>
        <w:snapToGrid w:val="0"/>
        <w:spacing w:line="360" w:lineRule="auto"/>
        <w:ind w:firstLine="480" w:firstLineChars="200"/>
        <w:rPr>
          <w:rFonts w:asciiTheme="minorEastAsia" w:hAnsiTheme="minorEastAsia"/>
          <w:color w:val="FF0000"/>
          <w:sz w:val="24"/>
          <w:szCs w:val="24"/>
        </w:rPr>
      </w:pPr>
      <w:r>
        <w:rPr>
          <w:rFonts w:hint="eastAsia" w:asciiTheme="minorEastAsia" w:hAnsiTheme="minorEastAsia"/>
          <w:sz w:val="24"/>
          <w:szCs w:val="24"/>
        </w:rPr>
        <w:t>项目编号：CZZCJT2022046</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项目名称：常州市不动产登记交易中心叫号系统改造项目</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采购方式：竞争性谈判</w:t>
      </w:r>
    </w:p>
    <w:bookmarkEnd w:id="7"/>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预算金额：14.66万元</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最高限价：14.66万元</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采购需求：本项目为常州市不动产登记交易中心叫号系统改造项目，</w:t>
      </w:r>
      <w:r>
        <w:rPr>
          <w:rFonts w:ascii="宋体" w:hAnsi="宋体" w:eastAsia="宋体"/>
          <w:color w:val="333333"/>
          <w:kern w:val="0"/>
          <w:sz w:val="24"/>
          <w:szCs w:val="24"/>
        </w:rPr>
        <w:t>详见</w:t>
      </w:r>
      <w:r>
        <w:rPr>
          <w:rFonts w:hint="eastAsia" w:ascii="宋体" w:hAnsi="宋体" w:eastAsia="宋体"/>
          <w:color w:val="333333"/>
          <w:kern w:val="0"/>
          <w:sz w:val="24"/>
          <w:szCs w:val="24"/>
        </w:rPr>
        <w:t>项目技术要求和有关说明</w:t>
      </w:r>
      <w:r>
        <w:rPr>
          <w:rFonts w:ascii="宋体" w:hAnsi="宋体" w:eastAsia="宋体"/>
          <w:color w:val="333333"/>
          <w:kern w:val="0"/>
          <w:sz w:val="24"/>
          <w:szCs w:val="24"/>
        </w:rPr>
        <w:t>。</w:t>
      </w:r>
    </w:p>
    <w:p>
      <w:pPr>
        <w:snapToGrid w:val="0"/>
        <w:spacing w:line="360" w:lineRule="auto"/>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合同履行期限：签定合同后20天内部署并调试完成。签订合同前提供原厂软件系统2年、硬件设备1年质保函原件。</w:t>
      </w:r>
    </w:p>
    <w:p>
      <w:pPr>
        <w:snapToGrid w:val="0"/>
        <w:spacing w:line="360" w:lineRule="auto"/>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本项目</w:t>
      </w:r>
      <w:r>
        <w:rPr>
          <w:rFonts w:hint="eastAsia" w:asciiTheme="minorEastAsia" w:hAnsiTheme="minorEastAsia"/>
          <w:sz w:val="24"/>
          <w:szCs w:val="24"/>
          <w:highlight w:val="none"/>
          <w:u w:val="single"/>
        </w:rPr>
        <w:t xml:space="preserve"> 不接受 </w:t>
      </w:r>
      <w:r>
        <w:rPr>
          <w:rFonts w:hint="eastAsia" w:asciiTheme="minorEastAsia" w:hAnsiTheme="minorEastAsia"/>
          <w:sz w:val="24"/>
          <w:szCs w:val="24"/>
          <w:highlight w:val="none"/>
        </w:rPr>
        <w:t>联合体报价。</w:t>
      </w:r>
    </w:p>
    <w:p>
      <w:pPr>
        <w:spacing w:line="360" w:lineRule="auto"/>
        <w:ind w:firstLine="482" w:firstLineChars="200"/>
        <w:rPr>
          <w:b/>
          <w:bCs/>
          <w:sz w:val="24"/>
          <w:szCs w:val="24"/>
        </w:rPr>
      </w:pPr>
      <w:bookmarkStart w:id="8" w:name="_Toc28359080"/>
      <w:bookmarkStart w:id="9" w:name="_Toc35393622"/>
      <w:bookmarkStart w:id="10" w:name="_Toc35393791"/>
      <w:bookmarkStart w:id="11" w:name="_Toc28359003"/>
      <w:r>
        <w:rPr>
          <w:rFonts w:hint="eastAsia"/>
          <w:b/>
          <w:bCs/>
          <w:sz w:val="24"/>
          <w:szCs w:val="24"/>
        </w:rPr>
        <w:t>二、申请人的资格要求</w:t>
      </w:r>
      <w:bookmarkEnd w:id="8"/>
      <w:bookmarkEnd w:id="9"/>
      <w:bookmarkEnd w:id="10"/>
      <w:bookmarkEnd w:id="11"/>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1.满足《中华人民共和国政府采购法》第二十二条规定；</w:t>
      </w:r>
    </w:p>
    <w:p>
      <w:pPr>
        <w:snapToGrid w:val="0"/>
        <w:spacing w:line="360" w:lineRule="auto"/>
        <w:ind w:firstLine="480" w:firstLineChars="200"/>
        <w:rPr>
          <w:rFonts w:asciiTheme="minorEastAsia" w:hAnsiTheme="minorEastAsia"/>
          <w:sz w:val="24"/>
          <w:szCs w:val="24"/>
        </w:rPr>
      </w:pPr>
      <w:bookmarkStart w:id="12" w:name="_Toc28359081"/>
      <w:bookmarkStart w:id="13" w:name="_Toc28359004"/>
      <w:r>
        <w:rPr>
          <w:rFonts w:hint="eastAsia" w:asciiTheme="minorEastAsia" w:hAnsiTheme="minorEastAsia"/>
          <w:sz w:val="24"/>
          <w:szCs w:val="24"/>
        </w:rPr>
        <w:t>2.落实采购政策需满足的资格要求：无</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3.本项目的特定资格要求：</w:t>
      </w:r>
      <w:bookmarkStart w:id="14" w:name="_Toc35393623"/>
      <w:bookmarkStart w:id="15" w:name="_Toc35393792"/>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（1）未被“信用中国”网站（www.creditchina.gov.cn）或“中国政府采购网”网站（www.ccgp.gov.cn）列入失信被执行人、重大税收违法案件当事人名单、采购严重失信行为记录名单；</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（2）单位负责人为同一人或者存在直接控股、管理关系的不同供应商（包含法定代表人为同一个人的两个及两个以上法人，母公司、全资子公司及其控股公司），不得参加同一合同项下的采购活动。</w:t>
      </w:r>
    </w:p>
    <w:p>
      <w:pPr>
        <w:snapToGrid w:val="0"/>
        <w:spacing w:line="360" w:lineRule="auto"/>
        <w:ind w:firstLine="480" w:firstLineChars="200"/>
        <w:rPr>
          <w:rFonts w:hint="eastAsia" w:asciiTheme="minorEastAsia" w:hAnsiTheme="minorEastAsia" w:eastAsiaTheme="minorEastAsia"/>
          <w:sz w:val="24"/>
          <w:szCs w:val="24"/>
          <w:highlight w:val="none"/>
          <w:lang w:eastAsia="zh-CN"/>
        </w:rPr>
      </w:pPr>
      <w:r>
        <w:rPr>
          <w:rFonts w:hint="eastAsia" w:asciiTheme="minorEastAsia" w:hAnsiTheme="minorEastAsia"/>
          <w:sz w:val="24"/>
          <w:szCs w:val="24"/>
          <w:highlight w:val="none"/>
        </w:rPr>
        <w:t>（3）采购人的其他特定资格要求：</w:t>
      </w:r>
      <w:r>
        <w:rPr>
          <w:rFonts w:hint="eastAsia" w:asciiTheme="minorEastAsia" w:hAnsiTheme="minorEastAsia"/>
          <w:sz w:val="24"/>
          <w:szCs w:val="24"/>
          <w:highlight w:val="none"/>
          <w:lang w:val="en-US" w:eastAsia="zh-CN"/>
        </w:rPr>
        <w:t>无</w:t>
      </w:r>
      <w:r>
        <w:rPr>
          <w:rFonts w:hint="eastAsia" w:asciiTheme="minorEastAsia" w:hAnsiTheme="minorEastAsia"/>
          <w:iCs/>
          <w:sz w:val="24"/>
          <w:szCs w:val="24"/>
          <w:highlight w:val="none"/>
          <w:lang w:eastAsia="zh-CN"/>
        </w:rPr>
        <w:t>。</w:t>
      </w:r>
    </w:p>
    <w:p>
      <w:pPr>
        <w:spacing w:line="360" w:lineRule="auto"/>
        <w:ind w:firstLine="482" w:firstLineChars="200"/>
        <w:rPr>
          <w:b/>
          <w:bCs/>
          <w:sz w:val="24"/>
          <w:szCs w:val="24"/>
        </w:rPr>
      </w:pPr>
      <w:r>
        <w:rPr>
          <w:rFonts w:hint="eastAsia"/>
          <w:b/>
          <w:bCs/>
          <w:sz w:val="24"/>
          <w:szCs w:val="24"/>
        </w:rPr>
        <w:t>三、获取采购文件</w:t>
      </w:r>
      <w:bookmarkEnd w:id="12"/>
      <w:bookmarkEnd w:id="13"/>
      <w:bookmarkEnd w:id="14"/>
      <w:bookmarkEnd w:id="15"/>
    </w:p>
    <w:p>
      <w:pPr>
        <w:spacing w:line="360" w:lineRule="auto"/>
        <w:ind w:firstLine="480" w:firstLineChars="200"/>
        <w:rPr>
          <w:rFonts w:ascii="宋体" w:hAnsi="宋体" w:eastAsia="宋体"/>
          <w:bCs/>
          <w:sz w:val="24"/>
          <w:szCs w:val="24"/>
        </w:rPr>
      </w:pPr>
      <w:bookmarkStart w:id="16" w:name="_Toc28359005"/>
      <w:bookmarkStart w:id="17" w:name="_Toc28359082"/>
      <w:bookmarkStart w:id="18" w:name="_Toc35393624"/>
      <w:bookmarkStart w:id="19" w:name="_Toc35393793"/>
      <w:r>
        <w:rPr>
          <w:rFonts w:hint="eastAsia" w:ascii="宋体" w:hAnsi="宋体" w:eastAsia="宋体"/>
          <w:bCs/>
          <w:sz w:val="24"/>
          <w:szCs w:val="24"/>
        </w:rPr>
        <w:t>1．时间：2022年</w:t>
      </w:r>
      <w:r>
        <w:rPr>
          <w:rFonts w:hint="eastAsia" w:ascii="宋体" w:hAnsi="宋体" w:eastAsia="宋体"/>
          <w:bCs/>
          <w:sz w:val="24"/>
          <w:szCs w:val="24"/>
          <w:lang w:val="en-US" w:eastAsia="zh-CN"/>
        </w:rPr>
        <w:t>10</w:t>
      </w:r>
      <w:r>
        <w:rPr>
          <w:rFonts w:hint="eastAsia" w:ascii="宋体" w:hAnsi="宋体" w:eastAsia="宋体"/>
          <w:bCs/>
          <w:sz w:val="24"/>
          <w:szCs w:val="24"/>
        </w:rPr>
        <w:t>月</w:t>
      </w:r>
      <w:r>
        <w:rPr>
          <w:rFonts w:hint="eastAsia" w:ascii="宋体" w:hAnsi="宋体" w:eastAsia="宋体"/>
          <w:bCs/>
          <w:sz w:val="24"/>
          <w:szCs w:val="24"/>
          <w:lang w:val="en-US" w:eastAsia="zh-CN"/>
        </w:rPr>
        <w:t>14</w:t>
      </w:r>
      <w:r>
        <w:rPr>
          <w:rFonts w:hint="eastAsia" w:ascii="宋体" w:hAnsi="宋体" w:eastAsia="宋体"/>
          <w:bCs/>
          <w:sz w:val="24"/>
          <w:szCs w:val="24"/>
          <w:highlight w:val="none"/>
        </w:rPr>
        <w:t>日</w:t>
      </w:r>
      <w:r>
        <w:rPr>
          <w:rFonts w:hint="eastAsia" w:ascii="宋体" w:hAnsi="宋体" w:eastAsia="宋体"/>
          <w:bCs/>
          <w:sz w:val="24"/>
          <w:szCs w:val="24"/>
        </w:rPr>
        <w:t>至2022年</w:t>
      </w:r>
      <w:r>
        <w:rPr>
          <w:rFonts w:hint="eastAsia" w:ascii="宋体" w:hAnsi="宋体" w:eastAsia="宋体"/>
          <w:bCs/>
          <w:sz w:val="24"/>
          <w:szCs w:val="24"/>
          <w:lang w:val="en-US" w:eastAsia="zh-CN"/>
        </w:rPr>
        <w:t>10</w:t>
      </w:r>
      <w:r>
        <w:rPr>
          <w:rFonts w:hint="eastAsia" w:ascii="宋体" w:hAnsi="宋体" w:eastAsia="宋体"/>
          <w:bCs/>
          <w:sz w:val="24"/>
          <w:szCs w:val="24"/>
        </w:rPr>
        <w:t>月</w:t>
      </w:r>
      <w:r>
        <w:rPr>
          <w:rFonts w:hint="eastAsia" w:ascii="宋体" w:hAnsi="宋体" w:eastAsia="宋体"/>
          <w:bCs/>
          <w:sz w:val="24"/>
          <w:szCs w:val="24"/>
          <w:highlight w:val="none"/>
          <w:lang w:val="en-US" w:eastAsia="zh-CN"/>
        </w:rPr>
        <w:t>19</w:t>
      </w:r>
      <w:r>
        <w:rPr>
          <w:rFonts w:hint="eastAsia" w:ascii="宋体" w:hAnsi="宋体" w:eastAsia="宋体"/>
          <w:bCs/>
          <w:sz w:val="24"/>
          <w:szCs w:val="24"/>
          <w:highlight w:val="none"/>
        </w:rPr>
        <w:t>日</w:t>
      </w:r>
      <w:r>
        <w:rPr>
          <w:rFonts w:hint="eastAsia" w:ascii="宋体" w:hAnsi="宋体" w:eastAsia="宋体"/>
          <w:bCs/>
          <w:sz w:val="24"/>
          <w:szCs w:val="24"/>
        </w:rPr>
        <w:t>，正常工作日上午8:30至11:30，下午13:00至17:00（北京时间，周末、法定节假日除外）。</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2．地点：常州市钟楼区玉龙南路280号常州大数据产业园2号楼19楼1903室常州中采招投标有限公司。</w:t>
      </w:r>
    </w:p>
    <w:p>
      <w:pPr>
        <w:spacing w:line="360" w:lineRule="auto"/>
        <w:ind w:firstLine="480" w:firstLineChars="200"/>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．领购时须提供以下材料：</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（1）《投标报名申请表》原件一份（</w:t>
      </w:r>
      <w:r>
        <w:rPr>
          <w:rFonts w:hint="eastAsia" w:ascii="宋体" w:hAnsi="宋体" w:eastAsia="宋体"/>
          <w:b/>
          <w:bCs/>
          <w:sz w:val="24"/>
          <w:szCs w:val="24"/>
        </w:rPr>
        <w:t>格式见附件</w:t>
      </w:r>
      <w:r>
        <w:rPr>
          <w:rFonts w:hint="eastAsia" w:ascii="宋体" w:hAnsi="宋体" w:eastAsia="宋体"/>
          <w:bCs/>
          <w:sz w:val="24"/>
          <w:szCs w:val="24"/>
        </w:rPr>
        <w:t>）；</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（2）提供有效企业法人营业执照复印件加盖公章；</w:t>
      </w:r>
    </w:p>
    <w:p>
      <w:pPr>
        <w:spacing w:line="360" w:lineRule="auto"/>
        <w:ind w:firstLine="480" w:firstLineChars="200"/>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．方式：（供应商可采取以下任一种方式获取采购文件）。</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（1）现场领购：提供领购资料至常州大数据产业园2号楼19楼1903室常州中采招投标有限公司办理。</w:t>
      </w:r>
    </w:p>
    <w:p>
      <w:pPr>
        <w:adjustRightInd w:val="0"/>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（2）网络领购：若无法现金交纳，请联系</w:t>
      </w:r>
      <w:r>
        <w:rPr>
          <w:rFonts w:hint="eastAsia" w:ascii="宋体" w:hAnsi="宋体" w:eastAsia="宋体"/>
          <w:bCs/>
          <w:sz w:val="24"/>
          <w:szCs w:val="24"/>
          <w:lang w:val="en-US" w:eastAsia="zh-CN"/>
        </w:rPr>
        <w:t>姚</w:t>
      </w:r>
      <w:r>
        <w:rPr>
          <w:rFonts w:hint="eastAsia" w:ascii="宋体" w:hAnsi="宋体" w:eastAsia="宋体"/>
          <w:bCs/>
          <w:sz w:val="24"/>
          <w:szCs w:val="24"/>
        </w:rPr>
        <w:t>女士，电话：0519-86661066。交纳成功后，将符合要求的领购资料扫描件和报名费交纳凭证一并发送至邮箱：</w:t>
      </w:r>
      <w:r>
        <w:rPr>
          <w:rFonts w:ascii="宋体" w:hAnsi="宋体" w:eastAsia="宋体"/>
          <w:bCs/>
          <w:sz w:val="24"/>
          <w:szCs w:val="24"/>
        </w:rPr>
        <w:t>czzczb@126.com</w:t>
      </w:r>
      <w:r>
        <w:rPr>
          <w:rFonts w:hint="eastAsia" w:ascii="宋体" w:hAnsi="宋体" w:eastAsia="宋体"/>
          <w:bCs/>
          <w:sz w:val="24"/>
          <w:szCs w:val="24"/>
        </w:rPr>
        <w:t>。</w:t>
      </w:r>
    </w:p>
    <w:p>
      <w:pPr>
        <w:snapToGrid w:val="0"/>
        <w:spacing w:line="360" w:lineRule="auto"/>
        <w:ind w:firstLine="480" w:firstLineChars="200"/>
        <w:rPr>
          <w:rFonts w:ascii="宋体" w:hAnsi="宋体" w:eastAsia="宋体"/>
          <w:sz w:val="24"/>
          <w:szCs w:val="24"/>
        </w:rPr>
      </w:pPr>
      <w:r>
        <w:rPr>
          <w:rFonts w:hint="eastAsia" w:ascii="宋体" w:hAnsi="宋体" w:eastAsia="宋体"/>
          <w:bCs/>
          <w:sz w:val="24"/>
          <w:szCs w:val="24"/>
        </w:rPr>
        <w:t>5</w:t>
      </w:r>
      <w:r>
        <w:rPr>
          <w:rFonts w:ascii="宋体" w:hAnsi="宋体" w:eastAsia="宋体"/>
          <w:bCs/>
          <w:sz w:val="24"/>
          <w:szCs w:val="24"/>
        </w:rPr>
        <w:t>.</w:t>
      </w:r>
      <w:r>
        <w:rPr>
          <w:rFonts w:hint="eastAsia" w:ascii="宋体" w:hAnsi="宋体" w:eastAsia="宋体"/>
          <w:bCs/>
          <w:sz w:val="24"/>
          <w:szCs w:val="24"/>
        </w:rPr>
        <w:t xml:space="preserve"> 售价：人民币伍佰元整(现金交纳或以公司指定方式支付)，采购文件售后一概不退。</w:t>
      </w:r>
    </w:p>
    <w:p>
      <w:pPr>
        <w:spacing w:line="360" w:lineRule="auto"/>
        <w:ind w:firstLine="482" w:firstLineChars="200"/>
        <w:rPr>
          <w:b/>
          <w:bCs/>
          <w:sz w:val="24"/>
          <w:szCs w:val="24"/>
        </w:rPr>
      </w:pPr>
      <w:r>
        <w:rPr>
          <w:rFonts w:hint="eastAsia"/>
          <w:b/>
          <w:bCs/>
          <w:sz w:val="24"/>
          <w:szCs w:val="24"/>
        </w:rPr>
        <w:t>四、提交响应文件</w:t>
      </w:r>
      <w:bookmarkEnd w:id="16"/>
      <w:bookmarkEnd w:id="17"/>
      <w:r>
        <w:rPr>
          <w:rFonts w:hint="eastAsia"/>
          <w:b/>
          <w:bCs/>
          <w:sz w:val="24"/>
          <w:szCs w:val="24"/>
        </w:rPr>
        <w:t>截止时间、地点</w:t>
      </w:r>
      <w:bookmarkEnd w:id="18"/>
      <w:bookmarkEnd w:id="19"/>
    </w:p>
    <w:p>
      <w:pPr>
        <w:snapToGrid w:val="0"/>
        <w:spacing w:line="360" w:lineRule="auto"/>
        <w:ind w:firstLine="480" w:firstLineChars="200"/>
        <w:rPr>
          <w:rFonts w:ascii="黑体" w:hAnsi="黑体" w:eastAsia="黑体"/>
          <w:sz w:val="24"/>
          <w:szCs w:val="24"/>
        </w:rPr>
      </w:pPr>
      <w:r>
        <w:rPr>
          <w:rFonts w:hint="eastAsia" w:ascii="宋体" w:hAnsi="宋体" w:eastAsia="宋体"/>
          <w:sz w:val="24"/>
          <w:szCs w:val="24"/>
        </w:rPr>
        <w:t>截止时间：</w:t>
      </w:r>
      <w:r>
        <w:rPr>
          <w:rFonts w:ascii="宋体" w:hAnsi="宋体" w:eastAsia="宋体"/>
          <w:bCs/>
          <w:sz w:val="24"/>
          <w:szCs w:val="24"/>
          <w:u w:val="single"/>
        </w:rPr>
        <w:t>20</w:t>
      </w:r>
      <w:r>
        <w:rPr>
          <w:rFonts w:hint="eastAsia" w:ascii="宋体" w:hAnsi="宋体" w:eastAsia="宋体"/>
          <w:bCs/>
          <w:sz w:val="24"/>
          <w:szCs w:val="24"/>
          <w:u w:val="single"/>
        </w:rPr>
        <w:t>22</w:t>
      </w:r>
      <w:r>
        <w:rPr>
          <w:rFonts w:ascii="宋体" w:hAnsi="宋体" w:eastAsia="宋体"/>
          <w:bCs/>
          <w:sz w:val="24"/>
          <w:szCs w:val="24"/>
          <w:u w:val="single"/>
        </w:rPr>
        <w:t>年</w:t>
      </w:r>
      <w:r>
        <w:rPr>
          <w:rFonts w:hint="eastAsia" w:ascii="宋体" w:hAnsi="宋体" w:eastAsia="宋体"/>
          <w:bCs/>
          <w:sz w:val="24"/>
          <w:szCs w:val="24"/>
          <w:u w:val="single"/>
          <w:lang w:val="en-US" w:eastAsia="zh-CN"/>
        </w:rPr>
        <w:t>10</w:t>
      </w:r>
      <w:r>
        <w:rPr>
          <w:rFonts w:ascii="宋体" w:hAnsi="宋体" w:eastAsia="宋体"/>
          <w:bCs/>
          <w:sz w:val="24"/>
          <w:szCs w:val="24"/>
          <w:highlight w:val="none"/>
          <w:u w:val="single"/>
        </w:rPr>
        <w:t>月</w:t>
      </w:r>
      <w:r>
        <w:rPr>
          <w:rFonts w:hint="eastAsia" w:ascii="宋体" w:hAnsi="宋体" w:eastAsia="宋体"/>
          <w:bCs/>
          <w:sz w:val="24"/>
          <w:szCs w:val="24"/>
          <w:highlight w:val="none"/>
          <w:u w:val="single"/>
          <w:lang w:val="en-US" w:eastAsia="zh-CN"/>
        </w:rPr>
        <w:t>20</w:t>
      </w:r>
      <w:r>
        <w:rPr>
          <w:rFonts w:ascii="宋体" w:hAnsi="宋体" w:eastAsia="宋体"/>
          <w:bCs/>
          <w:sz w:val="24"/>
          <w:szCs w:val="24"/>
          <w:highlight w:val="none"/>
          <w:u w:val="single"/>
        </w:rPr>
        <w:t>日</w:t>
      </w:r>
      <w:r>
        <w:rPr>
          <w:rFonts w:hint="eastAsia" w:ascii="宋体" w:hAnsi="宋体" w:eastAsia="宋体"/>
          <w:bCs/>
          <w:sz w:val="24"/>
          <w:szCs w:val="24"/>
          <w:highlight w:val="none"/>
          <w:u w:val="single"/>
          <w:lang w:val="en-US" w:eastAsia="zh-CN"/>
        </w:rPr>
        <w:t>15</w:t>
      </w:r>
      <w:r>
        <w:rPr>
          <w:rFonts w:ascii="宋体" w:hAnsi="宋体" w:eastAsia="宋体"/>
          <w:bCs/>
          <w:sz w:val="24"/>
          <w:szCs w:val="24"/>
          <w:highlight w:val="none"/>
          <w:u w:val="single"/>
        </w:rPr>
        <w:t>点</w:t>
      </w:r>
      <w:r>
        <w:rPr>
          <w:rFonts w:hint="eastAsia" w:ascii="宋体" w:hAnsi="宋体" w:eastAsia="宋体"/>
          <w:bCs/>
          <w:sz w:val="24"/>
          <w:szCs w:val="24"/>
          <w:highlight w:val="none"/>
          <w:u w:val="single"/>
          <w:lang w:val="en-US" w:eastAsia="zh-CN"/>
        </w:rPr>
        <w:t>00</w:t>
      </w:r>
      <w:r>
        <w:rPr>
          <w:rFonts w:ascii="宋体" w:hAnsi="宋体" w:eastAsia="宋体"/>
          <w:bCs/>
          <w:sz w:val="24"/>
          <w:szCs w:val="24"/>
          <w:highlight w:val="none"/>
          <w:u w:val="single"/>
        </w:rPr>
        <w:t>分</w:t>
      </w:r>
      <w:r>
        <w:rPr>
          <w:rFonts w:hint="eastAsia" w:ascii="宋体" w:hAnsi="宋体" w:eastAsia="宋体"/>
          <w:bCs/>
          <w:sz w:val="24"/>
          <w:szCs w:val="24"/>
          <w:highlight w:val="none"/>
        </w:rPr>
        <w:t>（北京</w:t>
      </w:r>
      <w:r>
        <w:rPr>
          <w:rFonts w:hint="eastAsia" w:ascii="宋体" w:hAnsi="宋体" w:eastAsia="宋体"/>
          <w:bCs/>
          <w:sz w:val="24"/>
          <w:szCs w:val="24"/>
        </w:rPr>
        <w:t>时间）</w:t>
      </w:r>
    </w:p>
    <w:p>
      <w:pPr>
        <w:snapToGrid w:val="0"/>
        <w:spacing w:line="360" w:lineRule="auto"/>
        <w:ind w:firstLine="480" w:firstLineChars="200"/>
        <w:rPr>
          <w:rFonts w:ascii="宋体" w:hAnsi="宋体" w:eastAsia="宋体"/>
          <w:bCs/>
          <w:sz w:val="24"/>
          <w:szCs w:val="24"/>
        </w:rPr>
      </w:pPr>
      <w:r>
        <w:rPr>
          <w:rFonts w:hint="eastAsia" w:ascii="宋体" w:hAnsi="宋体" w:eastAsia="宋体"/>
          <w:sz w:val="24"/>
          <w:szCs w:val="24"/>
        </w:rPr>
        <w:t>地点：</w:t>
      </w:r>
      <w:r>
        <w:rPr>
          <w:rFonts w:hint="eastAsia" w:ascii="宋体" w:hAnsi="宋体" w:eastAsia="宋体"/>
          <w:bCs/>
          <w:sz w:val="24"/>
          <w:szCs w:val="24"/>
        </w:rPr>
        <w:t xml:space="preserve">钟楼区玉龙南路280号常州大数据产业园2号楼19楼常州市市场资源交易服务中心（平台）1905 开标室。               </w:t>
      </w:r>
    </w:p>
    <w:p>
      <w:pPr>
        <w:spacing w:line="360" w:lineRule="auto"/>
        <w:ind w:firstLine="482" w:firstLineChars="200"/>
        <w:rPr>
          <w:b/>
          <w:bCs/>
          <w:sz w:val="24"/>
          <w:szCs w:val="24"/>
        </w:rPr>
      </w:pPr>
      <w:bookmarkStart w:id="20" w:name="_Toc28359075"/>
      <w:bookmarkStart w:id="21" w:name="_Toc35393786"/>
      <w:bookmarkStart w:id="22" w:name="_Toc28358998"/>
      <w:bookmarkStart w:id="23" w:name="_Toc35393617"/>
      <w:r>
        <w:rPr>
          <w:rFonts w:hint="eastAsia"/>
          <w:b/>
          <w:bCs/>
          <w:sz w:val="24"/>
          <w:szCs w:val="24"/>
        </w:rPr>
        <w:t>五、开启</w:t>
      </w:r>
    </w:p>
    <w:p>
      <w:pPr>
        <w:snapToGrid w:val="0"/>
        <w:spacing w:line="360" w:lineRule="auto"/>
        <w:ind w:firstLine="480" w:firstLineChars="200"/>
        <w:rPr>
          <w:rFonts w:ascii="黑体" w:hAnsi="黑体" w:eastAsia="黑体"/>
          <w:sz w:val="24"/>
          <w:szCs w:val="24"/>
        </w:rPr>
      </w:pPr>
      <w:r>
        <w:rPr>
          <w:rFonts w:hint="eastAsia" w:ascii="宋体" w:hAnsi="宋体" w:eastAsia="宋体"/>
          <w:sz w:val="24"/>
          <w:szCs w:val="24"/>
        </w:rPr>
        <w:t>截止时间：</w:t>
      </w:r>
      <w:r>
        <w:rPr>
          <w:rFonts w:hint="eastAsia" w:ascii="宋体" w:hAnsi="宋体" w:eastAsia="宋体"/>
          <w:bCs/>
          <w:sz w:val="24"/>
          <w:szCs w:val="24"/>
          <w:u w:val="single"/>
        </w:rPr>
        <w:t>2022年10月20日15点00分</w:t>
      </w:r>
      <w:r>
        <w:rPr>
          <w:rFonts w:hint="eastAsia" w:ascii="宋体" w:hAnsi="宋体" w:eastAsia="宋体"/>
          <w:bCs/>
          <w:sz w:val="24"/>
          <w:szCs w:val="24"/>
          <w:highlight w:val="none"/>
        </w:rPr>
        <w:t>（北</w:t>
      </w:r>
      <w:r>
        <w:rPr>
          <w:rFonts w:hint="eastAsia" w:ascii="宋体" w:hAnsi="宋体" w:eastAsia="宋体"/>
          <w:bCs/>
          <w:sz w:val="24"/>
          <w:szCs w:val="24"/>
        </w:rPr>
        <w:t>京时间）</w:t>
      </w:r>
    </w:p>
    <w:p>
      <w:pPr>
        <w:snapToGrid w:val="0"/>
        <w:spacing w:line="360" w:lineRule="auto"/>
        <w:ind w:firstLine="480" w:firstLineChars="200"/>
        <w:rPr>
          <w:rFonts w:ascii="宋体" w:hAnsi="宋体" w:eastAsia="宋体"/>
          <w:bCs/>
          <w:color w:val="FF0000"/>
          <w:sz w:val="24"/>
          <w:szCs w:val="24"/>
        </w:rPr>
      </w:pPr>
      <w:r>
        <w:rPr>
          <w:rFonts w:hint="eastAsia" w:ascii="宋体" w:hAnsi="宋体" w:eastAsia="宋体"/>
          <w:sz w:val="24"/>
          <w:szCs w:val="24"/>
        </w:rPr>
        <w:t>地点：</w:t>
      </w:r>
      <w:r>
        <w:rPr>
          <w:rFonts w:hint="eastAsia" w:ascii="宋体" w:hAnsi="宋体" w:eastAsia="宋体"/>
          <w:bCs/>
          <w:sz w:val="24"/>
          <w:szCs w:val="24"/>
        </w:rPr>
        <w:t xml:space="preserve">钟楼区玉龙南路280号常州大数据产业园2号楼19楼常州市市场资源交易服务中心（平台）1905 开标室。    </w:t>
      </w:r>
      <w:r>
        <w:rPr>
          <w:rFonts w:hint="eastAsia" w:ascii="宋体" w:hAnsi="宋体" w:eastAsia="宋体"/>
          <w:bCs/>
          <w:color w:val="FF0000"/>
          <w:sz w:val="24"/>
          <w:szCs w:val="24"/>
        </w:rPr>
        <w:t xml:space="preserve">         </w:t>
      </w:r>
    </w:p>
    <w:p>
      <w:pPr>
        <w:spacing w:line="360" w:lineRule="auto"/>
        <w:ind w:firstLine="482" w:firstLineChars="200"/>
        <w:rPr>
          <w:b/>
          <w:bCs/>
          <w:sz w:val="24"/>
          <w:szCs w:val="24"/>
        </w:rPr>
      </w:pPr>
      <w:bookmarkStart w:id="24" w:name="_Toc35393625"/>
      <w:bookmarkStart w:id="25" w:name="_Toc28359007"/>
      <w:bookmarkStart w:id="26" w:name="_Toc35393794"/>
      <w:bookmarkStart w:id="27" w:name="_Toc28359084"/>
      <w:r>
        <w:rPr>
          <w:rFonts w:hint="eastAsia"/>
          <w:b/>
          <w:bCs/>
          <w:sz w:val="24"/>
          <w:szCs w:val="24"/>
        </w:rPr>
        <w:t>六、公告期限</w:t>
      </w:r>
      <w:bookmarkEnd w:id="24"/>
      <w:bookmarkEnd w:id="25"/>
      <w:bookmarkEnd w:id="26"/>
      <w:bookmarkEnd w:id="27"/>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自本公告发布之日起3个工作日。   </w:t>
      </w:r>
    </w:p>
    <w:p>
      <w:pPr>
        <w:spacing w:line="360" w:lineRule="auto"/>
        <w:ind w:firstLine="482" w:firstLineChars="200"/>
        <w:rPr>
          <w:b/>
          <w:bCs/>
          <w:sz w:val="24"/>
          <w:szCs w:val="24"/>
        </w:rPr>
      </w:pPr>
      <w:bookmarkStart w:id="28" w:name="_Toc35393795"/>
      <w:bookmarkStart w:id="29" w:name="_Toc35393626"/>
      <w:r>
        <w:rPr>
          <w:rFonts w:hint="eastAsia"/>
          <w:b/>
          <w:bCs/>
          <w:sz w:val="24"/>
          <w:szCs w:val="24"/>
        </w:rPr>
        <w:t>七、其他补充事宜</w:t>
      </w:r>
      <w:bookmarkEnd w:id="28"/>
      <w:bookmarkEnd w:id="29"/>
    </w:p>
    <w:p>
      <w:pPr>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1.</w:t>
      </w:r>
      <w:r>
        <w:rPr>
          <w:rFonts w:hint="eastAsia" w:cs="宋体" w:asciiTheme="minorEastAsia" w:hAnsiTheme="minorEastAsia"/>
          <w:sz w:val="24"/>
          <w:szCs w:val="24"/>
          <w:highlight w:val="none"/>
        </w:rPr>
        <w:t xml:space="preserve"> 现场踏勘：供应商自行踏勘现场。</w:t>
      </w:r>
    </w:p>
    <w:p>
      <w:pPr>
        <w:snapToGrid w:val="0"/>
        <w:spacing w:line="360" w:lineRule="auto"/>
        <w:ind w:firstLine="480" w:firstLineChars="200"/>
        <w:rPr>
          <w:rFonts w:asciiTheme="minorEastAsia" w:hAnsiTheme="minorEastAsia"/>
          <w:sz w:val="24"/>
          <w:szCs w:val="24"/>
        </w:rPr>
      </w:pPr>
      <w:r>
        <w:rPr>
          <w:rFonts w:hint="eastAsia" w:cs="宋体" w:asciiTheme="minorEastAsia" w:hAnsiTheme="minorEastAsia"/>
          <w:sz w:val="24"/>
          <w:szCs w:val="24"/>
        </w:rPr>
        <w:t>2.</w:t>
      </w:r>
      <w:r>
        <w:rPr>
          <w:rFonts w:hint="eastAsia" w:asciiTheme="minorEastAsia" w:hAnsiTheme="minorEastAsia"/>
          <w:sz w:val="24"/>
          <w:szCs w:val="24"/>
        </w:rPr>
        <w:t xml:space="preserve"> 投标保证金：无。</w:t>
      </w:r>
    </w:p>
    <w:p>
      <w:pPr>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3．有关本次采购项目的事项若存在变动或修改，采购代理机构将通过补充或更正形式在网站上发布，因未能及时了解相关最新信息所引起的投标失误责任由供应商自负。</w:t>
      </w:r>
    </w:p>
    <w:p>
      <w:pPr>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4. 疫情防控措施</w:t>
      </w:r>
    </w:p>
    <w:p>
      <w:pPr>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（1）对于参与开评标活动的投标人、采购人授权代表，应如实填报《疫情期间参与采购活动开评标人员健康信息登记表》</w:t>
      </w:r>
      <w:r>
        <w:rPr>
          <w:rFonts w:hint="eastAsia" w:cs="宋体" w:asciiTheme="minorEastAsia" w:hAnsiTheme="minorEastAsia"/>
          <w:b/>
          <w:sz w:val="24"/>
          <w:szCs w:val="24"/>
        </w:rPr>
        <w:t>（格式见附件）</w:t>
      </w:r>
      <w:r>
        <w:rPr>
          <w:rFonts w:hint="eastAsia" w:cs="宋体" w:asciiTheme="minorEastAsia" w:hAnsiTheme="minorEastAsia"/>
          <w:sz w:val="24"/>
          <w:szCs w:val="24"/>
        </w:rPr>
        <w:t>并加盖单位公章。请凭《疫情期间参与采购活动开评标人员健康信息登记表》和本人身份证原件方能到指定开评标场所。各投标人委派人数不得超过2人，除投标人授权代表外，其他人员原则上不得进入开评标场所。</w:t>
      </w:r>
    </w:p>
    <w:p>
      <w:pPr>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2）对于参与评标活动的评审专家，在进入公司时，请主动出示当日参与项目评审项目手机短信进入指定场所。进入评标场所前，须如实填写《疫情期间参与采购活动开评标人员健康信息登记表》。对有疫情接触史及身体发烧等症状的评标专家不得应答专家随机抽取短信而参加评标活动。</w:t>
      </w:r>
    </w:p>
    <w:p>
      <w:pPr>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3）进入采购代理机构办公场所前，凡是参与采购活动的相关人员必须戴口罩并出示“苏康码”，接受本项目采购代理机构的“测温＋扫码”并登记，“苏康码”验证结果为红色或体温≥37.3℃的，严禁进场。应当严格按照疫情期间管理要求，预留进场核验时间，自觉服从采购人、采购代理机构现场安排，进场后请保持安全距离，分散等候，自觉遵守会场纪律。其他事项按照《江苏省财政厅关于做好疫情防控期间开展政府采购活动有关工作的通知》（苏财购〔2020〕13号）执行。</w:t>
      </w:r>
    </w:p>
    <w:p>
      <w:pPr>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（4）因防控工作需要，给采购当事人带来诸多不便，还望多多理解和予以配合。</w:t>
      </w:r>
    </w:p>
    <w:p>
      <w:pPr>
        <w:spacing w:line="360" w:lineRule="auto"/>
        <w:ind w:firstLine="482" w:firstLineChars="200"/>
        <w:rPr>
          <w:b/>
          <w:bCs/>
          <w:sz w:val="24"/>
          <w:szCs w:val="24"/>
        </w:rPr>
      </w:pPr>
      <w:bookmarkStart w:id="30" w:name="_Toc28359008"/>
      <w:bookmarkStart w:id="31" w:name="_Toc35393796"/>
      <w:bookmarkStart w:id="32" w:name="_Toc28359085"/>
      <w:bookmarkStart w:id="33" w:name="_Toc35393627"/>
      <w:r>
        <w:rPr>
          <w:rFonts w:hint="eastAsia"/>
          <w:b/>
          <w:bCs/>
          <w:sz w:val="24"/>
          <w:szCs w:val="24"/>
        </w:rPr>
        <w:t>八、对本次采购提出询问，请按以下方式联系。</w:t>
      </w:r>
      <w:bookmarkEnd w:id="30"/>
      <w:bookmarkEnd w:id="31"/>
      <w:bookmarkEnd w:id="32"/>
      <w:bookmarkEnd w:id="33"/>
    </w:p>
    <w:bookmarkEnd w:id="20"/>
    <w:bookmarkEnd w:id="21"/>
    <w:bookmarkEnd w:id="22"/>
    <w:bookmarkEnd w:id="23"/>
    <w:p>
      <w:pPr>
        <w:snapToGrid w:val="0"/>
        <w:spacing w:line="360" w:lineRule="auto"/>
        <w:ind w:firstLine="480" w:firstLineChars="200"/>
        <w:rPr>
          <w:rFonts w:cs="宋体" w:asciiTheme="minorEastAsia" w:hAnsiTheme="minorEastAsia"/>
          <w:sz w:val="24"/>
          <w:szCs w:val="24"/>
        </w:rPr>
      </w:pPr>
      <w:bookmarkStart w:id="34" w:name="_Toc55147046"/>
      <w:r>
        <w:rPr>
          <w:rFonts w:hint="eastAsia" w:cs="宋体" w:asciiTheme="minorEastAsia" w:hAnsiTheme="minorEastAsia"/>
          <w:sz w:val="24"/>
          <w:szCs w:val="24"/>
        </w:rPr>
        <w:t>1.采购人信息</w:t>
      </w:r>
    </w:p>
    <w:p>
      <w:pPr>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名    称：常州市不动产登记交易中心</w:t>
      </w:r>
    </w:p>
    <w:p>
      <w:pPr>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地    址：常州市锦绣路2号</w:t>
      </w:r>
    </w:p>
    <w:p>
      <w:pPr>
        <w:widowControl/>
        <w:snapToGrid w:val="0"/>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联系方式：陶先生0519-88127697</w:t>
      </w:r>
    </w:p>
    <w:p>
      <w:pPr>
        <w:widowControl/>
        <w:snapToGrid w:val="0"/>
        <w:spacing w:line="360" w:lineRule="auto"/>
        <w:ind w:firstLine="480" w:firstLineChars="200"/>
        <w:jc w:val="left"/>
        <w:rPr>
          <w:rFonts w:cs="宋体" w:asciiTheme="minorEastAsia" w:hAnsiTheme="minorEastAsia"/>
          <w:sz w:val="24"/>
          <w:szCs w:val="24"/>
        </w:rPr>
      </w:pPr>
      <w:bookmarkStart w:id="35" w:name="_Toc28359076"/>
      <w:bookmarkStart w:id="36" w:name="_Toc35393618"/>
      <w:bookmarkStart w:id="37" w:name="_Toc28358999"/>
      <w:bookmarkStart w:id="38" w:name="_Toc35393787"/>
    </w:p>
    <w:p>
      <w:pPr>
        <w:widowControl/>
        <w:snapToGrid w:val="0"/>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2.</w:t>
      </w:r>
      <w:bookmarkEnd w:id="35"/>
      <w:bookmarkEnd w:id="36"/>
      <w:bookmarkEnd w:id="37"/>
      <w:bookmarkEnd w:id="38"/>
      <w:bookmarkStart w:id="39" w:name="_Toc35393788"/>
      <w:bookmarkStart w:id="40" w:name="_Toc28359077"/>
      <w:bookmarkStart w:id="41" w:name="_Toc28359000"/>
      <w:bookmarkStart w:id="42" w:name="_Toc35393619"/>
      <w:r>
        <w:rPr>
          <w:rFonts w:hint="eastAsia"/>
        </w:rPr>
        <w:t xml:space="preserve"> </w:t>
      </w:r>
      <w:r>
        <w:rPr>
          <w:rFonts w:hint="eastAsia" w:cs="宋体" w:asciiTheme="minorEastAsia" w:hAnsiTheme="minorEastAsia"/>
          <w:sz w:val="24"/>
          <w:szCs w:val="24"/>
        </w:rPr>
        <w:t>采购代理机构信息</w:t>
      </w:r>
    </w:p>
    <w:p>
      <w:pPr>
        <w:widowControl/>
        <w:snapToGrid w:val="0"/>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名   称：常州中采招投标有限公司</w:t>
      </w:r>
    </w:p>
    <w:p>
      <w:pPr>
        <w:widowControl/>
        <w:snapToGrid w:val="0"/>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地   址：钟楼区玉龙南路280号常州大数据产业园2号楼19楼1903室</w:t>
      </w:r>
    </w:p>
    <w:p>
      <w:pPr>
        <w:widowControl/>
        <w:snapToGrid w:val="0"/>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联系方式：0519-8666106</w:t>
      </w:r>
      <w:bookmarkEnd w:id="39"/>
      <w:bookmarkEnd w:id="40"/>
      <w:bookmarkEnd w:id="41"/>
      <w:bookmarkEnd w:id="42"/>
      <w:r>
        <w:rPr>
          <w:rFonts w:hint="eastAsia" w:cs="宋体" w:asciiTheme="minorEastAsia" w:hAnsiTheme="minorEastAsia"/>
          <w:sz w:val="24"/>
          <w:szCs w:val="24"/>
        </w:rPr>
        <w:t>6</w:t>
      </w:r>
    </w:p>
    <w:p>
      <w:pPr>
        <w:widowControl/>
        <w:snapToGrid w:val="0"/>
        <w:spacing w:line="360" w:lineRule="auto"/>
        <w:ind w:firstLine="480" w:firstLineChars="200"/>
        <w:jc w:val="left"/>
        <w:rPr>
          <w:rFonts w:cs="宋体" w:asciiTheme="minorEastAsia" w:hAnsiTheme="minorEastAsia"/>
          <w:sz w:val="24"/>
          <w:szCs w:val="24"/>
        </w:rPr>
      </w:pPr>
    </w:p>
    <w:p>
      <w:pPr>
        <w:widowControl/>
        <w:snapToGrid w:val="0"/>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3.项目联系方式</w:t>
      </w:r>
    </w:p>
    <w:p>
      <w:pPr>
        <w:widowControl/>
        <w:snapToGrid w:val="0"/>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项目联系人：董女士</w:t>
      </w:r>
    </w:p>
    <w:p>
      <w:pPr>
        <w:widowControl/>
        <w:snapToGrid w:val="0"/>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电      话：0519-86661066</w:t>
      </w:r>
    </w:p>
    <w:p>
      <w:pPr>
        <w:pStyle w:val="121"/>
      </w:pPr>
      <w:bookmarkStart w:id="43" w:name="_Toc29163"/>
      <w:r>
        <w:rPr>
          <w:rFonts w:hint="eastAsia"/>
        </w:rPr>
        <w:t>二．供应商须知</w:t>
      </w:r>
      <w:bookmarkEnd w:id="34"/>
      <w:bookmarkEnd w:id="43"/>
    </w:p>
    <w:p>
      <w:pPr>
        <w:spacing w:line="360" w:lineRule="auto"/>
        <w:ind w:firstLine="482" w:firstLineChars="200"/>
        <w:rPr>
          <w:b/>
          <w:bCs/>
          <w:sz w:val="24"/>
          <w:szCs w:val="24"/>
        </w:rPr>
      </w:pPr>
      <w:r>
        <w:rPr>
          <w:rFonts w:hint="eastAsia"/>
          <w:b/>
          <w:bCs/>
          <w:sz w:val="24"/>
          <w:szCs w:val="24"/>
        </w:rPr>
        <w:t>一、遵循原则</w:t>
      </w:r>
    </w:p>
    <w:p>
      <w:pPr>
        <w:spacing w:line="360" w:lineRule="auto"/>
        <w:ind w:firstLine="480" w:firstLineChars="200"/>
        <w:rPr>
          <w:rFonts w:ascii="黑体" w:hAnsi="宋体" w:eastAsia="黑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公开透明原则、公平竞争原则、公正原则和诚实信用原则。</w:t>
      </w:r>
    </w:p>
    <w:p>
      <w:pPr>
        <w:spacing w:line="360" w:lineRule="auto"/>
        <w:ind w:firstLine="482" w:firstLineChars="200"/>
        <w:rPr>
          <w:b/>
          <w:bCs/>
          <w:sz w:val="24"/>
          <w:szCs w:val="24"/>
        </w:rPr>
      </w:pPr>
      <w:r>
        <w:rPr>
          <w:rFonts w:hint="eastAsia"/>
          <w:b/>
          <w:bCs/>
          <w:sz w:val="24"/>
          <w:szCs w:val="24"/>
        </w:rPr>
        <w:t>二、采购文件</w:t>
      </w:r>
    </w:p>
    <w:p>
      <w:pPr>
        <w:tabs>
          <w:tab w:val="left" w:pos="-1260"/>
          <w:tab w:val="left" w:pos="525"/>
          <w:tab w:val="left" w:pos="846"/>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 采购文件包括本文件目录所列全部内容，供应商应仔细阅读，并在响应文件中充分响应采购文件的所有要求。</w:t>
      </w:r>
    </w:p>
    <w:p>
      <w:pPr>
        <w:tabs>
          <w:tab w:val="left" w:pos="0"/>
          <w:tab w:val="left" w:pos="525"/>
          <w:tab w:val="left" w:pos="846"/>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 采购文件中的“法定代表人”是指供应商的营业执照或相关部门的登记证明文件中的“法定代表人”或“负责人”。</w:t>
      </w:r>
    </w:p>
    <w:p>
      <w:pPr>
        <w:tabs>
          <w:tab w:val="left" w:pos="0"/>
          <w:tab w:val="left" w:pos="525"/>
          <w:tab w:val="left" w:pos="846"/>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xml:space="preserve">3. </w:t>
      </w:r>
      <w:r>
        <w:rPr>
          <w:rFonts w:hint="eastAsia" w:ascii="宋体" w:hAnsi="宋体"/>
          <w:bCs/>
          <w:color w:val="000000"/>
          <w:sz w:val="24"/>
          <w:szCs w:val="24"/>
        </w:rPr>
        <w:t>供应商应在获取采购文件及有关资料后，按要求制作</w:t>
      </w:r>
      <w:r>
        <w:rPr>
          <w:rFonts w:hint="eastAsia" w:ascii="宋体" w:hAnsi="宋体"/>
          <w:sz w:val="24"/>
        </w:rPr>
        <w:t>响应文件</w:t>
      </w:r>
      <w:r>
        <w:rPr>
          <w:rFonts w:hint="eastAsia" w:ascii="宋体" w:hAnsi="宋体"/>
          <w:bCs/>
          <w:color w:val="000000"/>
          <w:sz w:val="24"/>
          <w:szCs w:val="24"/>
        </w:rPr>
        <w:t>，对采购文件各项内容做出实质性响应，否则作为无效响应。</w:t>
      </w:r>
    </w:p>
    <w:p>
      <w:pPr>
        <w:tabs>
          <w:tab w:val="left" w:pos="0"/>
          <w:tab w:val="left" w:pos="525"/>
          <w:tab w:val="left" w:pos="846"/>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4. 采购文件仅作为本次采购报价使用。</w:t>
      </w:r>
    </w:p>
    <w:p>
      <w:pPr>
        <w:spacing w:line="360" w:lineRule="auto"/>
        <w:ind w:firstLine="482" w:firstLineChars="200"/>
        <w:rPr>
          <w:b/>
          <w:bCs/>
          <w:sz w:val="24"/>
          <w:szCs w:val="24"/>
        </w:rPr>
      </w:pPr>
      <w:r>
        <w:rPr>
          <w:rFonts w:hint="eastAsia"/>
          <w:b/>
          <w:bCs/>
          <w:sz w:val="24"/>
          <w:szCs w:val="24"/>
        </w:rPr>
        <w:t>三、采购文件的解释</w:t>
      </w:r>
    </w:p>
    <w:p>
      <w:pPr>
        <w:tabs>
          <w:tab w:val="left" w:pos="945"/>
        </w:tabs>
        <w:spacing w:line="360" w:lineRule="auto"/>
        <w:ind w:left="523"/>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本文件的最终解释权归常州中采招投标有限公司。</w:t>
      </w:r>
    </w:p>
    <w:p>
      <w:pPr>
        <w:spacing w:line="360" w:lineRule="auto"/>
        <w:ind w:firstLine="482" w:firstLineChars="200"/>
        <w:rPr>
          <w:b/>
          <w:bCs/>
          <w:sz w:val="24"/>
          <w:szCs w:val="24"/>
        </w:rPr>
      </w:pPr>
      <w:r>
        <w:rPr>
          <w:rFonts w:hint="eastAsia"/>
          <w:b/>
          <w:bCs/>
          <w:sz w:val="24"/>
          <w:szCs w:val="24"/>
        </w:rPr>
        <w:t>四、采购文件的补充或修正</w:t>
      </w:r>
    </w:p>
    <w:p>
      <w:pPr>
        <w:tabs>
          <w:tab w:val="left" w:pos="525"/>
          <w:tab w:val="left" w:pos="898"/>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 供应商在收到采购文件后，如有疑问需要询问和澄清，应在响应文件提交截止时间的15日前以书面形式向采购人提出，如无疑问,视作供应商完全响应采购文件的条款和要求。</w:t>
      </w:r>
    </w:p>
    <w:p>
      <w:pPr>
        <w:tabs>
          <w:tab w:val="left" w:pos="525"/>
          <w:tab w:val="left" w:pos="898"/>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 采购人有权对已发出的采购文件进行必要的澄清或修改，可视具体情况延长响应文件提交截止时间，并以更正公告形式通知所有供应商。</w:t>
      </w:r>
    </w:p>
    <w:p>
      <w:pPr>
        <w:tabs>
          <w:tab w:val="left" w:pos="525"/>
          <w:tab w:val="left" w:pos="898"/>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3. 采购文件的修改和补充文件将作为采购文件的组成部分，并对供应商具有约束力。</w:t>
      </w:r>
    </w:p>
    <w:p>
      <w:pPr>
        <w:tabs>
          <w:tab w:val="left" w:pos="525"/>
          <w:tab w:val="left" w:pos="898"/>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4. 更正公告以“政采云”市场资源交易服务中心（平台）（http://www.czzczb.</w:t>
      </w:r>
    </w:p>
    <w:p>
      <w:pPr>
        <w:tabs>
          <w:tab w:val="left" w:pos="525"/>
          <w:tab w:val="left" w:pos="898"/>
          <w:tab w:val="left" w:pos="945"/>
        </w:tabs>
        <w:spacing w:line="360" w:lineRule="auto"/>
        <w:rPr>
          <w:rFonts w:ascii="宋体" w:hAnsi="宋体"/>
          <w:bCs/>
          <w:color w:val="000000" w:themeColor="text1"/>
          <w:sz w:val="24"/>
          <w:szCs w:val="24"/>
          <w:highlight w:val="yellow"/>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com/）所发布的为准。</w:t>
      </w:r>
    </w:p>
    <w:p>
      <w:pPr>
        <w:spacing w:line="360" w:lineRule="auto"/>
        <w:ind w:firstLine="482" w:firstLineChars="200"/>
        <w:rPr>
          <w:b/>
          <w:bCs/>
          <w:sz w:val="24"/>
          <w:szCs w:val="24"/>
        </w:rPr>
      </w:pPr>
      <w:r>
        <w:rPr>
          <w:rFonts w:hint="eastAsia"/>
          <w:b/>
          <w:bCs/>
          <w:sz w:val="24"/>
          <w:szCs w:val="24"/>
        </w:rPr>
        <w:t>五、响应文件的组成</w:t>
      </w:r>
    </w:p>
    <w:p>
      <w:pPr>
        <w:tabs>
          <w:tab w:val="left" w:pos="525"/>
          <w:tab w:val="left" w:pos="630"/>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bCs/>
          <w:color w:val="000000" w:themeColor="text1"/>
          <w:sz w:val="24"/>
          <w:szCs w:val="24"/>
          <w14:textFill>
            <w14:solidFill>
              <w14:schemeClr w14:val="tx1"/>
            </w14:solidFill>
          </w14:textFill>
        </w:rPr>
        <w:t>1. 供应商情况说明</w:t>
      </w:r>
    </w:p>
    <w:p>
      <w:pPr>
        <w:tabs>
          <w:tab w:val="left" w:pos="525"/>
          <w:tab w:val="left" w:pos="630"/>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bCs/>
          <w:color w:val="000000" w:themeColor="text1"/>
          <w:sz w:val="24"/>
          <w:szCs w:val="24"/>
          <w14:textFill>
            <w14:solidFill>
              <w14:schemeClr w14:val="tx1"/>
            </w14:solidFill>
          </w14:textFill>
        </w:rPr>
        <w:t>供应商简介（含供应商规模、银行资信、技术能力及装备水平等）、人员情况、典型项目介绍。</w:t>
      </w:r>
    </w:p>
    <w:p>
      <w:pPr>
        <w:tabs>
          <w:tab w:val="left" w:pos="525"/>
          <w:tab w:val="left" w:pos="630"/>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 响应函（格式见附件）</w:t>
      </w:r>
    </w:p>
    <w:p>
      <w:pPr>
        <w:tabs>
          <w:tab w:val="left" w:pos="525"/>
          <w:tab w:val="left" w:pos="630"/>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3. 资格、资信证明文件：</w:t>
      </w:r>
    </w:p>
    <w:p>
      <w:pPr>
        <w:tabs>
          <w:tab w:val="left" w:pos="630"/>
          <w:tab w:val="left" w:pos="1276"/>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（1）关于资格的声明函（</w:t>
      </w:r>
      <w:r>
        <w:rPr>
          <w:rFonts w:hint="eastAsia" w:ascii="宋体" w:hAnsi="宋体"/>
          <w:b/>
          <w:bCs/>
          <w:color w:val="000000" w:themeColor="text1"/>
          <w:sz w:val="24"/>
          <w:szCs w:val="24"/>
          <w14:textFill>
            <w14:solidFill>
              <w14:schemeClr w14:val="tx1"/>
            </w14:solidFill>
          </w14:textFill>
        </w:rPr>
        <w:t>格式见附件</w:t>
      </w:r>
      <w:r>
        <w:rPr>
          <w:rFonts w:hint="eastAsia" w:ascii="宋体" w:hAnsi="宋体"/>
          <w:bCs/>
          <w:color w:val="000000" w:themeColor="text1"/>
          <w:sz w:val="24"/>
          <w:szCs w:val="24"/>
          <w14:textFill>
            <w14:solidFill>
              <w14:schemeClr w14:val="tx1"/>
            </w14:solidFill>
          </w14:textFill>
        </w:rPr>
        <w:t>）；</w:t>
      </w:r>
    </w:p>
    <w:p>
      <w:pPr>
        <w:tabs>
          <w:tab w:val="left" w:pos="630"/>
          <w:tab w:val="left" w:pos="1276"/>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cs="宋体"/>
          <w:sz w:val="24"/>
        </w:rPr>
        <w:t>（2）法定代表人资格证明书/法定代表人授权委托书（</w:t>
      </w:r>
      <w:r>
        <w:rPr>
          <w:rFonts w:hint="eastAsia" w:ascii="宋体" w:hAnsi="宋体" w:cs="宋体"/>
          <w:b/>
          <w:sz w:val="24"/>
        </w:rPr>
        <w:t>格式见附件</w:t>
      </w:r>
      <w:r>
        <w:rPr>
          <w:rFonts w:hint="eastAsia" w:ascii="宋体" w:hAnsi="宋体" w:cs="宋体"/>
          <w:sz w:val="24"/>
        </w:rPr>
        <w:t>）；</w:t>
      </w:r>
    </w:p>
    <w:p>
      <w:pPr>
        <w:tabs>
          <w:tab w:val="left" w:pos="630"/>
          <w:tab w:val="left" w:pos="1276"/>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（3）具有独立承担民事责任能力的供应商营业执照或相关部门的登记证明文件复印件；</w:t>
      </w:r>
    </w:p>
    <w:p>
      <w:pPr>
        <w:tabs>
          <w:tab w:val="left" w:pos="630"/>
          <w:tab w:val="left" w:pos="945"/>
          <w:tab w:val="left" w:pos="1276"/>
        </w:tabs>
        <w:spacing w:line="360" w:lineRule="auto"/>
        <w:ind w:firstLine="480" w:firstLineChars="200"/>
        <w:rPr>
          <w:rFonts w:ascii="宋体" w:hAnsi="宋体"/>
          <w:sz w:val="24"/>
        </w:rPr>
      </w:pPr>
      <w:r>
        <w:rPr>
          <w:rFonts w:hint="eastAsia" w:ascii="宋体" w:hAnsi="宋体"/>
          <w:bCs/>
          <w:color w:val="000000" w:themeColor="text1"/>
          <w:sz w:val="24"/>
          <w:szCs w:val="24"/>
          <w14:textFill>
            <w14:solidFill>
              <w14:schemeClr w14:val="tx1"/>
            </w14:solidFill>
          </w14:textFill>
        </w:rPr>
        <w:t>（4）</w:t>
      </w:r>
      <w:r>
        <w:rPr>
          <w:rFonts w:hint="eastAsia" w:ascii="宋体" w:hAnsi="宋体"/>
          <w:sz w:val="24"/>
        </w:rPr>
        <w:t>具备履行合同所必需的设备和专业技术能力的书面声明（</w:t>
      </w:r>
      <w:r>
        <w:rPr>
          <w:rFonts w:hint="eastAsia" w:ascii="宋体" w:hAnsi="宋体" w:cs="宋体"/>
          <w:b/>
          <w:sz w:val="24"/>
        </w:rPr>
        <w:t>格式见附件</w:t>
      </w:r>
      <w:r>
        <w:rPr>
          <w:rFonts w:hint="eastAsia" w:ascii="宋体" w:hAnsi="宋体"/>
          <w:sz w:val="24"/>
        </w:rPr>
        <w:t>）；</w:t>
      </w:r>
    </w:p>
    <w:p>
      <w:pPr>
        <w:tabs>
          <w:tab w:val="left" w:pos="630"/>
          <w:tab w:val="left" w:pos="945"/>
          <w:tab w:val="left" w:pos="1276"/>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sz w:val="24"/>
        </w:rPr>
        <w:t>（5）参加采购活动前 3 年内在经营活动中没有重大违法记录的书面声明（</w:t>
      </w:r>
      <w:r>
        <w:rPr>
          <w:rFonts w:hint="eastAsia" w:ascii="宋体" w:hAnsi="宋体" w:cs="宋体"/>
          <w:b/>
          <w:sz w:val="24"/>
        </w:rPr>
        <w:t>格式见附件</w:t>
      </w:r>
      <w:r>
        <w:rPr>
          <w:rFonts w:hint="eastAsia" w:ascii="宋体" w:hAnsi="宋体"/>
          <w:sz w:val="24"/>
        </w:rPr>
        <w:t>）；</w:t>
      </w:r>
    </w:p>
    <w:p>
      <w:pPr>
        <w:tabs>
          <w:tab w:val="left" w:pos="630"/>
          <w:tab w:val="left" w:pos="945"/>
          <w:tab w:val="left" w:pos="1276"/>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（6）采购人要求的特定资质证明（</w:t>
      </w:r>
      <w:r>
        <w:rPr>
          <w:rFonts w:hint="eastAsia" w:ascii="宋体" w:hAnsi="宋体"/>
          <w:b/>
          <w:bCs/>
          <w:color w:val="000000" w:themeColor="text1"/>
          <w:sz w:val="24"/>
          <w:szCs w:val="24"/>
          <w14:textFill>
            <w14:solidFill>
              <w14:schemeClr w14:val="tx1"/>
            </w14:solidFill>
          </w14:textFill>
        </w:rPr>
        <w:t>详见“谈判邀请函”-“申请人的资格要求”）</w:t>
      </w:r>
      <w:r>
        <w:rPr>
          <w:rFonts w:hint="eastAsia" w:ascii="宋体" w:hAnsi="宋体"/>
          <w:bCs/>
          <w:color w:val="000000" w:themeColor="text1"/>
          <w:sz w:val="24"/>
          <w:szCs w:val="24"/>
          <w14:textFill>
            <w14:solidFill>
              <w14:schemeClr w14:val="tx1"/>
            </w14:solidFill>
          </w14:textFill>
        </w:rPr>
        <w:t>。</w:t>
      </w:r>
    </w:p>
    <w:p>
      <w:pPr>
        <w:tabs>
          <w:tab w:val="left" w:pos="525"/>
          <w:tab w:val="left" w:pos="630"/>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4. 报价一览表（</w:t>
      </w:r>
      <w:r>
        <w:rPr>
          <w:rFonts w:hint="eastAsia" w:ascii="宋体" w:hAnsi="宋体"/>
          <w:b/>
          <w:bCs/>
          <w:color w:val="000000" w:themeColor="text1"/>
          <w:sz w:val="24"/>
          <w:szCs w:val="24"/>
          <w14:textFill>
            <w14:solidFill>
              <w14:schemeClr w14:val="tx1"/>
            </w14:solidFill>
          </w14:textFill>
        </w:rPr>
        <w:t>格式见附件</w:t>
      </w:r>
      <w:r>
        <w:rPr>
          <w:rFonts w:hint="eastAsia" w:ascii="宋体" w:hAnsi="宋体"/>
          <w:bCs/>
          <w:color w:val="000000" w:themeColor="text1"/>
          <w:sz w:val="24"/>
          <w:szCs w:val="24"/>
          <w14:textFill>
            <w14:solidFill>
              <w14:schemeClr w14:val="tx1"/>
            </w14:solidFill>
          </w14:textFill>
        </w:rPr>
        <w:t>）</w:t>
      </w:r>
    </w:p>
    <w:p>
      <w:pPr>
        <w:tabs>
          <w:tab w:val="left" w:pos="525"/>
          <w:tab w:val="left" w:pos="630"/>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5. 明细报价表（</w:t>
      </w:r>
      <w:r>
        <w:rPr>
          <w:rFonts w:hint="eastAsia" w:ascii="宋体" w:hAnsi="宋体"/>
          <w:b/>
          <w:bCs/>
          <w:color w:val="000000" w:themeColor="text1"/>
          <w:sz w:val="24"/>
          <w:szCs w:val="24"/>
          <w14:textFill>
            <w14:solidFill>
              <w14:schemeClr w14:val="tx1"/>
            </w14:solidFill>
          </w14:textFill>
        </w:rPr>
        <w:t>格式见附件</w:t>
      </w:r>
      <w:r>
        <w:rPr>
          <w:rFonts w:hint="eastAsia" w:ascii="宋体" w:hAnsi="宋体"/>
          <w:bCs/>
          <w:color w:val="000000" w:themeColor="text1"/>
          <w:sz w:val="24"/>
          <w:szCs w:val="24"/>
          <w14:textFill>
            <w14:solidFill>
              <w14:schemeClr w14:val="tx1"/>
            </w14:solidFill>
          </w14:textFill>
        </w:rPr>
        <w:t>）</w:t>
      </w:r>
    </w:p>
    <w:p>
      <w:pPr>
        <w:tabs>
          <w:tab w:val="left" w:pos="525"/>
          <w:tab w:val="left" w:pos="630"/>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6. 技术参数响应及偏离表（</w:t>
      </w:r>
      <w:r>
        <w:rPr>
          <w:rFonts w:hint="eastAsia" w:ascii="宋体" w:hAnsi="宋体"/>
          <w:b/>
          <w:bCs/>
          <w:color w:val="000000" w:themeColor="text1"/>
          <w:sz w:val="24"/>
          <w:szCs w:val="24"/>
          <w14:textFill>
            <w14:solidFill>
              <w14:schemeClr w14:val="tx1"/>
            </w14:solidFill>
          </w14:textFill>
        </w:rPr>
        <w:t>格式见附件</w:t>
      </w:r>
      <w:r>
        <w:rPr>
          <w:rFonts w:hint="eastAsia" w:ascii="宋体" w:hAnsi="宋体"/>
          <w:bCs/>
          <w:color w:val="000000" w:themeColor="text1"/>
          <w:sz w:val="24"/>
          <w:szCs w:val="24"/>
          <w14:textFill>
            <w14:solidFill>
              <w14:schemeClr w14:val="tx1"/>
            </w14:solidFill>
          </w14:textFill>
        </w:rPr>
        <w:t>）</w:t>
      </w:r>
    </w:p>
    <w:p>
      <w:pPr>
        <w:tabs>
          <w:tab w:val="left" w:pos="525"/>
          <w:tab w:val="left" w:pos="630"/>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7. 评分标准中对应的其它所需证明材料（</w:t>
      </w:r>
      <w:r>
        <w:rPr>
          <w:rFonts w:hint="eastAsia" w:ascii="宋体" w:hAnsi="宋体"/>
          <w:b/>
          <w:bCs/>
          <w:color w:val="000000" w:themeColor="text1"/>
          <w:sz w:val="24"/>
          <w:szCs w:val="24"/>
          <w14:textFill>
            <w14:solidFill>
              <w14:schemeClr w14:val="tx1"/>
            </w14:solidFill>
          </w14:textFill>
        </w:rPr>
        <w:t>如有自行添加</w:t>
      </w:r>
      <w:r>
        <w:rPr>
          <w:rFonts w:hint="eastAsia" w:ascii="宋体" w:hAnsi="宋体"/>
          <w:bCs/>
          <w:color w:val="000000" w:themeColor="text1"/>
          <w:sz w:val="24"/>
          <w:szCs w:val="24"/>
          <w14:textFill>
            <w14:solidFill>
              <w14:schemeClr w14:val="tx1"/>
            </w14:solidFill>
          </w14:textFill>
        </w:rPr>
        <w:t>）；</w:t>
      </w:r>
    </w:p>
    <w:p>
      <w:pPr>
        <w:tabs>
          <w:tab w:val="left" w:pos="525"/>
          <w:tab w:val="left" w:pos="630"/>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8. 采购文件要求供应商提供的和供应商认为与本项目有关的并可以提供的其它相关的证明材料（</w:t>
      </w:r>
      <w:r>
        <w:rPr>
          <w:rFonts w:hint="eastAsia" w:ascii="宋体" w:hAnsi="宋体"/>
          <w:b/>
          <w:bCs/>
          <w:color w:val="000000" w:themeColor="text1"/>
          <w:sz w:val="24"/>
          <w:szCs w:val="24"/>
          <w14:textFill>
            <w14:solidFill>
              <w14:schemeClr w14:val="tx1"/>
            </w14:solidFill>
          </w14:textFill>
        </w:rPr>
        <w:t>如有自拟并自行添加</w:t>
      </w:r>
      <w:r>
        <w:rPr>
          <w:rFonts w:hint="eastAsia" w:ascii="宋体" w:hAnsi="宋体"/>
          <w:bCs/>
          <w:color w:val="000000" w:themeColor="text1"/>
          <w:sz w:val="24"/>
          <w:szCs w:val="24"/>
          <w14:textFill>
            <w14:solidFill>
              <w14:schemeClr w14:val="tx1"/>
            </w14:solidFill>
          </w14:textFill>
        </w:rPr>
        <w:t>）；</w:t>
      </w:r>
    </w:p>
    <w:p>
      <w:pPr>
        <w:tabs>
          <w:tab w:val="left" w:pos="525"/>
          <w:tab w:val="left" w:pos="630"/>
          <w:tab w:val="left" w:pos="945"/>
        </w:tabs>
        <w:adjustRightInd w:val="0"/>
        <w:snapToGrid w:val="0"/>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9.采购文件要求供应商提供的和供应商认为与本项目有关的并可以提供的其它相关的证明材料（</w:t>
      </w:r>
      <w:r>
        <w:rPr>
          <w:rFonts w:hint="eastAsia" w:ascii="宋体" w:hAnsi="宋体"/>
          <w:b/>
          <w:bCs/>
          <w:color w:val="000000" w:themeColor="text1"/>
          <w:sz w:val="24"/>
          <w:szCs w:val="24"/>
          <w14:textFill>
            <w14:solidFill>
              <w14:schemeClr w14:val="tx1"/>
            </w14:solidFill>
          </w14:textFill>
        </w:rPr>
        <w:t>如有自拟并自行添加</w:t>
      </w:r>
      <w:r>
        <w:rPr>
          <w:rFonts w:hint="eastAsia" w:ascii="宋体" w:hAnsi="宋体"/>
          <w:bCs/>
          <w:color w:val="000000" w:themeColor="text1"/>
          <w:sz w:val="24"/>
          <w:szCs w:val="24"/>
          <w14:textFill>
            <w14:solidFill>
              <w14:schemeClr w14:val="tx1"/>
            </w14:solidFill>
          </w14:textFill>
        </w:rPr>
        <w:t>）；</w:t>
      </w:r>
    </w:p>
    <w:p>
      <w:pPr>
        <w:tabs>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上述2-6项供应商必须按要求全部提供，否则响应文件无效。</w:t>
      </w:r>
      <w:r>
        <w:rPr>
          <w:rFonts w:hint="eastAsia" w:ascii="Tahoma" w:hAnsi="Tahoma" w:cs="Tahoma"/>
          <w:color w:val="000000" w:themeColor="text1"/>
          <w:sz w:val="24"/>
          <w:szCs w:val="24"/>
          <w14:textFill>
            <w14:solidFill>
              <w14:schemeClr w14:val="tx1"/>
            </w14:solidFill>
          </w14:textFill>
        </w:rPr>
        <w:t>如上述资格证明文件遇年检、换证，则必须提供法定年检、换证单位出具的有效证明复印件。</w:t>
      </w:r>
      <w:r>
        <w:rPr>
          <w:rFonts w:hint="eastAsia" w:ascii="宋体" w:hAnsi="宋体"/>
          <w:bCs/>
          <w:color w:val="000000" w:themeColor="text1"/>
          <w:sz w:val="24"/>
          <w:szCs w:val="24"/>
          <w14:textFill>
            <w14:solidFill>
              <w14:schemeClr w14:val="tx1"/>
            </w14:solidFill>
          </w14:textFill>
        </w:rPr>
        <w:t>供应商法定代表人或法定代表人授权代表为外籍、港、澳、台地区人士的，其身份证明须提供有效的护照或港澳同胞来往内地通行证、台湾同胞来往大陆通行证，或其它可在中国大陆有效居留的许可证明。</w:t>
      </w:r>
    </w:p>
    <w:p>
      <w:pPr>
        <w:spacing w:line="360" w:lineRule="auto"/>
        <w:ind w:firstLine="482" w:firstLineChars="200"/>
        <w:rPr>
          <w:b/>
          <w:bCs/>
          <w:sz w:val="24"/>
          <w:szCs w:val="24"/>
        </w:rPr>
      </w:pPr>
      <w:r>
        <w:rPr>
          <w:rFonts w:hint="eastAsia"/>
          <w:b/>
          <w:bCs/>
          <w:sz w:val="24"/>
          <w:szCs w:val="24"/>
        </w:rPr>
        <w:t>六、响应文件的制作</w:t>
      </w:r>
    </w:p>
    <w:p>
      <w:pPr>
        <w:tabs>
          <w:tab w:val="left" w:pos="525"/>
          <w:tab w:val="left" w:pos="898"/>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sz w:val="24"/>
        </w:rPr>
        <w:t>1. 响应文件共一式叁份，“正本”壹份、“副本”贰份，未提供视为无效投标。在每一份响应文件上要标明“正本”或“副本”字样，一旦正本和副本有差异，以正本为准,正本、副本应分别装订成册并密封。</w:t>
      </w:r>
    </w:p>
    <w:p>
      <w:pPr>
        <w:tabs>
          <w:tab w:val="left" w:pos="525"/>
          <w:tab w:val="left" w:pos="898"/>
          <w:tab w:val="left" w:pos="945"/>
        </w:tabs>
        <w:spacing w:line="360" w:lineRule="auto"/>
        <w:ind w:firstLine="480" w:firstLineChars="200"/>
        <w:rPr>
          <w:rFonts w:ascii="宋体" w:hAnsi="宋体"/>
          <w:sz w:val="24"/>
        </w:rPr>
      </w:pPr>
      <w:r>
        <w:rPr>
          <w:rFonts w:hint="eastAsia" w:ascii="宋体" w:hAnsi="宋体"/>
          <w:sz w:val="24"/>
        </w:rPr>
        <w:t>2. 响应文件密封口须加盖供应商公章、法定代表人或授权委托人签字或盖章，封皮上写明采购编号、采购项目名称、供应商名称。所有响应文件都必须密封盖章。</w:t>
      </w:r>
    </w:p>
    <w:p>
      <w:pPr>
        <w:tabs>
          <w:tab w:val="left" w:pos="525"/>
          <w:tab w:val="left" w:pos="898"/>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sz w:val="24"/>
        </w:rPr>
        <w:t>3. 如果供应商未按上述要求密封及加写标记，其响应文件将被拒收。采购代理机构对响应文件的误投和提前启封概不负责，对由此造成提前开封的响应文件，采购代理机构有权拒绝。</w:t>
      </w:r>
    </w:p>
    <w:p>
      <w:pPr>
        <w:tabs>
          <w:tab w:val="left" w:pos="525"/>
          <w:tab w:val="left" w:pos="898"/>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4. 所有文件、往来函件均应使用简体中文（规格、型号辅助符号例外）。</w:t>
      </w:r>
    </w:p>
    <w:p>
      <w:pPr>
        <w:tabs>
          <w:tab w:val="left" w:pos="525"/>
          <w:tab w:val="left" w:pos="898"/>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sz w:val="24"/>
        </w:rPr>
        <w:t>5. 响应</w:t>
      </w:r>
      <w:r>
        <w:rPr>
          <w:rFonts w:hint="eastAsia" w:ascii="宋体" w:hAnsi="宋体"/>
          <w:bCs/>
          <w:color w:val="000000" w:themeColor="text1"/>
          <w:sz w:val="24"/>
          <w:szCs w:val="24"/>
          <w14:textFill>
            <w14:solidFill>
              <w14:schemeClr w14:val="tx1"/>
            </w14:solidFill>
          </w14:textFill>
        </w:rPr>
        <w:t>文件由供应商按要求如实填写，须有供应商（签章）、法定代表人或法定代表人授权代表签章，方为有效，未尽事宜可自行补充。</w:t>
      </w:r>
    </w:p>
    <w:p>
      <w:pPr>
        <w:tabs>
          <w:tab w:val="left" w:pos="525"/>
          <w:tab w:val="left" w:pos="898"/>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color w:val="000000" w:themeColor="text1"/>
          <w:sz w:val="24"/>
          <w:szCs w:val="24"/>
          <w:lang w:val="zh-CN"/>
          <w14:textFill>
            <w14:solidFill>
              <w14:schemeClr w14:val="tx1"/>
            </w14:solidFill>
          </w14:textFill>
        </w:rPr>
        <w:t>6. 如无特别说明，</w:t>
      </w:r>
      <w:r>
        <w:rPr>
          <w:rFonts w:hint="eastAsia" w:ascii="宋体" w:hAnsi="宋体"/>
          <w:bCs/>
          <w:color w:val="000000" w:themeColor="text1"/>
          <w:sz w:val="24"/>
          <w:szCs w:val="24"/>
          <w14:textFill>
            <w14:solidFill>
              <w14:schemeClr w14:val="tx1"/>
            </w14:solidFill>
          </w14:textFill>
        </w:rPr>
        <w:t>供应商报价一律以人民币为投标结算货币</w:t>
      </w:r>
      <w:r>
        <w:rPr>
          <w:rFonts w:ascii="宋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结算单位为“元”。</w:t>
      </w:r>
    </w:p>
    <w:p>
      <w:pPr>
        <w:tabs>
          <w:tab w:val="left" w:pos="525"/>
          <w:tab w:val="left" w:pos="898"/>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7. 报价费用自理。</w:t>
      </w:r>
    </w:p>
    <w:p>
      <w:pPr>
        <w:spacing w:line="360" w:lineRule="auto"/>
        <w:ind w:firstLine="482" w:firstLineChars="200"/>
        <w:rPr>
          <w:b/>
          <w:bCs/>
          <w:sz w:val="24"/>
          <w:szCs w:val="24"/>
        </w:rPr>
      </w:pPr>
      <w:r>
        <w:rPr>
          <w:rFonts w:hint="eastAsia"/>
          <w:b/>
          <w:bCs/>
          <w:sz w:val="24"/>
          <w:szCs w:val="24"/>
        </w:rPr>
        <w:t>七、无效响应文件的确认：</w:t>
      </w:r>
    </w:p>
    <w:p>
      <w:pPr>
        <w:tabs>
          <w:tab w:val="left" w:pos="945"/>
        </w:tabs>
        <w:spacing w:line="360" w:lineRule="auto"/>
        <w:ind w:firstLine="480" w:firstLineChars="200"/>
        <w:rPr>
          <w:rFonts w:ascii="宋体" w:hAnsi="宋体" w:cs="宋体"/>
          <w:sz w:val="24"/>
        </w:rPr>
      </w:pPr>
      <w:r>
        <w:rPr>
          <w:rFonts w:hint="eastAsia" w:ascii="宋体" w:hAnsi="宋体"/>
          <w:sz w:val="24"/>
        </w:rPr>
        <w:t>供应商</w:t>
      </w:r>
      <w:r>
        <w:rPr>
          <w:rFonts w:hint="eastAsia" w:ascii="宋体" w:hAnsi="宋体"/>
          <w:bCs/>
          <w:color w:val="000000" w:themeColor="text1"/>
          <w:sz w:val="24"/>
          <w:szCs w:val="24"/>
          <w14:textFill>
            <w14:solidFill>
              <w14:schemeClr w14:val="tx1"/>
            </w14:solidFill>
          </w14:textFill>
        </w:rPr>
        <w:t>有下列情况之一者，</w:t>
      </w:r>
      <w:r>
        <w:rPr>
          <w:rFonts w:hint="eastAsia" w:ascii="宋体" w:hAnsi="宋体"/>
          <w:sz w:val="24"/>
        </w:rPr>
        <w:t>响应</w:t>
      </w:r>
      <w:r>
        <w:rPr>
          <w:rFonts w:hint="eastAsia" w:ascii="宋体" w:hAnsi="宋体"/>
          <w:bCs/>
          <w:color w:val="000000" w:themeColor="text1"/>
          <w:sz w:val="24"/>
          <w:szCs w:val="24"/>
          <w14:textFill>
            <w14:solidFill>
              <w14:schemeClr w14:val="tx1"/>
            </w14:solidFill>
          </w14:textFill>
        </w:rPr>
        <w:t>文件无效：</w:t>
      </w:r>
    </w:p>
    <w:p>
      <w:pPr>
        <w:tabs>
          <w:tab w:val="left" w:pos="762"/>
          <w:tab w:val="left" w:pos="945"/>
        </w:tabs>
        <w:spacing w:line="360" w:lineRule="auto"/>
        <w:ind w:firstLine="480" w:firstLineChars="200"/>
        <w:rPr>
          <w:rFonts w:ascii="宋体" w:hAnsi="宋体" w:cs="宋体"/>
          <w:sz w:val="24"/>
        </w:rPr>
      </w:pPr>
      <w:r>
        <w:rPr>
          <w:rFonts w:hint="eastAsia" w:ascii="宋体" w:hAnsi="宋体"/>
          <w:sz w:val="24"/>
        </w:rPr>
        <w:t>1. 响应</w:t>
      </w:r>
      <w:r>
        <w:rPr>
          <w:rFonts w:hint="eastAsia" w:ascii="宋体" w:hAnsi="宋体" w:cs="宋体"/>
          <w:sz w:val="24"/>
        </w:rPr>
        <w:t>文件</w:t>
      </w:r>
      <w:r>
        <w:rPr>
          <w:rFonts w:hint="eastAsia" w:ascii="宋体" w:hAnsi="宋体" w:cs="宋体"/>
          <w:color w:val="000000" w:themeColor="text1"/>
          <w:sz w:val="24"/>
          <w14:textFill>
            <w14:solidFill>
              <w14:schemeClr w14:val="tx1"/>
            </w14:solidFill>
          </w14:textFill>
        </w:rPr>
        <w:t>封装</w:t>
      </w:r>
      <w:r>
        <w:rPr>
          <w:rFonts w:hint="eastAsia" w:ascii="宋体" w:hAnsi="宋体" w:cs="宋体"/>
          <w:sz w:val="24"/>
        </w:rPr>
        <w:t>未按规定标志、密封、盖章的；</w:t>
      </w:r>
    </w:p>
    <w:p>
      <w:pPr>
        <w:tabs>
          <w:tab w:val="left" w:pos="762"/>
          <w:tab w:val="left" w:pos="945"/>
        </w:tabs>
        <w:spacing w:line="360" w:lineRule="auto"/>
        <w:ind w:firstLine="480" w:firstLineChars="200"/>
        <w:rPr>
          <w:rFonts w:ascii="宋体" w:hAnsi="宋体" w:cs="宋体"/>
          <w:sz w:val="24"/>
        </w:rPr>
      </w:pPr>
      <w:r>
        <w:rPr>
          <w:rFonts w:hint="eastAsia" w:ascii="宋体" w:hAnsi="宋体"/>
          <w:sz w:val="24"/>
        </w:rPr>
        <w:t>2. 响应</w:t>
      </w:r>
      <w:r>
        <w:rPr>
          <w:rFonts w:hint="eastAsia" w:ascii="宋体" w:hAnsi="宋体" w:cs="宋体"/>
          <w:sz w:val="24"/>
        </w:rPr>
        <w:t>文件未加盖供应商公章的；</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bCs/>
          <w:color w:val="000000" w:themeColor="text1"/>
          <w:sz w:val="24"/>
          <w:szCs w:val="24"/>
          <w14:textFill>
            <w14:solidFill>
              <w14:schemeClr w14:val="tx1"/>
            </w14:solidFill>
          </w14:textFill>
        </w:rPr>
        <w:t>3. 法定</w:t>
      </w:r>
      <w:r>
        <w:rPr>
          <w:rFonts w:hint="eastAsia" w:ascii="宋体" w:hAnsi="宋体" w:cs="宋体"/>
          <w:sz w:val="24"/>
        </w:rPr>
        <w:t>代表人资格证明书或授权委托书未提供的、无供应商公章的、无法定代表人或委托代理人签字或盖章的、非原件的；</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4. 不具备采购文件中规定的资格要求或未按采购文件规定的要求提供资格、资信证明文件的；</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 被“信用中国”网站（</w:t>
      </w:r>
      <w:r>
        <w:fldChar w:fldCharType="begin"/>
      </w:r>
      <w:r>
        <w:instrText xml:space="preserve"> HYPERLINK "http://www.creditchina.gov.cn" </w:instrText>
      </w:r>
      <w:r>
        <w:fldChar w:fldCharType="separate"/>
      </w:r>
      <w:r>
        <w:rPr>
          <w:rFonts w:hint="eastAsia" w:ascii="宋体" w:hAnsi="宋体"/>
          <w:bCs/>
          <w:color w:val="000000" w:themeColor="text1"/>
          <w:sz w:val="24"/>
          <w:szCs w:val="24"/>
          <w14:textFill>
            <w14:solidFill>
              <w14:schemeClr w14:val="tx1"/>
            </w14:solidFill>
          </w14:textFill>
        </w:rPr>
        <w:t>www.creditchina.gov.cn</w:t>
      </w:r>
      <w:r>
        <w:rPr>
          <w:rFonts w:ascii="宋体" w:hAnsi="宋体"/>
          <w:bCs/>
          <w:color w:val="000000" w:themeColor="text1"/>
          <w:sz w:val="24"/>
          <w:szCs w:val="24"/>
          <w14:textFill>
            <w14:solidFill>
              <w14:schemeClr w14:val="tx1"/>
            </w14:solidFill>
          </w14:textFill>
        </w:rPr>
        <w:fldChar w:fldCharType="end"/>
      </w:r>
      <w:r>
        <w:rPr>
          <w:rFonts w:hint="eastAsia" w:ascii="宋体" w:hAnsi="宋体"/>
          <w:bCs/>
          <w:color w:val="000000" w:themeColor="text1"/>
          <w:sz w:val="24"/>
          <w:szCs w:val="24"/>
          <w14:textFill>
            <w14:solidFill>
              <w14:schemeClr w14:val="tx1"/>
            </w14:solidFill>
          </w14:textFill>
        </w:rPr>
        <w:t>）、中国采购网(www.ccgp.gov.cn)列入失信被执行人、重大税收违法案件当事人名单、</w:t>
      </w:r>
      <w:r>
        <w:rPr>
          <w:rFonts w:hint="eastAsia" w:ascii="宋体" w:hAnsi="宋体"/>
          <w:color w:val="000000" w:themeColor="text1"/>
          <w:sz w:val="24"/>
          <w:szCs w:val="24"/>
          <w14:textFill>
            <w14:solidFill>
              <w14:schemeClr w14:val="tx1"/>
            </w14:solidFill>
          </w14:textFill>
        </w:rPr>
        <w:t>政府采购严重违法失信行为记录名单的；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sz w:val="24"/>
        </w:rPr>
        <w:t>6. 响应</w:t>
      </w:r>
      <w:r>
        <w:rPr>
          <w:rFonts w:hint="eastAsia" w:ascii="宋体" w:hAnsi="宋体"/>
          <w:bCs/>
          <w:color w:val="000000" w:themeColor="text1"/>
          <w:sz w:val="24"/>
          <w:szCs w:val="24"/>
          <w14:textFill>
            <w14:solidFill>
              <w14:schemeClr w14:val="tx1"/>
            </w14:solidFill>
          </w14:textFill>
        </w:rPr>
        <w:t>文件未按采购文件规定的内容和要求填写的；</w:t>
      </w:r>
      <w:r>
        <w:rPr>
          <w:rFonts w:ascii="宋体" w:hAnsi="宋体"/>
          <w:bCs/>
          <w:color w:val="000000" w:themeColor="text1"/>
          <w:sz w:val="24"/>
          <w:szCs w:val="24"/>
          <w14:textFill>
            <w14:solidFill>
              <w14:schemeClr w14:val="tx1"/>
            </w14:solidFill>
          </w14:textFill>
        </w:rPr>
        <w:t xml:space="preserve"> </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sz w:val="24"/>
        </w:rPr>
        <w:t>7. 响应</w:t>
      </w:r>
      <w:r>
        <w:rPr>
          <w:rFonts w:hint="eastAsia" w:ascii="宋体" w:hAnsi="宋体"/>
          <w:bCs/>
          <w:color w:val="000000" w:themeColor="text1"/>
          <w:sz w:val="24"/>
          <w:szCs w:val="24"/>
          <w14:textFill>
            <w14:solidFill>
              <w14:schemeClr w14:val="tx1"/>
            </w14:solidFill>
          </w14:textFill>
        </w:rPr>
        <w:t>文件中有采购文件未允许提供的选择性内容；</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8. 不同供应商委托同一单位或者个人办理报价事宜的；</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9. 不同供应商的单位负责人为同一人或者存在直接控股、管理关系的；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10. 不同供应商的响应文件由同一单位或者同一个人编制的；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11. 不同供应商响应文件内容存在非正常一致、项目组成员出现同一人、响应文件中错误（或异常）一致或雷同、报价呈规律性差异的；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12. 不同供应商的报价资料相互混装、不同供应商的委托代理人、项目负责人以及其他相关人员有在同一个单位缴纳社会保险、同一响应文件中单位名称落款与公章不是同一单位的；</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13. 项目（标段）报价总价超过本项目（标段）预算或最高限价的；</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14. 提供虚假材料的（包括工商营业执照、财务报表、资格证明文件等）；</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15. 响应文件含有采购人不能接受的附加条件的；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16. 评审委员会认定供应商的报价明显低于其他通过符合性审查供应商的报价，有可能影响产品质量或者不能诚信履约，且供应商不能应评审委员会要求在评审现场合理的时间内提供书面说明（必要时评审委员会可要求供应商提交相关证明材料）证明其报价合理性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17. 除单一来源采购项目外，为采购项目提供整体设计、规范编制或者项目管理、监理、检测等服务的；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18. 响应文件内容不全或不符合采购文件中规定的其它实质性要求的；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19. 法律法规和采购文件规定的其它无效情形。</w:t>
      </w:r>
    </w:p>
    <w:p>
      <w:pPr>
        <w:spacing w:line="360" w:lineRule="auto"/>
        <w:ind w:firstLine="482" w:firstLineChars="200"/>
        <w:rPr>
          <w:b/>
          <w:bCs/>
          <w:sz w:val="24"/>
          <w:szCs w:val="24"/>
        </w:rPr>
      </w:pPr>
      <w:r>
        <w:rPr>
          <w:rFonts w:hint="eastAsia"/>
          <w:b/>
          <w:bCs/>
          <w:sz w:val="24"/>
          <w:szCs w:val="24"/>
        </w:rPr>
        <w:t>八、谈判、评审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 所有供应商至采购文件规定的地点提交响应文件。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 响应文件提交截止时间后参加谈判的供应商或解密响应文件的供应商数量不符合法律法规要求的，不进行评审。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 谈判、评审工作由</w:t>
      </w:r>
      <w:r>
        <w:rPr>
          <w:rFonts w:hint="eastAsia" w:ascii="宋体" w:hAnsi="宋体"/>
          <w:sz w:val="24"/>
        </w:rPr>
        <w:t>采购代理机构</w:t>
      </w:r>
      <w:r>
        <w:rPr>
          <w:rFonts w:hint="eastAsia" w:ascii="宋体" w:hAnsi="宋体" w:eastAsia="宋体"/>
          <w:sz w:val="24"/>
          <w:szCs w:val="24"/>
        </w:rPr>
        <w:t>负责组织。</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具体谈判、评审事务由依法组建的谈判小组负责。如有争议最终由谈判小组认定。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报价</w:t>
      </w:r>
      <w:r>
        <w:rPr>
          <w:rFonts w:hint="eastAsia" w:ascii="宋体" w:hAnsi="宋体" w:eastAsia="宋体"/>
          <w:sz w:val="24"/>
          <w:szCs w:val="24"/>
        </w:rPr>
        <w:t>一览表</w:t>
      </w:r>
      <w:r>
        <w:rPr>
          <w:rFonts w:ascii="宋体" w:hAnsi="宋体" w:eastAsia="宋体"/>
          <w:sz w:val="24"/>
          <w:szCs w:val="24"/>
        </w:rPr>
        <w:t>内容与明细表内容不一致的，以报价</w:t>
      </w:r>
      <w:r>
        <w:rPr>
          <w:rFonts w:hint="eastAsia" w:ascii="宋体" w:hAnsi="宋体" w:eastAsia="宋体"/>
          <w:sz w:val="24"/>
          <w:szCs w:val="24"/>
        </w:rPr>
        <w:t>一览表</w:t>
      </w:r>
      <w:r>
        <w:rPr>
          <w:rFonts w:ascii="宋体" w:hAnsi="宋体" w:eastAsia="宋体"/>
          <w:sz w:val="24"/>
          <w:szCs w:val="24"/>
        </w:rPr>
        <w:t>为准</w:t>
      </w:r>
      <w:r>
        <w:rPr>
          <w:rFonts w:hint="eastAsia" w:ascii="宋体" w:hAnsi="宋体" w:eastAsia="宋体"/>
          <w:sz w:val="24"/>
          <w:szCs w:val="24"/>
        </w:rPr>
        <w:t>。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（2）正本与副本不符，以正本为准。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 谈判、</w:t>
      </w:r>
      <w:r>
        <w:rPr>
          <w:rFonts w:ascii="宋体" w:hAnsi="宋体" w:eastAsia="宋体"/>
          <w:sz w:val="24"/>
          <w:szCs w:val="24"/>
        </w:rPr>
        <w:t>评</w:t>
      </w:r>
      <w:r>
        <w:rPr>
          <w:rFonts w:hint="eastAsia" w:ascii="宋体" w:hAnsi="宋体" w:eastAsia="宋体"/>
          <w:sz w:val="24"/>
          <w:szCs w:val="24"/>
        </w:rPr>
        <w:t>审</w:t>
      </w:r>
      <w:r>
        <w:rPr>
          <w:rFonts w:ascii="宋体" w:hAnsi="宋体" w:eastAsia="宋体"/>
          <w:sz w:val="24"/>
          <w:szCs w:val="24"/>
        </w:rPr>
        <w:t>程序</w:t>
      </w:r>
    </w:p>
    <w:p>
      <w:pPr>
        <w:numPr>
          <w:ilvl w:val="0"/>
          <w:numId w:val="2"/>
        </w:numPr>
        <w:tabs>
          <w:tab w:val="left" w:pos="630"/>
          <w:tab w:val="left" w:pos="945"/>
          <w:tab w:val="left" w:pos="1155"/>
          <w:tab w:val="clear" w:pos="1104"/>
        </w:tabs>
        <w:spacing w:line="360" w:lineRule="auto"/>
        <w:ind w:left="0" w:firstLine="523" w:firstLineChars="218"/>
        <w:rPr>
          <w:rFonts w:ascii="宋体" w:hAnsi="宋体"/>
          <w:bCs/>
          <w:color w:val="000000"/>
          <w:sz w:val="24"/>
          <w:szCs w:val="24"/>
        </w:rPr>
      </w:pPr>
      <w:r>
        <w:rPr>
          <w:rFonts w:ascii="宋体" w:hAnsi="宋体"/>
          <w:bCs/>
          <w:color w:val="000000"/>
          <w:sz w:val="24"/>
        </w:rPr>
        <w:t>响应文件初审。初审分为资格性审查和符合性审查</w:t>
      </w:r>
      <w:r>
        <w:rPr>
          <w:rFonts w:ascii="宋体" w:hAnsi="宋体"/>
          <w:bCs/>
          <w:color w:val="000000"/>
          <w:sz w:val="24"/>
          <w:szCs w:val="24"/>
        </w:rPr>
        <w:t>。</w:t>
      </w:r>
      <w:r>
        <w:rPr>
          <w:rFonts w:hint="eastAsia" w:ascii="宋体" w:hAnsi="宋体"/>
          <w:bCs/>
          <w:color w:val="000000"/>
          <w:sz w:val="24"/>
          <w:szCs w:val="24"/>
        </w:rPr>
        <w:t xml:space="preserve"> </w:t>
      </w:r>
    </w:p>
    <w:p>
      <w:pPr>
        <w:numPr>
          <w:ilvl w:val="0"/>
          <w:numId w:val="3"/>
        </w:numPr>
        <w:tabs>
          <w:tab w:val="left" w:pos="210"/>
          <w:tab w:val="left" w:pos="945"/>
          <w:tab w:val="left" w:pos="1365"/>
          <w:tab w:val="clear" w:pos="570"/>
        </w:tabs>
        <w:spacing w:line="360" w:lineRule="auto"/>
        <w:ind w:left="0" w:firstLine="523" w:firstLineChars="218"/>
        <w:rPr>
          <w:rFonts w:ascii="宋体" w:hAnsi="宋体"/>
          <w:bCs/>
          <w:color w:val="000000"/>
          <w:sz w:val="24"/>
        </w:rPr>
      </w:pPr>
      <w:r>
        <w:rPr>
          <w:rFonts w:ascii="宋体" w:hAnsi="宋体"/>
          <w:bCs/>
          <w:color w:val="000000"/>
          <w:sz w:val="24"/>
        </w:rPr>
        <w:t>资格性审查。依据法律法规和采购文件的规定，对响应文件中的资格证明、</w:t>
      </w:r>
      <w:r>
        <w:rPr>
          <w:rFonts w:hint="eastAsia" w:ascii="宋体" w:hAnsi="宋体"/>
          <w:bCs/>
          <w:color w:val="000000"/>
          <w:sz w:val="24"/>
        </w:rPr>
        <w:t>投标（报价）承诺函</w:t>
      </w:r>
      <w:r>
        <w:rPr>
          <w:rFonts w:ascii="宋体" w:hAnsi="宋体"/>
          <w:bCs/>
          <w:color w:val="000000"/>
          <w:sz w:val="24"/>
        </w:rPr>
        <w:t>等进行审查</w:t>
      </w:r>
      <w:r>
        <w:rPr>
          <w:rFonts w:hint="eastAsia" w:ascii="宋体" w:hAnsi="宋体"/>
          <w:bCs/>
          <w:color w:val="000000"/>
          <w:sz w:val="24"/>
        </w:rPr>
        <w:t>；通过“信用中国”网站（</w:t>
      </w:r>
      <w:r>
        <w:fldChar w:fldCharType="begin"/>
      </w:r>
      <w:r>
        <w:instrText xml:space="preserve"> HYPERLINK "http://www.creditchina.gov.cn" </w:instrText>
      </w:r>
      <w:r>
        <w:fldChar w:fldCharType="separate"/>
      </w:r>
      <w:r>
        <w:rPr>
          <w:rFonts w:hint="eastAsia" w:ascii="宋体" w:hAnsi="宋体"/>
          <w:bCs/>
          <w:color w:val="000000"/>
          <w:sz w:val="24"/>
        </w:rPr>
        <w:t>www.creditchina.gov.cn</w:t>
      </w:r>
      <w:r>
        <w:rPr>
          <w:rFonts w:hint="eastAsia" w:ascii="宋体" w:hAnsi="宋体"/>
          <w:bCs/>
          <w:color w:val="000000"/>
          <w:sz w:val="24"/>
        </w:rPr>
        <w:fldChar w:fldCharType="end"/>
      </w:r>
      <w:r>
        <w:rPr>
          <w:rFonts w:hint="eastAsia" w:ascii="宋体" w:hAnsi="宋体"/>
          <w:bCs/>
          <w:color w:val="000000"/>
          <w:sz w:val="24"/>
        </w:rPr>
        <w:t>）、中国政府采购网(www.ccgp.gov.cn)查询报价供应商在报价截止时间之前，是否被列入失信被执行人、重大税收</w:t>
      </w:r>
      <w:r>
        <w:rPr>
          <w:rFonts w:hint="eastAsia" w:ascii="宋体" w:hAnsi="宋体"/>
          <w:color w:val="000000"/>
          <w:sz w:val="24"/>
          <w:szCs w:val="24"/>
        </w:rPr>
        <w:t>违法案件当事人名单、政府采购严重违法失信行为记录名单，</w:t>
      </w:r>
      <w:r>
        <w:rPr>
          <w:rFonts w:hint="eastAsia" w:ascii="宋体" w:hAnsi="宋体"/>
          <w:bCs/>
          <w:color w:val="000000"/>
          <w:sz w:val="24"/>
        </w:rPr>
        <w:t>以确定报价供应商是否具备报价资格。</w:t>
      </w:r>
    </w:p>
    <w:p>
      <w:pPr>
        <w:numPr>
          <w:ilvl w:val="0"/>
          <w:numId w:val="3"/>
        </w:numPr>
        <w:tabs>
          <w:tab w:val="left" w:pos="210"/>
          <w:tab w:val="left" w:pos="945"/>
          <w:tab w:val="left" w:pos="1365"/>
          <w:tab w:val="clear" w:pos="570"/>
        </w:tabs>
        <w:spacing w:line="360" w:lineRule="auto"/>
        <w:ind w:left="0" w:firstLine="523" w:firstLineChars="218"/>
        <w:rPr>
          <w:rFonts w:ascii="宋体" w:hAnsi="宋体"/>
          <w:bCs/>
          <w:color w:val="000000"/>
          <w:sz w:val="24"/>
        </w:rPr>
      </w:pPr>
      <w:r>
        <w:rPr>
          <w:rFonts w:ascii="宋体" w:hAnsi="宋体"/>
          <w:bCs/>
          <w:color w:val="000000"/>
          <w:sz w:val="24"/>
        </w:rPr>
        <w:t>符合性审查。依据采购文件的规定，从响应文件的有效性、完整性和对采购文件的响应程度进行审查，以确定是否对采购文件的实质性要求作出响应</w:t>
      </w:r>
      <w:r>
        <w:rPr>
          <w:rFonts w:hint="eastAsia" w:ascii="宋体" w:hAnsi="宋体"/>
          <w:bCs/>
          <w:color w:val="000000"/>
          <w:sz w:val="24"/>
        </w:rPr>
        <w:t>。</w:t>
      </w:r>
    </w:p>
    <w:p>
      <w:pPr>
        <w:numPr>
          <w:ilvl w:val="0"/>
          <w:numId w:val="2"/>
        </w:numPr>
        <w:tabs>
          <w:tab w:val="left" w:pos="420"/>
          <w:tab w:val="left" w:pos="945"/>
          <w:tab w:val="left" w:pos="1155"/>
          <w:tab w:val="clear" w:pos="1104"/>
        </w:tabs>
        <w:spacing w:line="360" w:lineRule="auto"/>
        <w:ind w:left="0" w:firstLine="523" w:firstLineChars="218"/>
        <w:rPr>
          <w:rFonts w:ascii="宋体" w:hAnsi="宋体"/>
          <w:bCs/>
          <w:color w:val="000000"/>
          <w:sz w:val="24"/>
          <w:szCs w:val="24"/>
        </w:rPr>
      </w:pPr>
      <w:r>
        <w:rPr>
          <w:rFonts w:ascii="宋体" w:hAnsi="宋体"/>
          <w:bCs/>
          <w:color w:val="000000"/>
          <w:sz w:val="24"/>
        </w:rPr>
        <w:t>澄清有关问题。对响应文件中含义不明确、同类问题表述不一致或者有明显文字和计算错误的内容，谈判小组可以书面形式（应当由谈判小组专家签字）要求供应商作出必要的澄清、说明或者纠正。供应商的澄清、说明或者补正应当采用书面形式，由其授权的代表签字</w:t>
      </w:r>
      <w:r>
        <w:rPr>
          <w:rFonts w:hint="eastAsia" w:ascii="宋体" w:hAnsi="宋体"/>
          <w:bCs/>
          <w:color w:val="000000"/>
          <w:sz w:val="24"/>
          <w:szCs w:val="24"/>
        </w:rPr>
        <w:t>。</w:t>
      </w:r>
    </w:p>
    <w:p>
      <w:pPr>
        <w:numPr>
          <w:ilvl w:val="0"/>
          <w:numId w:val="2"/>
        </w:numPr>
        <w:tabs>
          <w:tab w:val="left" w:pos="945"/>
          <w:tab w:val="left" w:pos="1155"/>
          <w:tab w:val="clear" w:pos="1104"/>
        </w:tabs>
        <w:spacing w:line="360" w:lineRule="auto"/>
        <w:ind w:left="0" w:firstLine="523" w:firstLineChars="218"/>
        <w:rPr>
          <w:rFonts w:ascii="宋体" w:hAnsi="宋体"/>
          <w:bCs/>
          <w:color w:val="000000"/>
          <w:sz w:val="24"/>
          <w:szCs w:val="24"/>
        </w:rPr>
      </w:pPr>
      <w:r>
        <w:rPr>
          <w:rFonts w:hint="eastAsia" w:ascii="宋体" w:hAnsi="宋体"/>
          <w:bCs/>
          <w:color w:val="000000"/>
          <w:sz w:val="24"/>
          <w:szCs w:val="24"/>
        </w:rPr>
        <w:t>谈判小组讨论、确定谈判程序和谈判内容。</w:t>
      </w:r>
    </w:p>
    <w:p>
      <w:pPr>
        <w:numPr>
          <w:ilvl w:val="0"/>
          <w:numId w:val="2"/>
        </w:numPr>
        <w:tabs>
          <w:tab w:val="left" w:pos="945"/>
          <w:tab w:val="left" w:pos="1155"/>
          <w:tab w:val="clear" w:pos="1104"/>
        </w:tabs>
        <w:spacing w:line="360" w:lineRule="auto"/>
        <w:ind w:left="0" w:firstLine="523" w:firstLineChars="218"/>
        <w:rPr>
          <w:rFonts w:ascii="宋体" w:hAnsi="宋体"/>
          <w:bCs/>
          <w:color w:val="000000"/>
          <w:sz w:val="24"/>
          <w:szCs w:val="24"/>
        </w:rPr>
      </w:pPr>
      <w:r>
        <w:rPr>
          <w:rFonts w:hint="eastAsia" w:ascii="宋体" w:hAnsi="宋体"/>
          <w:bCs/>
          <w:color w:val="000000"/>
          <w:sz w:val="24"/>
          <w:szCs w:val="24"/>
        </w:rPr>
        <w:t>谈判小组集中与单一供应商分别进行谈判。谈判轮次由谈判小组视情况决定。</w:t>
      </w:r>
    </w:p>
    <w:p>
      <w:pPr>
        <w:numPr>
          <w:ilvl w:val="0"/>
          <w:numId w:val="2"/>
        </w:numPr>
        <w:tabs>
          <w:tab w:val="left" w:pos="945"/>
          <w:tab w:val="left" w:pos="1155"/>
          <w:tab w:val="clear" w:pos="1104"/>
        </w:tabs>
        <w:spacing w:line="360" w:lineRule="auto"/>
        <w:ind w:left="0" w:firstLine="523" w:firstLineChars="218"/>
        <w:rPr>
          <w:rFonts w:ascii="宋体" w:hAnsi="宋体"/>
          <w:bCs/>
          <w:color w:val="000000"/>
          <w:sz w:val="24"/>
          <w:szCs w:val="24"/>
        </w:rPr>
      </w:pPr>
      <w:r>
        <w:rPr>
          <w:rFonts w:ascii="宋体" w:hAnsi="宋体"/>
          <w:bCs/>
          <w:color w:val="000000"/>
          <w:sz w:val="24"/>
          <w:szCs w:val="24"/>
        </w:rPr>
        <w:t>在谈判过程中，谈判小组可以根据采购文件和谈判情况实质性变动采购需求中的技术、服务要求以及合同草案条款，但不得变动采购文件中的其他内容。对采购文件作出的实质性变动是采购文件的有效组成部分</w:t>
      </w:r>
      <w:r>
        <w:rPr>
          <w:rFonts w:hint="eastAsia" w:ascii="宋体" w:hAnsi="宋体"/>
          <w:bCs/>
          <w:color w:val="000000"/>
          <w:sz w:val="24"/>
          <w:szCs w:val="24"/>
        </w:rPr>
        <w:t>。如有实质性变动，谈判小组将以书面形式通知所有参加谈判的供应商。</w:t>
      </w:r>
      <w:r>
        <w:rPr>
          <w:rFonts w:ascii="宋体" w:hAnsi="宋体"/>
          <w:bCs/>
          <w:color w:val="000000"/>
          <w:sz w:val="24"/>
          <w:szCs w:val="24"/>
        </w:rPr>
        <w:t>供应商应当按照采购文件的变动情况和谈判小组的要求</w:t>
      </w:r>
      <w:r>
        <w:rPr>
          <w:rFonts w:hint="eastAsia" w:ascii="宋体" w:hAnsi="宋体"/>
          <w:bCs/>
          <w:color w:val="000000"/>
          <w:sz w:val="24"/>
          <w:szCs w:val="24"/>
        </w:rPr>
        <w:t>在规定的时间内</w:t>
      </w:r>
      <w:r>
        <w:rPr>
          <w:rFonts w:ascii="宋体" w:hAnsi="宋体"/>
          <w:bCs/>
          <w:color w:val="000000"/>
          <w:sz w:val="24"/>
          <w:szCs w:val="24"/>
        </w:rPr>
        <w:t>重新提交响应文件，并由其法定代表人或授权代表签字或者加盖公章。</w:t>
      </w:r>
      <w:r>
        <w:rPr>
          <w:rFonts w:hint="eastAsia" w:ascii="宋体" w:hAnsi="宋体"/>
          <w:bCs/>
          <w:color w:val="000000"/>
          <w:sz w:val="24"/>
          <w:szCs w:val="24"/>
        </w:rPr>
        <w:t>如有负偏离，将作为无效报价。</w:t>
      </w:r>
    </w:p>
    <w:p>
      <w:pPr>
        <w:numPr>
          <w:ilvl w:val="0"/>
          <w:numId w:val="4"/>
        </w:numPr>
        <w:tabs>
          <w:tab w:val="left" w:pos="840"/>
          <w:tab w:val="left" w:pos="945"/>
        </w:tabs>
        <w:spacing w:line="360" w:lineRule="auto"/>
        <w:ind w:left="570"/>
        <w:rPr>
          <w:rFonts w:ascii="宋体" w:hAnsi="宋体"/>
          <w:bCs/>
          <w:color w:val="000000"/>
          <w:sz w:val="24"/>
        </w:rPr>
      </w:pPr>
      <w:r>
        <w:rPr>
          <w:rFonts w:hint="eastAsia" w:ascii="宋体" w:hAnsi="宋体"/>
          <w:bCs/>
          <w:color w:val="000000"/>
          <w:sz w:val="24"/>
        </w:rPr>
        <w:t xml:space="preserve">成交标准 </w:t>
      </w:r>
    </w:p>
    <w:p>
      <w:pPr>
        <w:tabs>
          <w:tab w:val="left" w:pos="840"/>
          <w:tab w:val="left" w:pos="1050"/>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本项目在质量和服务均能满足采购文件实质性响应要求的前提下，以提出最低报价的供应商为成交供应商。如因供应商最终报价相同导致无法确定成交供应商的，则所有参加最终报价的供应商均进行再次报价，直至产生成交供应商。</w:t>
      </w:r>
    </w:p>
    <w:p>
      <w:pPr>
        <w:spacing w:line="360" w:lineRule="auto"/>
        <w:ind w:firstLine="482" w:firstLineChars="200"/>
        <w:rPr>
          <w:b/>
          <w:bCs/>
          <w:sz w:val="24"/>
          <w:szCs w:val="24"/>
        </w:rPr>
      </w:pPr>
      <w:r>
        <w:rPr>
          <w:rFonts w:hint="eastAsia"/>
          <w:b/>
          <w:bCs/>
          <w:sz w:val="24"/>
          <w:szCs w:val="24"/>
        </w:rPr>
        <w:t>九、确定成交供应商</w:t>
      </w:r>
    </w:p>
    <w:p>
      <w:pPr>
        <w:tabs>
          <w:tab w:val="left" w:pos="552"/>
          <w:tab w:val="left" w:pos="94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1. 谈判小组根据采购文件规定的评审方法和评分标准进行评审，按采购文件的要求依法确定成交供应商。</w:t>
      </w:r>
    </w:p>
    <w:p>
      <w:pPr>
        <w:tabs>
          <w:tab w:val="left" w:pos="525"/>
          <w:tab w:val="left" w:pos="552"/>
          <w:tab w:val="left" w:pos="945"/>
        </w:tabs>
        <w:spacing w:line="360" w:lineRule="auto"/>
        <w:ind w:firstLine="480" w:firstLineChars="200"/>
        <w:rPr>
          <w:rFonts w:ascii="宋体" w:hAnsi="宋体"/>
          <w:bCs/>
          <w:color w:val="000000"/>
          <w:sz w:val="24"/>
          <w:szCs w:val="24"/>
        </w:rPr>
      </w:pPr>
      <w:r>
        <w:rPr>
          <w:rFonts w:hint="eastAsia" w:ascii="宋体" w:hAnsi="宋体"/>
          <w:sz w:val="24"/>
        </w:rPr>
        <w:t>2. 采购代理机构</w:t>
      </w:r>
      <w:r>
        <w:rPr>
          <w:rFonts w:hint="eastAsia" w:ascii="宋体" w:hAnsi="宋体"/>
          <w:bCs/>
          <w:color w:val="000000"/>
          <w:sz w:val="24"/>
          <w:szCs w:val="24"/>
        </w:rPr>
        <w:t>将评审结果通知所有参加报价的未成交供应商。</w:t>
      </w:r>
      <w:r>
        <w:rPr>
          <w:rFonts w:hint="eastAsia" w:ascii="宋体" w:hAnsi="宋体"/>
          <w:sz w:val="24"/>
        </w:rPr>
        <w:t>采购代理机构</w:t>
      </w:r>
      <w:r>
        <w:rPr>
          <w:rFonts w:hint="eastAsia" w:ascii="宋体" w:hAnsi="宋体"/>
          <w:bCs/>
          <w:color w:val="000000"/>
          <w:sz w:val="24"/>
          <w:szCs w:val="24"/>
        </w:rPr>
        <w:t>和谈判小组对未成交原因不做解释。</w:t>
      </w:r>
    </w:p>
    <w:p>
      <w:pPr>
        <w:tabs>
          <w:tab w:val="left" w:pos="525"/>
          <w:tab w:val="left" w:pos="552"/>
          <w:tab w:val="left" w:pos="945"/>
        </w:tabs>
        <w:spacing w:line="360" w:lineRule="auto"/>
        <w:ind w:firstLine="480" w:firstLineChars="200"/>
        <w:rPr>
          <w:rFonts w:ascii="宋体" w:hAnsi="宋体"/>
          <w:bCs/>
          <w:color w:val="000000"/>
          <w:sz w:val="24"/>
          <w:szCs w:val="24"/>
        </w:rPr>
      </w:pPr>
      <w:r>
        <w:rPr>
          <w:rFonts w:hint="eastAsia" w:ascii="宋体" w:hAnsi="宋体"/>
          <w:sz w:val="24"/>
        </w:rPr>
        <w:t>3. 采购代理机构</w:t>
      </w:r>
      <w:r>
        <w:rPr>
          <w:rFonts w:hint="eastAsia" w:ascii="宋体" w:hAnsi="宋体"/>
          <w:bCs/>
          <w:color w:val="000000"/>
          <w:sz w:val="24"/>
          <w:szCs w:val="24"/>
        </w:rPr>
        <w:t>向成交供应商发成交通知书。</w:t>
      </w:r>
    </w:p>
    <w:p>
      <w:pPr>
        <w:tabs>
          <w:tab w:val="left" w:pos="552"/>
          <w:tab w:val="left" w:pos="945"/>
        </w:tabs>
        <w:spacing w:line="360" w:lineRule="auto"/>
        <w:ind w:firstLine="480" w:firstLineChars="200"/>
        <w:rPr>
          <w:rFonts w:ascii="宋体" w:hAnsi="宋体"/>
          <w:bCs/>
          <w:color w:val="000000"/>
          <w:sz w:val="24"/>
          <w:szCs w:val="24"/>
        </w:rPr>
      </w:pPr>
      <w:r>
        <w:rPr>
          <w:rFonts w:hint="eastAsia" w:ascii="宋体" w:hAnsi="宋体"/>
          <w:bCs/>
          <w:color w:val="000000" w:themeColor="text1"/>
          <w:sz w:val="24"/>
          <w:szCs w:val="24"/>
          <w14:textFill>
            <w14:solidFill>
              <w14:schemeClr w14:val="tx1"/>
            </w14:solidFill>
          </w14:textFill>
        </w:rPr>
        <w:t>4. 报价供应商提交的纸质响应文件将作为存档依据，不予退回</w:t>
      </w:r>
      <w:r>
        <w:rPr>
          <w:rFonts w:hint="eastAsia" w:ascii="宋体" w:hAnsi="宋体"/>
          <w:bCs/>
          <w:color w:val="000000"/>
          <w:sz w:val="24"/>
          <w:szCs w:val="24"/>
        </w:rPr>
        <w:t>。</w:t>
      </w:r>
    </w:p>
    <w:p>
      <w:pPr>
        <w:spacing w:line="360" w:lineRule="auto"/>
        <w:ind w:firstLine="482" w:firstLineChars="200"/>
        <w:rPr>
          <w:b/>
          <w:bCs/>
          <w:sz w:val="24"/>
          <w:szCs w:val="24"/>
        </w:rPr>
      </w:pPr>
      <w:r>
        <w:rPr>
          <w:rFonts w:hint="eastAsia"/>
          <w:b/>
          <w:bCs/>
          <w:sz w:val="24"/>
          <w:szCs w:val="24"/>
        </w:rPr>
        <w:t>十、采购终止</w:t>
      </w:r>
    </w:p>
    <w:p>
      <w:pPr>
        <w:spacing w:line="360" w:lineRule="auto"/>
        <w:ind w:firstLine="523" w:firstLineChars="218"/>
        <w:rPr>
          <w:rFonts w:ascii="宋体" w:hAnsi="宋体"/>
          <w:bCs/>
          <w:color w:val="000000"/>
          <w:sz w:val="24"/>
          <w:szCs w:val="24"/>
        </w:rPr>
      </w:pPr>
      <w:r>
        <w:rPr>
          <w:rFonts w:hint="eastAsia" w:ascii="宋体" w:hAnsi="宋体"/>
          <w:bCs/>
          <w:color w:val="000000"/>
          <w:sz w:val="24"/>
          <w:szCs w:val="24"/>
        </w:rPr>
        <w:t>在竞争性谈判采购中，出现下列情况之一的，本次采购活动终止：</w:t>
      </w:r>
    </w:p>
    <w:p>
      <w:pPr>
        <w:tabs>
          <w:tab w:val="right" w:pos="180"/>
          <w:tab w:val="left" w:pos="570"/>
          <w:tab w:val="left" w:pos="94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 xml:space="preserve">1. </w:t>
      </w:r>
      <w:r>
        <w:rPr>
          <w:rFonts w:ascii="宋体" w:hAnsi="宋体"/>
          <w:bCs/>
          <w:color w:val="000000"/>
          <w:sz w:val="24"/>
          <w:szCs w:val="24"/>
        </w:rPr>
        <w:t>因情况变化，不再符合规定的竞争性谈判采购方式适用情形的</w:t>
      </w:r>
      <w:r>
        <w:rPr>
          <w:rFonts w:hint="eastAsia" w:ascii="宋体" w:hAnsi="宋体"/>
          <w:bCs/>
          <w:color w:val="000000"/>
          <w:sz w:val="24"/>
          <w:szCs w:val="24"/>
        </w:rPr>
        <w:t>；</w:t>
      </w:r>
    </w:p>
    <w:p>
      <w:pPr>
        <w:tabs>
          <w:tab w:val="left" w:pos="570"/>
          <w:tab w:val="left" w:pos="94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 xml:space="preserve">2. </w:t>
      </w:r>
      <w:r>
        <w:rPr>
          <w:rFonts w:ascii="宋体" w:hAnsi="宋体"/>
          <w:bCs/>
          <w:color w:val="000000"/>
          <w:sz w:val="24"/>
          <w:szCs w:val="24"/>
        </w:rPr>
        <w:t>出现影响采购公正的违法、违规行为的</w:t>
      </w:r>
      <w:r>
        <w:rPr>
          <w:rFonts w:hint="eastAsia" w:ascii="宋体" w:hAnsi="宋体"/>
          <w:bCs/>
          <w:color w:val="000000"/>
          <w:sz w:val="24"/>
          <w:szCs w:val="24"/>
        </w:rPr>
        <w:t>；</w:t>
      </w:r>
    </w:p>
    <w:p>
      <w:pPr>
        <w:tabs>
          <w:tab w:val="left" w:pos="570"/>
          <w:tab w:val="left" w:pos="94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 xml:space="preserve">3. </w:t>
      </w:r>
      <w:r>
        <w:rPr>
          <w:rFonts w:ascii="宋体" w:hAnsi="宋体"/>
          <w:bCs/>
          <w:color w:val="000000"/>
          <w:sz w:val="24"/>
          <w:szCs w:val="24"/>
        </w:rPr>
        <w:t>在采购过程中符合竞争要求的供应商或者报价未超过采购预算的供应商数量</w:t>
      </w:r>
      <w:r>
        <w:rPr>
          <w:rFonts w:hint="eastAsia" w:ascii="宋体" w:hAnsi="宋体"/>
          <w:bCs/>
          <w:color w:val="000000"/>
          <w:sz w:val="24"/>
          <w:szCs w:val="24"/>
        </w:rPr>
        <w:t xml:space="preserve"> 不符合法律法规要求的</w:t>
      </w:r>
      <w:r>
        <w:rPr>
          <w:rFonts w:ascii="宋体" w:hAnsi="宋体"/>
          <w:bCs/>
          <w:color w:val="000000"/>
          <w:sz w:val="24"/>
          <w:szCs w:val="24"/>
        </w:rPr>
        <w:t>，但</w:t>
      </w:r>
      <w:r>
        <w:rPr>
          <w:rFonts w:hint="eastAsia" w:ascii="宋体" w:hAnsi="宋体"/>
          <w:bCs/>
          <w:color w:val="000000"/>
          <w:sz w:val="24"/>
          <w:szCs w:val="24"/>
        </w:rPr>
        <w:t>《</w:t>
      </w:r>
      <w:r>
        <w:rPr>
          <w:rFonts w:ascii="宋体" w:hAnsi="宋体"/>
          <w:bCs/>
          <w:color w:val="000000"/>
          <w:sz w:val="24"/>
          <w:szCs w:val="24"/>
        </w:rPr>
        <w:t>政府采购非招标采购方式管理办法</w:t>
      </w:r>
      <w:r>
        <w:rPr>
          <w:rFonts w:hint="eastAsia" w:ascii="宋体" w:hAnsi="宋体"/>
          <w:bCs/>
          <w:color w:val="000000"/>
          <w:sz w:val="24"/>
          <w:szCs w:val="24"/>
        </w:rPr>
        <w:t>》</w:t>
      </w:r>
      <w:r>
        <w:rPr>
          <w:rFonts w:ascii="宋体" w:hAnsi="宋体"/>
          <w:bCs/>
          <w:color w:val="000000"/>
          <w:sz w:val="24"/>
          <w:szCs w:val="24"/>
        </w:rPr>
        <w:t>第二十七条第二款规定的情形除外。</w:t>
      </w:r>
    </w:p>
    <w:p>
      <w:pPr>
        <w:spacing w:line="360" w:lineRule="auto"/>
        <w:ind w:firstLine="482" w:firstLineChars="200"/>
        <w:rPr>
          <w:b/>
          <w:bCs/>
          <w:sz w:val="24"/>
          <w:szCs w:val="24"/>
        </w:rPr>
      </w:pPr>
      <w:r>
        <w:rPr>
          <w:rFonts w:hint="eastAsia"/>
          <w:b/>
          <w:bCs/>
          <w:sz w:val="24"/>
          <w:szCs w:val="24"/>
        </w:rPr>
        <w:t>十一、签订、履行合同</w:t>
      </w:r>
    </w:p>
    <w:p>
      <w:pPr>
        <w:tabs>
          <w:tab w:val="left" w:pos="525"/>
          <w:tab w:val="left" w:pos="552"/>
          <w:tab w:val="left" w:pos="945"/>
          <w:tab w:val="left" w:pos="1050"/>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sz w:val="24"/>
          <w:szCs w:val="24"/>
        </w:rPr>
        <w:t>1. 采购人应当自成交通知书发出之日起三十日内，按照采购文件和成交供应商响应文件的约定，与成交供应商签订书面合同。所</w:t>
      </w:r>
      <w:r>
        <w:rPr>
          <w:rFonts w:hint="eastAsia" w:ascii="宋体" w:hAnsi="宋体"/>
          <w:bCs/>
          <w:color w:val="000000" w:themeColor="text1"/>
          <w:sz w:val="24"/>
          <w:szCs w:val="24"/>
          <w14:textFill>
            <w14:solidFill>
              <w14:schemeClr w14:val="tx1"/>
            </w14:solidFill>
          </w14:textFill>
        </w:rPr>
        <w:t>签订的合同不得对采购文件和</w:t>
      </w:r>
      <w:r>
        <w:rPr>
          <w:rFonts w:hint="eastAsia" w:ascii="宋体" w:hAnsi="宋体"/>
          <w:bCs/>
          <w:sz w:val="24"/>
          <w:szCs w:val="24"/>
        </w:rPr>
        <w:t>成交</w:t>
      </w:r>
      <w:r>
        <w:rPr>
          <w:rFonts w:hint="eastAsia" w:ascii="宋体" w:hAnsi="宋体"/>
          <w:bCs/>
          <w:color w:val="000000" w:themeColor="text1"/>
          <w:sz w:val="24"/>
          <w:szCs w:val="24"/>
          <w14:textFill>
            <w14:solidFill>
              <w14:schemeClr w14:val="tx1"/>
            </w14:solidFill>
          </w14:textFill>
        </w:rPr>
        <w:t>供应商响应文件作实质性修改。采购人不得向</w:t>
      </w:r>
      <w:r>
        <w:rPr>
          <w:rFonts w:hint="eastAsia" w:ascii="宋体" w:hAnsi="宋体"/>
          <w:bCs/>
          <w:sz w:val="24"/>
          <w:szCs w:val="24"/>
        </w:rPr>
        <w:t>成交</w:t>
      </w:r>
      <w:r>
        <w:rPr>
          <w:rFonts w:hint="eastAsia" w:ascii="宋体" w:hAnsi="宋体"/>
          <w:bCs/>
          <w:color w:val="000000" w:themeColor="text1"/>
          <w:sz w:val="24"/>
          <w:szCs w:val="24"/>
          <w14:textFill>
            <w14:solidFill>
              <w14:schemeClr w14:val="tx1"/>
            </w14:solidFill>
          </w14:textFill>
        </w:rPr>
        <w:t>供应商提出任何不合理的要求，作为签订合同的条件，不得与</w:t>
      </w:r>
      <w:r>
        <w:rPr>
          <w:rFonts w:hint="eastAsia" w:ascii="宋体" w:hAnsi="宋体"/>
          <w:bCs/>
          <w:sz w:val="24"/>
          <w:szCs w:val="24"/>
        </w:rPr>
        <w:t>成交</w:t>
      </w:r>
      <w:r>
        <w:rPr>
          <w:rFonts w:hint="eastAsia" w:ascii="宋体" w:hAnsi="宋体"/>
          <w:bCs/>
          <w:color w:val="000000" w:themeColor="text1"/>
          <w:sz w:val="24"/>
          <w:szCs w:val="24"/>
          <w14:textFill>
            <w14:solidFill>
              <w14:schemeClr w14:val="tx1"/>
            </w14:solidFill>
          </w14:textFill>
        </w:rPr>
        <w:t>供应商私下订立背离合同实质性内容的协议。合同须在常州中采招投标有限公司备案。</w:t>
      </w:r>
    </w:p>
    <w:p>
      <w:pPr>
        <w:tabs>
          <w:tab w:val="left" w:pos="525"/>
          <w:tab w:val="left" w:pos="552"/>
          <w:tab w:val="left" w:pos="945"/>
          <w:tab w:val="left" w:pos="1050"/>
        </w:tabs>
        <w:spacing w:line="360" w:lineRule="auto"/>
        <w:ind w:firstLine="480" w:firstLineChars="200"/>
        <w:rPr>
          <w:rFonts w:ascii="宋体"/>
          <w:bCs/>
          <w:sz w:val="24"/>
          <w:szCs w:val="24"/>
        </w:rPr>
      </w:pPr>
      <w:r>
        <w:rPr>
          <w:rFonts w:hint="eastAsia" w:ascii="宋体" w:hAnsi="宋体"/>
          <w:bCs/>
          <w:sz w:val="24"/>
          <w:szCs w:val="24"/>
        </w:rPr>
        <w:t>2. 成交供应商</w:t>
      </w:r>
      <w:r>
        <w:rPr>
          <w:rFonts w:hint="eastAsia" w:ascii="宋体" w:hAnsi="宋体"/>
          <w:bCs/>
          <w:color w:val="000000" w:themeColor="text1"/>
          <w:sz w:val="24"/>
          <w:szCs w:val="24"/>
          <w14:textFill>
            <w14:solidFill>
              <w14:schemeClr w14:val="tx1"/>
            </w14:solidFill>
          </w14:textFill>
        </w:rPr>
        <w:t>非因不可抗力未履行采购文件、响应文件和合同规定的义务，一经查实，</w:t>
      </w:r>
      <w:r>
        <w:rPr>
          <w:rFonts w:hint="eastAsia" w:ascii="宋体" w:hAnsi="宋体"/>
          <w:sz w:val="24"/>
        </w:rPr>
        <w:t>采购代理机构</w:t>
      </w:r>
      <w:r>
        <w:rPr>
          <w:rFonts w:hint="eastAsia" w:ascii="宋体" w:hAnsi="宋体"/>
          <w:bCs/>
          <w:color w:val="000000" w:themeColor="text1"/>
          <w:sz w:val="24"/>
          <w:szCs w:val="24"/>
          <w14:textFill>
            <w14:solidFill>
              <w14:schemeClr w14:val="tx1"/>
            </w14:solidFill>
          </w14:textFill>
        </w:rPr>
        <w:t>将根据具体情况提</w:t>
      </w:r>
      <w:r>
        <w:rPr>
          <w:rFonts w:hint="eastAsia" w:ascii="宋体" w:hAnsi="宋体"/>
          <w:bCs/>
          <w:sz w:val="24"/>
          <w:szCs w:val="24"/>
        </w:rPr>
        <w:t>请采购管理部门作出相应处理。</w:t>
      </w:r>
    </w:p>
    <w:p>
      <w:pPr>
        <w:tabs>
          <w:tab w:val="left" w:pos="525"/>
          <w:tab w:val="left" w:pos="552"/>
          <w:tab w:val="left" w:pos="945"/>
          <w:tab w:val="left" w:pos="1050"/>
        </w:tabs>
        <w:spacing w:line="360" w:lineRule="auto"/>
        <w:ind w:firstLine="480" w:firstLineChars="200"/>
        <w:rPr>
          <w:rFonts w:ascii="宋体" w:hAnsi="宋体"/>
          <w:bCs/>
          <w:sz w:val="24"/>
        </w:rPr>
      </w:pPr>
      <w:r>
        <w:rPr>
          <w:rFonts w:hint="eastAsia" w:ascii="宋体" w:hAnsi="宋体"/>
          <w:bCs/>
          <w:sz w:val="24"/>
          <w:szCs w:val="24"/>
        </w:rPr>
        <w:t>3. 成交供应商向采购人缴纳的履约保证金不超过采购合同金额的</w:t>
      </w:r>
      <w:r>
        <w:rPr>
          <w:rFonts w:ascii="宋体" w:hAnsi="宋体"/>
          <w:bCs/>
          <w:sz w:val="24"/>
          <w:szCs w:val="24"/>
        </w:rPr>
        <w:t>10%</w:t>
      </w:r>
      <w:r>
        <w:rPr>
          <w:rFonts w:hint="eastAsia" w:ascii="宋体" w:hAnsi="宋体"/>
          <w:bCs/>
          <w:sz w:val="24"/>
          <w:szCs w:val="24"/>
        </w:rPr>
        <w:t>。收取履约保证金的，成交供应商须自成交通知书发出之日起十日内向采购人交纳履约保证金。采购人应当与成交供应商在采购合同中约定履约保证金退还的方式、时间、条件和不予退还的情形，明确逾期退还履约保证金的违约责任。履约保证金在项目验收合格后并按相关规定扣除处罚款后退还，不计利息。</w:t>
      </w:r>
    </w:p>
    <w:p>
      <w:pPr>
        <w:tabs>
          <w:tab w:val="left" w:pos="525"/>
          <w:tab w:val="left" w:pos="552"/>
          <w:tab w:val="left" w:pos="945"/>
          <w:tab w:val="left" w:pos="1050"/>
        </w:tabs>
        <w:spacing w:line="360" w:lineRule="auto"/>
        <w:ind w:firstLine="482" w:firstLineChars="200"/>
        <w:rPr>
          <w:b/>
          <w:bCs/>
          <w:sz w:val="24"/>
          <w:szCs w:val="24"/>
        </w:rPr>
      </w:pPr>
      <w:r>
        <w:rPr>
          <w:rFonts w:hint="eastAsia"/>
          <w:b/>
          <w:bCs/>
          <w:sz w:val="24"/>
          <w:szCs w:val="24"/>
        </w:rPr>
        <w:t>十二、注意事项</w:t>
      </w:r>
    </w:p>
    <w:p>
      <w:pPr>
        <w:tabs>
          <w:tab w:val="left" w:pos="945"/>
          <w:tab w:val="left" w:pos="1050"/>
        </w:tabs>
        <w:spacing w:line="360" w:lineRule="auto"/>
        <w:ind w:firstLine="480" w:firstLineChars="200"/>
        <w:rPr>
          <w:rFonts w:ascii="宋体" w:hAnsi="宋体"/>
          <w:color w:val="000000"/>
          <w:sz w:val="24"/>
          <w:szCs w:val="24"/>
        </w:rPr>
      </w:pPr>
      <w:r>
        <w:rPr>
          <w:rFonts w:hint="eastAsia" w:ascii="宋体" w:hAnsi="宋体"/>
          <w:bCs/>
          <w:color w:val="000000"/>
          <w:sz w:val="24"/>
          <w:szCs w:val="24"/>
        </w:rPr>
        <w:t>成交供应商有下列情形之一的，</w:t>
      </w:r>
      <w:r>
        <w:rPr>
          <w:rFonts w:hint="eastAsia" w:ascii="宋体" w:hAnsi="宋体"/>
          <w:color w:val="000000"/>
          <w:sz w:val="24"/>
          <w:szCs w:val="24"/>
        </w:rPr>
        <w:t>必须</w:t>
      </w:r>
      <w:r>
        <w:rPr>
          <w:rFonts w:ascii="宋体" w:hAnsi="宋体"/>
          <w:color w:val="000000"/>
          <w:sz w:val="24"/>
          <w:szCs w:val="24"/>
        </w:rPr>
        <w:t>限期改正，情节严重的，列入不良行为记录名单，在1至3年内禁止参加采购活动，并予以通报：</w:t>
      </w:r>
    </w:p>
    <w:p>
      <w:pPr>
        <w:tabs>
          <w:tab w:val="left" w:pos="315"/>
          <w:tab w:val="left" w:pos="735"/>
          <w:tab w:val="left" w:pos="1155"/>
        </w:tabs>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1. </w:t>
      </w:r>
      <w:r>
        <w:rPr>
          <w:rFonts w:ascii="宋体" w:hAnsi="宋体"/>
          <w:color w:val="000000"/>
          <w:sz w:val="24"/>
          <w:szCs w:val="24"/>
        </w:rPr>
        <w:t>未按照采购文件确定的事项签订采购合同，或者与采购人另行订立背离合同实质性内容的协议的；</w:t>
      </w:r>
    </w:p>
    <w:p>
      <w:pPr>
        <w:tabs>
          <w:tab w:val="left" w:pos="315"/>
          <w:tab w:val="left" w:pos="735"/>
          <w:tab w:val="left" w:pos="1155"/>
        </w:tabs>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2. </w:t>
      </w:r>
      <w:r>
        <w:rPr>
          <w:rFonts w:ascii="宋体" w:hAnsi="宋体"/>
          <w:color w:val="000000"/>
          <w:sz w:val="24"/>
          <w:szCs w:val="24"/>
        </w:rPr>
        <w:t>成交后无正当理由不与采购人签订合同的；</w:t>
      </w:r>
    </w:p>
    <w:p>
      <w:pPr>
        <w:tabs>
          <w:tab w:val="left" w:pos="315"/>
          <w:tab w:val="left" w:pos="735"/>
          <w:tab w:val="left" w:pos="115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3. 拒绝履行合同义务的。</w:t>
      </w:r>
    </w:p>
    <w:p>
      <w:pPr>
        <w:spacing w:line="360" w:lineRule="auto"/>
        <w:ind w:firstLine="482" w:firstLineChars="200"/>
        <w:rPr>
          <w:b/>
          <w:bCs/>
          <w:sz w:val="24"/>
          <w:szCs w:val="24"/>
        </w:rPr>
      </w:pPr>
      <w:r>
        <w:rPr>
          <w:rFonts w:hint="eastAsia"/>
          <w:b/>
          <w:bCs/>
          <w:sz w:val="24"/>
          <w:szCs w:val="24"/>
        </w:rPr>
        <w:t>十三、成交服务费</w:t>
      </w:r>
    </w:p>
    <w:p>
      <w:pPr>
        <w:pStyle w:val="109"/>
        <w:numPr>
          <w:ilvl w:val="0"/>
          <w:numId w:val="5"/>
        </w:numPr>
        <w:tabs>
          <w:tab w:val="left" w:pos="510"/>
          <w:tab w:val="left" w:pos="735"/>
          <w:tab w:val="left" w:pos="945"/>
          <w:tab w:val="left" w:pos="1129"/>
          <w:tab w:val="left" w:pos="1155"/>
        </w:tabs>
        <w:spacing w:line="360" w:lineRule="auto"/>
        <w:ind w:firstLineChars="0"/>
        <w:rPr>
          <w:rFonts w:ascii="宋体" w:hAnsi="宋体"/>
          <w:bCs/>
          <w:sz w:val="24"/>
          <w:szCs w:val="24"/>
        </w:rPr>
      </w:pPr>
      <w:r>
        <w:rPr>
          <w:rFonts w:hint="eastAsia" w:ascii="宋体" w:hAnsi="宋体"/>
          <w:bCs/>
          <w:sz w:val="24"/>
          <w:szCs w:val="24"/>
        </w:rPr>
        <w:t>采购代理服务费收费标准为：</w:t>
      </w:r>
    </w:p>
    <w:tbl>
      <w:tblPr>
        <w:tblStyle w:val="31"/>
        <w:tblW w:w="0" w:type="auto"/>
        <w:jc w:val="center"/>
        <w:tblLayout w:type="autofit"/>
        <w:tblCellMar>
          <w:top w:w="15" w:type="dxa"/>
          <w:left w:w="15" w:type="dxa"/>
          <w:bottom w:w="15" w:type="dxa"/>
          <w:right w:w="15" w:type="dxa"/>
        </w:tblCellMar>
      </w:tblPr>
      <w:tblGrid>
        <w:gridCol w:w="2048"/>
        <w:gridCol w:w="1845"/>
      </w:tblGrid>
      <w:tr>
        <w:tblPrEx>
          <w:tblCellMar>
            <w:top w:w="15" w:type="dxa"/>
            <w:left w:w="15" w:type="dxa"/>
            <w:bottom w:w="15" w:type="dxa"/>
            <w:right w:w="15" w:type="dxa"/>
          </w:tblCellMar>
        </w:tblPrEx>
        <w:trPr>
          <w:trHeight w:val="1134" w:hRule="atLeast"/>
          <w:jc w:val="center"/>
        </w:trPr>
        <w:tc>
          <w:tcPr>
            <w:tcW w:w="2048"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napToGrid w:val="0"/>
              <w:jc w:val="left"/>
              <w:textAlignment w:val="top"/>
              <w:rPr>
                <w:rFonts w:ascii="宋体" w:hAnsi="宋体" w:eastAsia="宋体" w:cs="宋体"/>
                <w:color w:val="000000"/>
                <w:sz w:val="24"/>
                <w:szCs w:val="24"/>
              </w:rPr>
            </w:pP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中标金额（万元）</w:t>
            </w:r>
          </w:p>
          <w:p>
            <w:pPr>
              <w:widowControl/>
              <w:ind w:firstLine="480" w:firstLineChars="200"/>
              <w:jc w:val="left"/>
              <w:textAlignment w:val="top"/>
              <w:rPr>
                <w:rFonts w:ascii="宋体" w:hAnsi="宋体" w:eastAsia="宋体" w:cs="宋体"/>
                <w:color w:val="000000"/>
                <w:kern w:val="0"/>
                <w:sz w:val="24"/>
                <w:szCs w:val="24"/>
                <w:lang w:bidi="ar"/>
              </w:rPr>
            </w:pPr>
          </w:p>
          <w:p>
            <w:pPr>
              <w:widowControl/>
              <w:jc w:val="left"/>
              <w:textAlignment w:val="top"/>
              <w:rPr>
                <w:rFonts w:ascii="宋体" w:hAnsi="宋体" w:eastAsia="宋体" w:cs="宋体"/>
                <w:color w:val="000000"/>
                <w:sz w:val="24"/>
                <w:szCs w:val="24"/>
              </w:rPr>
            </w:pPr>
            <w:r>
              <w:rPr>
                <w:rFonts w:hint="eastAsia" w:ascii="宋体" w:hAnsi="宋体" w:eastAsia="宋体" w:cs="宋体"/>
                <w:color w:val="000000"/>
                <w:kern w:val="0"/>
                <w:sz w:val="24"/>
                <w:szCs w:val="24"/>
                <w:lang w:bidi="ar"/>
              </w:rPr>
              <w:t>费率</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服务</w:t>
            </w:r>
          </w:p>
        </w:tc>
      </w:tr>
      <w:tr>
        <w:tblPrEx>
          <w:tblCellMar>
            <w:top w:w="15" w:type="dxa"/>
            <w:left w:w="15" w:type="dxa"/>
            <w:bottom w:w="15" w:type="dxa"/>
            <w:right w:w="15" w:type="dxa"/>
          </w:tblCellMar>
        </w:tblPrEx>
        <w:trPr>
          <w:trHeight w:val="825" w:hRule="atLeast"/>
          <w:jc w:val="center"/>
        </w:trPr>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宋体" w:hAnsi="宋体" w:eastAsia="宋体" w:cs="宋体"/>
                <w:color w:val="000000"/>
                <w:sz w:val="24"/>
                <w:szCs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15" w:type="dxa"/>
            <w:left w:w="15" w:type="dxa"/>
            <w:bottom w:w="15" w:type="dxa"/>
            <w:right w:w="15" w:type="dxa"/>
          </w:tblCellMar>
        </w:tblPrEx>
        <w:trPr>
          <w:trHeight w:val="495" w:hRule="atLeast"/>
          <w:jc w:val="center"/>
        </w:trPr>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100以下</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1.50%</w:t>
            </w:r>
          </w:p>
        </w:tc>
      </w:tr>
      <w:tr>
        <w:tblPrEx>
          <w:tblCellMar>
            <w:top w:w="15" w:type="dxa"/>
            <w:left w:w="15" w:type="dxa"/>
            <w:bottom w:w="15" w:type="dxa"/>
            <w:right w:w="15" w:type="dxa"/>
          </w:tblCellMar>
        </w:tblPrEx>
        <w:trPr>
          <w:trHeight w:val="495" w:hRule="atLeast"/>
          <w:jc w:val="center"/>
        </w:trPr>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100-500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0.80%</w:t>
            </w:r>
          </w:p>
        </w:tc>
      </w:tr>
    </w:tbl>
    <w:p>
      <w:pPr>
        <w:tabs>
          <w:tab w:val="left" w:pos="510"/>
          <w:tab w:val="left" w:pos="735"/>
          <w:tab w:val="left" w:pos="945"/>
          <w:tab w:val="left" w:pos="1155"/>
        </w:tabs>
        <w:spacing w:line="360" w:lineRule="auto"/>
        <w:rPr>
          <w:rFonts w:ascii="宋体" w:hAnsi="宋体" w:eastAsia="宋体"/>
          <w:bCs/>
          <w:sz w:val="24"/>
          <w:szCs w:val="24"/>
        </w:rPr>
      </w:pPr>
      <w:r>
        <w:rPr>
          <w:rFonts w:hint="eastAsia" w:ascii="宋体" w:hAnsi="宋体"/>
          <w:b/>
          <w:bCs/>
          <w:sz w:val="24"/>
        </w:rPr>
        <w:tab/>
      </w:r>
      <w:r>
        <w:rPr>
          <w:rFonts w:hint="eastAsia" w:ascii="宋体" w:hAnsi="宋体"/>
          <w:b/>
          <w:bCs/>
          <w:sz w:val="24"/>
        </w:rPr>
        <w:t>备注：</w:t>
      </w:r>
      <w:r>
        <w:rPr>
          <w:rFonts w:hint="eastAsia" w:ascii="宋体" w:hAnsi="宋体" w:eastAsia="宋体"/>
          <w:sz w:val="24"/>
        </w:rPr>
        <w:t>收费比例按差额定率累进法计算</w:t>
      </w:r>
      <w:r>
        <w:rPr>
          <w:rFonts w:hint="eastAsia" w:ascii="宋体" w:hAnsi="宋体" w:eastAsia="宋体"/>
          <w:b/>
          <w:bCs/>
          <w:sz w:val="24"/>
        </w:rPr>
        <w:t>，</w:t>
      </w:r>
      <w:r>
        <w:rPr>
          <w:rFonts w:hint="eastAsia" w:ascii="宋体" w:hAnsi="宋体" w:eastAsia="宋体"/>
          <w:sz w:val="24"/>
        </w:rPr>
        <w:t>采购</w:t>
      </w:r>
      <w:r>
        <w:rPr>
          <w:rFonts w:ascii="宋体" w:hAnsi="宋体" w:eastAsia="宋体"/>
          <w:sz w:val="24"/>
        </w:rPr>
        <w:t>代理服务</w:t>
      </w:r>
      <w:r>
        <w:rPr>
          <w:rFonts w:hint="eastAsia" w:ascii="宋体" w:hAnsi="宋体" w:eastAsia="宋体"/>
          <w:sz w:val="24"/>
        </w:rPr>
        <w:t>费</w:t>
      </w:r>
      <w:r>
        <w:rPr>
          <w:rFonts w:ascii="宋体" w:hAnsi="宋体" w:eastAsia="宋体"/>
          <w:sz w:val="24"/>
        </w:rPr>
        <w:t>收费按上述计算方法不足人民币3000元的，按人民币3000元收取</w:t>
      </w:r>
      <w:r>
        <w:rPr>
          <w:rFonts w:hint="eastAsia" w:ascii="宋体" w:hAnsi="宋体" w:eastAsia="宋体"/>
          <w:sz w:val="24"/>
        </w:rPr>
        <w:t>。按年收费的项目代理服务费按服务期限*年服务费收取。</w:t>
      </w:r>
    </w:p>
    <w:p>
      <w:pPr>
        <w:tabs>
          <w:tab w:val="left" w:pos="510"/>
          <w:tab w:val="left" w:pos="735"/>
          <w:tab w:val="left" w:pos="945"/>
          <w:tab w:val="left" w:pos="1129"/>
          <w:tab w:val="left" w:pos="1155"/>
        </w:tabs>
        <w:spacing w:line="360" w:lineRule="auto"/>
        <w:ind w:firstLine="480" w:firstLineChars="200"/>
        <w:rPr>
          <w:rFonts w:ascii="宋体" w:hAnsi="宋体"/>
          <w:bCs/>
          <w:sz w:val="24"/>
          <w:szCs w:val="24"/>
        </w:rPr>
      </w:pPr>
      <w:r>
        <w:rPr>
          <w:rFonts w:hint="eastAsia" w:ascii="宋体" w:hAnsi="宋体"/>
          <w:bCs/>
          <w:sz w:val="24"/>
          <w:szCs w:val="24"/>
        </w:rPr>
        <w:t>2. 成交供应商领取成交通知书时须向常州中采招投标有限公司缴纳采购代理服务费。</w:t>
      </w:r>
    </w:p>
    <w:p>
      <w:pPr>
        <w:tabs>
          <w:tab w:val="left" w:pos="510"/>
          <w:tab w:val="left" w:pos="735"/>
          <w:tab w:val="left" w:pos="945"/>
          <w:tab w:val="left" w:pos="1129"/>
          <w:tab w:val="left" w:pos="1155"/>
        </w:tabs>
        <w:spacing w:line="360" w:lineRule="auto"/>
        <w:ind w:firstLine="480" w:firstLineChars="200"/>
        <w:rPr>
          <w:rFonts w:ascii="宋体" w:hAnsi="宋体"/>
          <w:bCs/>
          <w:sz w:val="24"/>
          <w:szCs w:val="24"/>
        </w:rPr>
      </w:pPr>
      <w:r>
        <w:rPr>
          <w:rFonts w:hint="eastAsia" w:ascii="宋体" w:hAnsi="宋体"/>
          <w:bCs/>
          <w:sz w:val="24"/>
          <w:szCs w:val="24"/>
        </w:rPr>
        <w:t>3. 公司账户信息</w:t>
      </w:r>
    </w:p>
    <w:p>
      <w:pPr>
        <w:tabs>
          <w:tab w:val="left" w:pos="510"/>
          <w:tab w:val="left" w:pos="735"/>
          <w:tab w:val="left" w:pos="945"/>
          <w:tab w:val="left" w:pos="1129"/>
          <w:tab w:val="left" w:pos="1155"/>
        </w:tabs>
        <w:spacing w:line="360" w:lineRule="auto"/>
        <w:ind w:firstLine="960" w:firstLineChars="400"/>
        <w:rPr>
          <w:rFonts w:ascii="宋体" w:hAnsi="宋体"/>
          <w:bCs/>
          <w:sz w:val="24"/>
          <w:szCs w:val="24"/>
        </w:rPr>
      </w:pPr>
      <w:r>
        <w:rPr>
          <w:rFonts w:hint="eastAsia" w:ascii="宋体" w:hAnsi="宋体"/>
          <w:bCs/>
          <w:sz w:val="24"/>
          <w:szCs w:val="24"/>
        </w:rPr>
        <w:t>单位名称：常州中采招投标有限公司</w:t>
      </w:r>
    </w:p>
    <w:p>
      <w:pPr>
        <w:tabs>
          <w:tab w:val="left" w:pos="510"/>
          <w:tab w:val="left" w:pos="735"/>
          <w:tab w:val="left" w:pos="945"/>
          <w:tab w:val="left" w:pos="1129"/>
          <w:tab w:val="left" w:pos="1155"/>
        </w:tabs>
        <w:spacing w:line="360" w:lineRule="auto"/>
        <w:ind w:firstLine="960" w:firstLineChars="400"/>
        <w:rPr>
          <w:rFonts w:ascii="宋体" w:hAnsi="宋体"/>
          <w:bCs/>
          <w:sz w:val="24"/>
          <w:szCs w:val="24"/>
        </w:rPr>
      </w:pPr>
      <w:r>
        <w:rPr>
          <w:rFonts w:hint="eastAsia" w:ascii="宋体" w:hAnsi="宋体"/>
          <w:bCs/>
          <w:sz w:val="24"/>
          <w:szCs w:val="24"/>
        </w:rPr>
        <w:t>账  号：32050162970100001741</w:t>
      </w:r>
    </w:p>
    <w:p>
      <w:pPr>
        <w:tabs>
          <w:tab w:val="left" w:pos="510"/>
          <w:tab w:val="left" w:pos="735"/>
          <w:tab w:val="left" w:pos="945"/>
          <w:tab w:val="left" w:pos="1129"/>
          <w:tab w:val="left" w:pos="1155"/>
        </w:tabs>
        <w:spacing w:line="360" w:lineRule="auto"/>
        <w:ind w:firstLine="960" w:firstLineChars="400"/>
        <w:rPr>
          <w:rFonts w:ascii="宋体" w:hAnsi="宋体"/>
          <w:bCs/>
          <w:sz w:val="24"/>
          <w:szCs w:val="24"/>
        </w:rPr>
      </w:pPr>
      <w:r>
        <w:rPr>
          <w:rFonts w:hint="eastAsia" w:ascii="宋体" w:hAnsi="宋体"/>
          <w:bCs/>
          <w:sz w:val="24"/>
          <w:szCs w:val="24"/>
        </w:rPr>
        <w:t>开户行：建行常州惠民支行</w:t>
      </w:r>
    </w:p>
    <w:p>
      <w:pPr>
        <w:widowControl/>
        <w:spacing w:line="360" w:lineRule="auto"/>
        <w:ind w:firstLine="480" w:firstLineChars="200"/>
        <w:jc w:val="left"/>
        <w:rPr>
          <w:rFonts w:ascii="宋体" w:hAnsi="宋体"/>
          <w:bCs/>
          <w:sz w:val="24"/>
          <w:szCs w:val="24"/>
        </w:rPr>
      </w:pPr>
      <w:r>
        <w:rPr>
          <w:rFonts w:ascii="宋体" w:hAnsi="宋体"/>
          <w:bCs/>
          <w:sz w:val="24"/>
          <w:szCs w:val="24"/>
        </w:rPr>
        <w:br w:type="page"/>
      </w:r>
    </w:p>
    <w:p>
      <w:pPr>
        <w:pStyle w:val="121"/>
      </w:pPr>
      <w:bookmarkStart w:id="44" w:name="_Toc55147047"/>
      <w:bookmarkStart w:id="45" w:name="_Toc17895"/>
      <w:r>
        <w:rPr>
          <w:rFonts w:hint="eastAsia"/>
        </w:rPr>
        <w:t>三．</w:t>
      </w:r>
      <w:bookmarkEnd w:id="44"/>
      <w:r>
        <w:rPr>
          <w:rFonts w:hint="eastAsia"/>
        </w:rPr>
        <w:t>项目技术要求和有关说明</w:t>
      </w:r>
      <w:bookmarkEnd w:id="45"/>
    </w:p>
    <w:p>
      <w:pPr>
        <w:spacing w:line="360" w:lineRule="auto"/>
        <w:ind w:left="210" w:leftChars="100" w:firstLine="241" w:firstLineChars="100"/>
        <w:rPr>
          <w:rFonts w:hint="eastAsia" w:ascii="宋体" w:hAnsi="宋体" w:eastAsia="宋体"/>
          <w:sz w:val="24"/>
          <w:lang w:val="en-US" w:eastAsia="zh-CN"/>
        </w:rPr>
      </w:pPr>
      <w:r>
        <w:rPr>
          <w:rFonts w:hint="eastAsia" w:ascii="宋体" w:hAnsi="宋体" w:eastAsia="宋体"/>
          <w:b/>
          <w:sz w:val="24"/>
        </w:rPr>
        <w:t>（一）项目</w:t>
      </w:r>
      <w:r>
        <w:rPr>
          <w:rFonts w:hint="eastAsia" w:ascii="宋体" w:hAnsi="宋体" w:eastAsia="宋体"/>
          <w:b/>
          <w:sz w:val="24"/>
          <w:lang w:val="en-US" w:eastAsia="zh-CN"/>
        </w:rPr>
        <w:t>概况</w:t>
      </w:r>
    </w:p>
    <w:p>
      <w:pPr>
        <w:spacing w:line="360" w:lineRule="auto"/>
        <w:ind w:left="210" w:leftChars="100" w:firstLine="480" w:firstLineChars="200"/>
        <w:rPr>
          <w:rFonts w:hint="eastAsia" w:ascii="宋体" w:hAnsi="宋体" w:eastAsia="宋体"/>
          <w:sz w:val="24"/>
        </w:rPr>
      </w:pPr>
      <w:r>
        <w:rPr>
          <w:rFonts w:hint="eastAsia" w:ascii="宋体" w:hAnsi="宋体" w:eastAsia="宋体"/>
          <w:sz w:val="24"/>
        </w:rPr>
        <w:t>项目名称：常州市不动产登记交易中心叫号系统改造项目</w:t>
      </w:r>
    </w:p>
    <w:p>
      <w:pPr>
        <w:spacing w:line="360" w:lineRule="auto"/>
        <w:ind w:left="210" w:leftChars="100" w:firstLine="480" w:firstLineChars="200"/>
        <w:rPr>
          <w:rFonts w:hint="eastAsia" w:ascii="宋体" w:hAnsi="宋体" w:eastAsia="宋体"/>
          <w:b/>
          <w:sz w:val="24"/>
          <w:lang w:val="en-US" w:eastAsia="zh-CN"/>
        </w:rPr>
      </w:pPr>
      <w:r>
        <w:rPr>
          <w:rFonts w:hint="eastAsia" w:ascii="宋体" w:hAnsi="宋体" w:eastAsia="宋体"/>
          <w:sz w:val="24"/>
        </w:rPr>
        <w:t>项目</w:t>
      </w:r>
      <w:r>
        <w:rPr>
          <w:rFonts w:hint="eastAsia" w:ascii="宋体" w:hAnsi="宋体" w:eastAsia="宋体"/>
          <w:sz w:val="24"/>
          <w:lang w:val="en-US" w:eastAsia="zh-CN"/>
        </w:rPr>
        <w:t>预算</w:t>
      </w:r>
      <w:r>
        <w:rPr>
          <w:rFonts w:hint="eastAsia" w:ascii="宋体" w:hAnsi="宋体" w:eastAsia="宋体"/>
          <w:sz w:val="24"/>
        </w:rPr>
        <w:t>及最高限价：14.66万元</w:t>
      </w:r>
      <w:bookmarkStart w:id="87" w:name="_GoBack"/>
      <w:bookmarkEnd w:id="87"/>
      <w:r>
        <w:rPr>
          <w:rFonts w:ascii="宋体" w:hAnsi="宋体" w:eastAsia="宋体"/>
          <w:sz w:val="24"/>
        </w:rPr>
        <w:cr/>
      </w:r>
      <w:r>
        <w:rPr>
          <w:rFonts w:hint="eastAsia" w:ascii="宋体" w:hAnsi="宋体" w:eastAsia="宋体"/>
          <w:sz w:val="24"/>
        </w:rPr>
        <w:t xml:space="preserve">  </w:t>
      </w:r>
      <w:r>
        <w:rPr>
          <w:rFonts w:hint="eastAsia" w:ascii="宋体" w:hAnsi="宋体" w:eastAsia="宋体"/>
          <w:b/>
          <w:sz w:val="24"/>
        </w:rPr>
        <w:t>（</w:t>
      </w:r>
      <w:r>
        <w:rPr>
          <w:rFonts w:ascii="宋体" w:hAnsi="宋体" w:eastAsia="宋体"/>
          <w:b/>
          <w:sz w:val="24"/>
        </w:rPr>
        <w:t>二</w:t>
      </w:r>
      <w:r>
        <w:rPr>
          <w:rFonts w:hint="eastAsia" w:ascii="宋体" w:hAnsi="宋体" w:eastAsia="宋体"/>
          <w:b/>
          <w:sz w:val="24"/>
        </w:rPr>
        <w:t>）</w:t>
      </w:r>
      <w:r>
        <w:rPr>
          <w:rFonts w:hint="eastAsia" w:ascii="宋体" w:hAnsi="宋体" w:eastAsia="宋体"/>
          <w:b/>
          <w:sz w:val="24"/>
          <w:lang w:val="en-US" w:eastAsia="zh-CN"/>
        </w:rPr>
        <w:t>采购清单</w:t>
      </w:r>
    </w:p>
    <w:p>
      <w:pPr>
        <w:numPr>
          <w:ilvl w:val="0"/>
          <w:numId w:val="6"/>
        </w:numPr>
        <w:spacing w:line="360" w:lineRule="auto"/>
        <w:ind w:left="210" w:leftChars="100" w:firstLine="480" w:firstLineChars="200"/>
        <w:rPr>
          <w:rFonts w:hint="default" w:ascii="宋体" w:hAnsi="宋体" w:eastAsia="宋体"/>
          <w:b w:val="0"/>
          <w:bCs/>
          <w:sz w:val="24"/>
          <w:lang w:val="en-US" w:eastAsia="zh-CN"/>
        </w:rPr>
      </w:pPr>
      <w:r>
        <w:rPr>
          <w:rFonts w:hint="eastAsia" w:ascii="宋体" w:hAnsi="宋体" w:eastAsia="宋体"/>
          <w:b w:val="0"/>
          <w:bCs/>
          <w:sz w:val="24"/>
          <w:lang w:val="en-US" w:eastAsia="zh-CN"/>
        </w:rPr>
        <w:t>硬件</w:t>
      </w:r>
    </w:p>
    <w:tbl>
      <w:tblPr>
        <w:tblStyle w:val="31"/>
        <w:tblW w:w="7526" w:type="dxa"/>
        <w:jc w:val="center"/>
        <w:tblLayout w:type="autofit"/>
        <w:tblCellMar>
          <w:top w:w="0" w:type="dxa"/>
          <w:left w:w="108" w:type="dxa"/>
          <w:bottom w:w="0" w:type="dxa"/>
          <w:right w:w="108" w:type="dxa"/>
        </w:tblCellMar>
      </w:tblPr>
      <w:tblGrid>
        <w:gridCol w:w="566"/>
        <w:gridCol w:w="1133"/>
        <w:gridCol w:w="1836"/>
        <w:gridCol w:w="3279"/>
        <w:gridCol w:w="715"/>
      </w:tblGrid>
      <w:tr>
        <w:tblPrEx>
          <w:tblCellMar>
            <w:top w:w="0" w:type="dxa"/>
            <w:left w:w="108" w:type="dxa"/>
            <w:bottom w:w="0" w:type="dxa"/>
            <w:right w:w="108" w:type="dxa"/>
          </w:tblCellMar>
        </w:tblPrEx>
        <w:trPr>
          <w:trHeight w:val="420" w:hRule="atLeast"/>
          <w:tblHeader/>
          <w:jc w:val="center"/>
        </w:trPr>
        <w:tc>
          <w:tcPr>
            <w:tcW w:w="5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b/>
                <w:bCs/>
                <w:color w:val="000000"/>
                <w:kern w:val="0"/>
                <w:sz w:val="22"/>
              </w:rPr>
            </w:pPr>
            <w:r>
              <w:rPr>
                <w:rFonts w:hint="eastAsia" w:ascii="仿宋" w:hAnsi="仿宋" w:cs="宋体"/>
                <w:b/>
                <w:bCs/>
                <w:color w:val="000000"/>
                <w:kern w:val="0"/>
                <w:sz w:val="22"/>
              </w:rPr>
              <w:t>序号</w:t>
            </w:r>
          </w:p>
        </w:tc>
        <w:tc>
          <w:tcPr>
            <w:tcW w:w="113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b/>
                <w:bCs/>
                <w:color w:val="000000"/>
                <w:kern w:val="0"/>
                <w:sz w:val="22"/>
              </w:rPr>
            </w:pPr>
            <w:r>
              <w:rPr>
                <w:rFonts w:hint="eastAsia" w:ascii="仿宋" w:hAnsi="仿宋" w:cs="宋体"/>
                <w:b/>
                <w:bCs/>
                <w:color w:val="000000"/>
                <w:kern w:val="0"/>
                <w:sz w:val="22"/>
              </w:rPr>
              <w:t>设备名称</w:t>
            </w:r>
          </w:p>
        </w:tc>
        <w:tc>
          <w:tcPr>
            <w:tcW w:w="183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b/>
                <w:bCs/>
                <w:color w:val="000000"/>
                <w:kern w:val="0"/>
                <w:sz w:val="22"/>
              </w:rPr>
            </w:pPr>
            <w:r>
              <w:rPr>
                <w:rFonts w:hint="eastAsia" w:ascii="仿宋" w:hAnsi="仿宋" w:cs="宋体"/>
                <w:b/>
                <w:bCs/>
                <w:color w:val="000000"/>
                <w:kern w:val="0"/>
                <w:sz w:val="22"/>
              </w:rPr>
              <w:t>设备照片</w:t>
            </w:r>
          </w:p>
        </w:tc>
        <w:tc>
          <w:tcPr>
            <w:tcW w:w="327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b/>
                <w:bCs/>
                <w:color w:val="000000"/>
                <w:kern w:val="0"/>
                <w:sz w:val="22"/>
              </w:rPr>
            </w:pPr>
            <w:r>
              <w:rPr>
                <w:rFonts w:hint="eastAsia" w:ascii="仿宋" w:hAnsi="仿宋" w:cs="宋体"/>
                <w:b/>
                <w:bCs/>
                <w:color w:val="000000"/>
                <w:kern w:val="0"/>
                <w:sz w:val="22"/>
              </w:rPr>
              <w:t>设备参数说明</w:t>
            </w:r>
          </w:p>
        </w:tc>
        <w:tc>
          <w:tcPr>
            <w:tcW w:w="71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b/>
                <w:bCs/>
                <w:color w:val="000000"/>
                <w:kern w:val="0"/>
                <w:sz w:val="22"/>
              </w:rPr>
            </w:pPr>
            <w:r>
              <w:rPr>
                <w:rFonts w:hint="eastAsia" w:ascii="仿宋" w:hAnsi="仿宋" w:cs="宋体"/>
                <w:b/>
                <w:bCs/>
                <w:color w:val="000000"/>
                <w:kern w:val="0"/>
                <w:sz w:val="22"/>
              </w:rPr>
              <w:t>数量</w:t>
            </w:r>
          </w:p>
        </w:tc>
      </w:tr>
      <w:tr>
        <w:tblPrEx>
          <w:tblCellMar>
            <w:top w:w="0" w:type="dxa"/>
            <w:left w:w="108" w:type="dxa"/>
            <w:bottom w:w="0" w:type="dxa"/>
            <w:right w:w="108" w:type="dxa"/>
          </w:tblCellMar>
        </w:tblPrEx>
        <w:trPr>
          <w:trHeight w:val="7365" w:hRule="atLeast"/>
          <w:jc w:val="center"/>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kern w:val="0"/>
                <w:sz w:val="22"/>
              </w:rPr>
            </w:pPr>
            <w:r>
              <w:rPr>
                <w:rFonts w:hint="eastAsia" w:ascii="仿宋" w:hAnsi="仿宋" w:cs="宋体"/>
                <w:color w:val="000000"/>
                <w:kern w:val="0"/>
                <w:sz w:val="22"/>
              </w:rPr>
              <w:t>1</w:t>
            </w:r>
          </w:p>
        </w:tc>
        <w:tc>
          <w:tcPr>
            <w:tcW w:w="11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kern w:val="0"/>
                <w:sz w:val="22"/>
              </w:rPr>
            </w:pPr>
            <w:r>
              <w:rPr>
                <w:rFonts w:ascii="仿宋" w:hAnsi="仿宋" w:cs="宋体"/>
                <w:color w:val="000000"/>
                <w:kern w:val="0"/>
                <w:sz w:val="22"/>
              </w:rPr>
              <w:t>32寸落地取号机终端</w:t>
            </w:r>
          </w:p>
        </w:tc>
        <w:tc>
          <w:tcPr>
            <w:tcW w:w="18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 w:hAnsi="仿宋" w:cs="宋体"/>
                <w:color w:val="000000"/>
                <w:kern w:val="0"/>
                <w:sz w:val="22"/>
              </w:rPr>
            </w:pPr>
            <w:r>
              <w:drawing>
                <wp:inline distT="0" distB="0" distL="0" distR="0">
                  <wp:extent cx="790575" cy="1576705"/>
                  <wp:effectExtent l="0" t="0" r="9525" b="4445"/>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16"/>
                          <a:stretch>
                            <a:fillRect/>
                          </a:stretch>
                        </pic:blipFill>
                        <pic:spPr>
                          <a:xfrm>
                            <a:off x="0" y="0"/>
                            <a:ext cx="795594" cy="1587308"/>
                          </a:xfrm>
                          <a:prstGeom prst="rect">
                            <a:avLst/>
                          </a:prstGeom>
                        </pic:spPr>
                      </pic:pic>
                    </a:graphicData>
                  </a:graphic>
                </wp:inline>
              </w:drawing>
            </w:r>
          </w:p>
        </w:tc>
        <w:tc>
          <w:tcPr>
            <w:tcW w:w="327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cs="宋体"/>
                <w:color w:val="000000"/>
                <w:kern w:val="0"/>
                <w:sz w:val="22"/>
              </w:rPr>
            </w:pPr>
            <w:r>
              <w:rPr>
                <w:rFonts w:hint="eastAsia" w:ascii="仿宋" w:hAnsi="仿宋" w:cs="宋体"/>
                <w:color w:val="000000"/>
                <w:kern w:val="0"/>
                <w:sz w:val="22"/>
              </w:rPr>
              <w:t>屏幕参数：屏幕尺寸：</w:t>
            </w:r>
            <w:r>
              <w:rPr>
                <w:rFonts w:ascii="仿宋" w:hAnsi="仿宋" w:cs="宋体"/>
                <w:color w:val="000000"/>
                <w:kern w:val="0"/>
                <w:sz w:val="22"/>
              </w:rPr>
              <w:t>32寸、屏幕规格：原装A+模组屏、屏幕比例 9：16、物理分辨率：1080*1920、屏幕亮度：400cd/㎡、可视角度：178/178度、屏幕对比度：1200：1；</w:t>
            </w:r>
          </w:p>
          <w:p>
            <w:pPr>
              <w:widowControl/>
              <w:spacing w:line="240" w:lineRule="auto"/>
              <w:ind w:firstLine="0" w:firstLineChars="0"/>
              <w:jc w:val="left"/>
              <w:rPr>
                <w:rFonts w:ascii="仿宋" w:hAnsi="仿宋" w:cs="宋体"/>
                <w:color w:val="000000"/>
                <w:kern w:val="0"/>
                <w:sz w:val="22"/>
              </w:rPr>
            </w:pPr>
            <w:r>
              <w:rPr>
                <w:rFonts w:hint="eastAsia" w:ascii="仿宋" w:hAnsi="仿宋" w:cs="宋体"/>
                <w:color w:val="000000"/>
                <w:kern w:val="0"/>
                <w:sz w:val="22"/>
              </w:rPr>
              <w:t>触摸参数：触摸技术：投射式电容触摸技术、触摸点数：</w:t>
            </w:r>
            <w:r>
              <w:rPr>
                <w:rFonts w:ascii="仿宋" w:hAnsi="仿宋" w:cs="宋体"/>
                <w:color w:val="000000"/>
                <w:kern w:val="0"/>
                <w:sz w:val="22"/>
              </w:rPr>
              <w:t>10点；响应时间：3ms；</w:t>
            </w:r>
          </w:p>
          <w:p>
            <w:pPr>
              <w:widowControl/>
              <w:spacing w:line="240" w:lineRule="auto"/>
              <w:ind w:firstLine="0" w:firstLineChars="0"/>
              <w:jc w:val="left"/>
              <w:rPr>
                <w:rFonts w:ascii="仿宋" w:hAnsi="仿宋" w:cs="宋体"/>
                <w:color w:val="000000"/>
                <w:kern w:val="0"/>
                <w:sz w:val="22"/>
              </w:rPr>
            </w:pPr>
            <w:r>
              <w:rPr>
                <w:rFonts w:hint="eastAsia" w:ascii="仿宋" w:hAnsi="仿宋" w:cs="宋体"/>
                <w:color w:val="000000"/>
                <w:kern w:val="0"/>
                <w:sz w:val="22"/>
              </w:rPr>
              <w:t>控制系统：内置专用</w:t>
            </w:r>
            <w:r>
              <w:rPr>
                <w:rFonts w:ascii="仿宋" w:hAnsi="仿宋" w:cs="宋体"/>
                <w:color w:val="000000"/>
                <w:kern w:val="0"/>
                <w:sz w:val="22"/>
              </w:rPr>
              <w:t>X86显控主板，WIN7以上系统版本，CPU采用Intel Baytrail-D J1900处理器，默认主频2.0GHz,可睿频到 2.41GHz，DDR3-4G内存，64G固态硬盘；</w:t>
            </w:r>
          </w:p>
          <w:p>
            <w:pPr>
              <w:widowControl/>
              <w:spacing w:line="240" w:lineRule="auto"/>
              <w:ind w:firstLine="0" w:firstLineChars="0"/>
              <w:jc w:val="left"/>
              <w:rPr>
                <w:rFonts w:ascii="仿宋" w:hAnsi="仿宋" w:cs="宋体"/>
                <w:color w:val="000000"/>
                <w:kern w:val="0"/>
                <w:sz w:val="22"/>
              </w:rPr>
            </w:pPr>
            <w:r>
              <w:rPr>
                <w:rFonts w:hint="eastAsia" w:ascii="仿宋" w:hAnsi="仿宋" w:cs="宋体"/>
                <w:color w:val="000000"/>
                <w:kern w:val="0"/>
                <w:sz w:val="22"/>
              </w:rPr>
              <w:t>外置接口：前置</w:t>
            </w:r>
            <w:r>
              <w:rPr>
                <w:rFonts w:ascii="仿宋" w:hAnsi="仿宋" w:cs="宋体"/>
                <w:color w:val="000000"/>
                <w:kern w:val="0"/>
                <w:sz w:val="22"/>
              </w:rPr>
              <w:t>58mm热敏小票打印机、二代身份证阅读器、二维码阅读器、人脸识别摄像头、USB*2、AC输入*1、RJ45*1千兆网卡</w:t>
            </w:r>
            <w:r>
              <w:rPr>
                <w:rFonts w:hint="eastAsia" w:ascii="仿宋" w:hAnsi="仿宋" w:cs="宋体"/>
                <w:color w:val="000000"/>
                <w:kern w:val="0"/>
                <w:sz w:val="22"/>
              </w:rPr>
              <w:t>；</w:t>
            </w:r>
          </w:p>
          <w:p>
            <w:pPr>
              <w:widowControl/>
              <w:spacing w:line="240" w:lineRule="auto"/>
              <w:ind w:firstLine="0" w:firstLineChars="0"/>
              <w:jc w:val="left"/>
              <w:rPr>
                <w:rFonts w:ascii="仿宋" w:hAnsi="仿宋" w:cs="宋体"/>
                <w:color w:val="000000"/>
                <w:kern w:val="0"/>
                <w:sz w:val="22"/>
              </w:rPr>
            </w:pPr>
            <w:r>
              <w:rPr>
                <w:rFonts w:hint="eastAsia" w:ascii="仿宋" w:hAnsi="仿宋" w:cs="宋体"/>
                <w:color w:val="000000"/>
                <w:kern w:val="0"/>
                <w:sz w:val="22"/>
              </w:rPr>
              <w:t>外观材质：优质钣金，金属烤漆</w:t>
            </w:r>
            <w:r>
              <w:rPr>
                <w:rFonts w:ascii="仿宋" w:hAnsi="仿宋" w:cs="宋体"/>
                <w:color w:val="000000"/>
                <w:kern w:val="0"/>
                <w:sz w:val="22"/>
              </w:rPr>
              <w:t>/喷涂工艺；</w:t>
            </w:r>
          </w:p>
          <w:p>
            <w:pPr>
              <w:widowControl/>
              <w:spacing w:line="240" w:lineRule="auto"/>
              <w:ind w:firstLine="0" w:firstLineChars="0"/>
              <w:jc w:val="left"/>
              <w:rPr>
                <w:rFonts w:hint="eastAsia" w:ascii="仿宋" w:hAnsi="仿宋" w:cs="宋体"/>
                <w:color w:val="000000"/>
                <w:kern w:val="0"/>
                <w:sz w:val="22"/>
              </w:rPr>
            </w:pPr>
            <w:r>
              <w:rPr>
                <w:rFonts w:hint="eastAsia" w:ascii="仿宋" w:hAnsi="仿宋" w:cs="宋体"/>
                <w:color w:val="000000"/>
                <w:kern w:val="0"/>
                <w:sz w:val="22"/>
              </w:rPr>
              <w:t>外观颜色：白</w:t>
            </w:r>
            <w:r>
              <w:rPr>
                <w:rFonts w:ascii="仿宋" w:hAnsi="仿宋" w:cs="宋体"/>
                <w:color w:val="000000"/>
                <w:kern w:val="0"/>
                <w:sz w:val="22"/>
              </w:rPr>
              <w:t>/黑色</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kern w:val="0"/>
                <w:sz w:val="22"/>
              </w:rPr>
            </w:pPr>
            <w:r>
              <w:rPr>
                <w:rFonts w:hint="eastAsia" w:ascii="仿宋" w:hAnsi="仿宋" w:cs="宋体"/>
                <w:color w:val="000000"/>
                <w:kern w:val="0"/>
                <w:sz w:val="22"/>
              </w:rPr>
              <w:t>2</w:t>
            </w:r>
          </w:p>
        </w:tc>
      </w:tr>
      <w:tr>
        <w:tblPrEx>
          <w:tblCellMar>
            <w:top w:w="0" w:type="dxa"/>
            <w:left w:w="108" w:type="dxa"/>
            <w:bottom w:w="0" w:type="dxa"/>
            <w:right w:w="108" w:type="dxa"/>
          </w:tblCellMar>
        </w:tblPrEx>
        <w:trPr>
          <w:trHeight w:val="1640" w:hRule="atLeast"/>
          <w:jc w:val="center"/>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kern w:val="0"/>
                <w:sz w:val="22"/>
              </w:rPr>
            </w:pPr>
            <w:r>
              <w:rPr>
                <w:rFonts w:hint="eastAsia" w:ascii="仿宋" w:hAnsi="仿宋" w:cs="宋体"/>
                <w:color w:val="000000"/>
                <w:kern w:val="0"/>
                <w:sz w:val="22"/>
              </w:rPr>
              <w:t>2</w:t>
            </w:r>
          </w:p>
        </w:tc>
        <w:tc>
          <w:tcPr>
            <w:tcW w:w="11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kern w:val="0"/>
                <w:sz w:val="22"/>
              </w:rPr>
            </w:pPr>
            <w:r>
              <w:rPr>
                <w:rFonts w:hint="eastAsia" w:ascii="仿宋" w:hAnsi="仿宋" w:cs="宋体"/>
                <w:color w:val="000000"/>
                <w:kern w:val="0"/>
                <w:sz w:val="22"/>
              </w:rPr>
              <w:t>LED显示屏控制卡</w:t>
            </w:r>
          </w:p>
        </w:tc>
        <w:tc>
          <w:tcPr>
            <w:tcW w:w="18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 w:hAnsi="仿宋"/>
                <w:sz w:val="22"/>
              </w:rPr>
            </w:pPr>
            <w:r>
              <w:rPr>
                <w:rFonts w:ascii="仿宋" w:hAnsi="仿宋"/>
                <w:sz w:val="22"/>
              </w:rPr>
              <w:drawing>
                <wp:inline distT="0" distB="0" distL="0" distR="0">
                  <wp:extent cx="930275" cy="654050"/>
                  <wp:effectExtent l="0" t="0" r="3175" b="12700"/>
                  <wp:docPr id="3" name="图片 3" descr="C:\Users\11\AppData\Roaming\DingTalk\1894602732_v2\ImageFiles\d5\lQLPJxaw8rTgW27NATLNAbOwVn_PP2aKkjYDIvpfuADeAA_435_3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11\AppData\Roaming\DingTalk\1894602732_v2\ImageFiles\d5\lQLPJxaw8rTgW27NATLNAbOwVn_PP2aKkjYDIvpfuADeAA_435_306.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48053" cy="666543"/>
                          </a:xfrm>
                          <a:prstGeom prst="rect">
                            <a:avLst/>
                          </a:prstGeom>
                          <a:noFill/>
                          <a:ln>
                            <a:noFill/>
                          </a:ln>
                        </pic:spPr>
                      </pic:pic>
                    </a:graphicData>
                  </a:graphic>
                </wp:inline>
              </w:drawing>
            </w:r>
          </w:p>
        </w:tc>
        <w:tc>
          <w:tcPr>
            <w:tcW w:w="327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cs="宋体"/>
                <w:color w:val="000000"/>
                <w:kern w:val="0"/>
                <w:sz w:val="22"/>
              </w:rPr>
            </w:pPr>
            <w:r>
              <w:rPr>
                <w:rFonts w:ascii="仿宋" w:hAnsi="仿宋" w:cs="宋体"/>
                <w:color w:val="000000"/>
                <w:kern w:val="0"/>
                <w:sz w:val="22"/>
              </w:rPr>
              <w:t>LED显示屏控制</w:t>
            </w:r>
            <w:r>
              <w:rPr>
                <w:rFonts w:hint="eastAsia" w:ascii="仿宋" w:hAnsi="仿宋" w:cs="宋体"/>
                <w:color w:val="000000"/>
                <w:kern w:val="0"/>
                <w:sz w:val="22"/>
              </w:rPr>
              <w:t>卡</w:t>
            </w:r>
            <w:r>
              <w:rPr>
                <w:rFonts w:ascii="仿宋" w:hAnsi="仿宋" w:cs="宋体"/>
                <w:color w:val="000000"/>
                <w:kern w:val="0"/>
                <w:sz w:val="22"/>
              </w:rPr>
              <w:t>BX-Y04</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kern w:val="0"/>
                <w:sz w:val="22"/>
              </w:rPr>
            </w:pPr>
            <w:r>
              <w:rPr>
                <w:rFonts w:hint="eastAsia" w:ascii="仿宋" w:hAnsi="仿宋" w:cs="宋体"/>
                <w:color w:val="000000"/>
                <w:kern w:val="0"/>
                <w:sz w:val="22"/>
              </w:rPr>
              <w:t>2</w:t>
            </w:r>
            <w:r>
              <w:rPr>
                <w:rFonts w:ascii="仿宋" w:hAnsi="仿宋" w:cs="宋体"/>
                <w:color w:val="000000"/>
                <w:kern w:val="0"/>
                <w:sz w:val="22"/>
              </w:rPr>
              <w:t>9</w:t>
            </w:r>
          </w:p>
        </w:tc>
      </w:tr>
      <w:tr>
        <w:tblPrEx>
          <w:tblCellMar>
            <w:top w:w="0" w:type="dxa"/>
            <w:left w:w="108" w:type="dxa"/>
            <w:bottom w:w="0" w:type="dxa"/>
            <w:right w:w="108" w:type="dxa"/>
          </w:tblCellMar>
        </w:tblPrEx>
        <w:trPr>
          <w:trHeight w:val="1640" w:hRule="atLeast"/>
          <w:jc w:val="center"/>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kern w:val="0"/>
                <w:sz w:val="22"/>
              </w:rPr>
            </w:pPr>
            <w:r>
              <w:rPr>
                <w:rFonts w:ascii="仿宋" w:hAnsi="仿宋" w:cs="宋体"/>
                <w:color w:val="000000"/>
                <w:kern w:val="0"/>
                <w:sz w:val="22"/>
              </w:rPr>
              <w:t>3</w:t>
            </w:r>
          </w:p>
        </w:tc>
        <w:tc>
          <w:tcPr>
            <w:tcW w:w="11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kern w:val="0"/>
                <w:sz w:val="22"/>
              </w:rPr>
            </w:pPr>
            <w:r>
              <w:rPr>
                <w:rFonts w:hint="eastAsia" w:ascii="仿宋" w:hAnsi="仿宋" w:cs="宋体"/>
                <w:color w:val="000000"/>
                <w:kern w:val="0"/>
                <w:sz w:val="22"/>
              </w:rPr>
              <w:t>语音控制器</w:t>
            </w:r>
          </w:p>
        </w:tc>
        <w:tc>
          <w:tcPr>
            <w:tcW w:w="18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 w:hAnsi="仿宋"/>
                <w:sz w:val="22"/>
              </w:rPr>
            </w:pPr>
            <w:r>
              <w:drawing>
                <wp:inline distT="0" distB="0" distL="0" distR="0">
                  <wp:extent cx="926465" cy="563880"/>
                  <wp:effectExtent l="0" t="0" r="6985" b="7620"/>
                  <wp:docPr id="29"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8"/>
                          <pic:cNvPicPr>
                            <a:picLocks noChangeAspect="1"/>
                          </pic:cNvPicPr>
                        </pic:nvPicPr>
                        <pic:blipFill>
                          <a:blip r:embed="rId18"/>
                          <a:stretch>
                            <a:fillRect/>
                          </a:stretch>
                        </pic:blipFill>
                        <pic:spPr>
                          <a:xfrm>
                            <a:off x="0" y="0"/>
                            <a:ext cx="927099" cy="564238"/>
                          </a:xfrm>
                          <a:prstGeom prst="rect">
                            <a:avLst/>
                          </a:prstGeom>
                        </pic:spPr>
                      </pic:pic>
                    </a:graphicData>
                  </a:graphic>
                </wp:inline>
              </w:drawing>
            </w:r>
          </w:p>
        </w:tc>
        <w:tc>
          <w:tcPr>
            <w:tcW w:w="327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cs="宋体"/>
                <w:color w:val="000000"/>
                <w:kern w:val="0"/>
                <w:sz w:val="22"/>
              </w:rPr>
            </w:pPr>
            <w:r>
              <w:rPr>
                <w:rFonts w:hint="eastAsia" w:ascii="仿宋" w:hAnsi="仿宋" w:cs="宋体"/>
                <w:color w:val="000000"/>
                <w:kern w:val="0"/>
                <w:sz w:val="22"/>
              </w:rPr>
              <w:t>基本功能：内置科大讯飞语音算法，支持男女生发声、中英混合、次数、音量、速度和播报内容可自由调节，通过</w:t>
            </w:r>
            <w:r>
              <w:rPr>
                <w:rFonts w:ascii="仿宋" w:hAnsi="仿宋" w:cs="宋体"/>
                <w:color w:val="000000"/>
                <w:kern w:val="0"/>
                <w:sz w:val="22"/>
              </w:rPr>
              <w:t>3.5音频输出到功放设备，可后台绑定任意窗口呼叫器，实现多分区发声；</w:t>
            </w:r>
          </w:p>
          <w:p>
            <w:pPr>
              <w:widowControl/>
              <w:spacing w:line="240" w:lineRule="auto"/>
              <w:ind w:firstLine="0" w:firstLineChars="0"/>
              <w:jc w:val="left"/>
              <w:rPr>
                <w:rFonts w:ascii="仿宋" w:hAnsi="仿宋" w:cs="宋体"/>
                <w:color w:val="000000"/>
                <w:kern w:val="0"/>
                <w:sz w:val="22"/>
              </w:rPr>
            </w:pPr>
            <w:r>
              <w:rPr>
                <w:rFonts w:hint="eastAsia" w:ascii="仿宋" w:hAnsi="仿宋" w:cs="宋体"/>
                <w:color w:val="000000"/>
                <w:kern w:val="0"/>
                <w:sz w:val="22"/>
              </w:rPr>
              <w:t>控制系统：内置专用安卓显控主板，安卓</w:t>
            </w:r>
            <w:r>
              <w:rPr>
                <w:rFonts w:ascii="仿宋" w:hAnsi="仿宋" w:cs="宋体"/>
                <w:color w:val="000000"/>
                <w:kern w:val="0"/>
                <w:sz w:val="22"/>
              </w:rPr>
              <w:t>7.1以上系统版本，CPU采用RK3288四核Cortex-A17，频率高达1.8GHz，DDR3-2G内存，EMMC-16G存储；</w:t>
            </w:r>
          </w:p>
          <w:p>
            <w:pPr>
              <w:widowControl/>
              <w:spacing w:line="240" w:lineRule="auto"/>
              <w:ind w:firstLine="0" w:firstLineChars="0"/>
              <w:jc w:val="left"/>
              <w:rPr>
                <w:rFonts w:hint="eastAsia" w:ascii="仿宋" w:hAnsi="仿宋" w:cs="宋体"/>
                <w:color w:val="000000"/>
                <w:kern w:val="0"/>
                <w:sz w:val="22"/>
              </w:rPr>
            </w:pPr>
            <w:r>
              <w:rPr>
                <w:rFonts w:hint="eastAsia" w:ascii="仿宋" w:hAnsi="仿宋" w:cs="宋体"/>
                <w:color w:val="000000"/>
                <w:kern w:val="0"/>
                <w:sz w:val="22"/>
              </w:rPr>
              <w:t>外观材质：全铝合金材质</w:t>
            </w:r>
            <w:r>
              <w:rPr>
                <w:rFonts w:ascii="仿宋" w:hAnsi="仿宋" w:cs="宋体"/>
                <w:color w:val="000000"/>
                <w:kern w:val="0"/>
                <w:sz w:val="22"/>
              </w:rPr>
              <w:t>+阳极氧化工艺；</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kern w:val="0"/>
                <w:sz w:val="22"/>
              </w:rPr>
            </w:pPr>
            <w:r>
              <w:rPr>
                <w:rFonts w:hint="eastAsia" w:ascii="仿宋" w:hAnsi="仿宋" w:cs="宋体"/>
                <w:color w:val="000000"/>
                <w:kern w:val="0"/>
                <w:sz w:val="22"/>
              </w:rPr>
              <w:t>2</w:t>
            </w:r>
          </w:p>
        </w:tc>
      </w:tr>
      <w:tr>
        <w:tblPrEx>
          <w:tblCellMar>
            <w:top w:w="0" w:type="dxa"/>
            <w:left w:w="108" w:type="dxa"/>
            <w:bottom w:w="0" w:type="dxa"/>
            <w:right w:w="108" w:type="dxa"/>
          </w:tblCellMar>
        </w:tblPrEx>
        <w:trPr>
          <w:trHeight w:val="1640" w:hRule="atLeast"/>
          <w:jc w:val="center"/>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kern w:val="0"/>
                <w:sz w:val="22"/>
              </w:rPr>
            </w:pPr>
            <w:r>
              <w:rPr>
                <w:rFonts w:ascii="仿宋" w:hAnsi="仿宋" w:cs="宋体"/>
                <w:color w:val="000000"/>
                <w:kern w:val="0"/>
                <w:sz w:val="22"/>
              </w:rPr>
              <w:t>4</w:t>
            </w:r>
          </w:p>
        </w:tc>
        <w:tc>
          <w:tcPr>
            <w:tcW w:w="11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kern w:val="0"/>
                <w:sz w:val="22"/>
              </w:rPr>
            </w:pPr>
            <w:r>
              <w:rPr>
                <w:rFonts w:hint="eastAsia" w:ascii="仿宋" w:hAnsi="仿宋" w:cs="宋体"/>
                <w:color w:val="000000"/>
                <w:kern w:val="0"/>
                <w:sz w:val="22"/>
              </w:rPr>
              <w:t>安卓综合播控终端</w:t>
            </w:r>
          </w:p>
        </w:tc>
        <w:tc>
          <w:tcPr>
            <w:tcW w:w="18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 w:hAnsi="仿宋" w:cs="宋体"/>
                <w:color w:val="000000"/>
                <w:kern w:val="0"/>
                <w:sz w:val="22"/>
              </w:rPr>
            </w:pPr>
            <w:r>
              <w:drawing>
                <wp:inline distT="0" distB="0" distL="0" distR="0">
                  <wp:extent cx="1013460" cy="666750"/>
                  <wp:effectExtent l="0" t="0" r="152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9"/>
                          <a:stretch>
                            <a:fillRect/>
                          </a:stretch>
                        </pic:blipFill>
                        <pic:spPr>
                          <a:xfrm>
                            <a:off x="0" y="0"/>
                            <a:ext cx="1014016" cy="666750"/>
                          </a:xfrm>
                          <a:prstGeom prst="rect">
                            <a:avLst/>
                          </a:prstGeom>
                        </pic:spPr>
                      </pic:pic>
                    </a:graphicData>
                  </a:graphic>
                </wp:inline>
              </w:drawing>
            </w:r>
          </w:p>
        </w:tc>
        <w:tc>
          <w:tcPr>
            <w:tcW w:w="327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cs="宋体"/>
                <w:color w:val="000000"/>
                <w:kern w:val="0"/>
                <w:sz w:val="22"/>
              </w:rPr>
            </w:pPr>
            <w:r>
              <w:rPr>
                <w:rFonts w:hint="eastAsia" w:ascii="仿宋" w:hAnsi="仿宋" w:cs="宋体"/>
                <w:color w:val="000000"/>
                <w:kern w:val="0"/>
                <w:sz w:val="22"/>
              </w:rPr>
              <w:t>硬件模块：</w:t>
            </w:r>
            <w:r>
              <w:rPr>
                <w:rFonts w:ascii="仿宋" w:hAnsi="仿宋" w:cs="宋体"/>
                <w:color w:val="000000"/>
                <w:kern w:val="0"/>
                <w:sz w:val="22"/>
              </w:rPr>
              <w:t xml:space="preserve">                                                    控制系统：内置专用安卓显控主板，安卓7.1以上系统版本，CPU采用RK3288四核Cortex-A17，频率高达1.8GHz，DDR3-2G内存，EMMC-16G存储，可扩展至32G/64G，支持1080P多格式视频解码；</w:t>
            </w:r>
          </w:p>
          <w:p>
            <w:pPr>
              <w:widowControl/>
              <w:spacing w:line="240" w:lineRule="auto"/>
              <w:ind w:firstLine="0" w:firstLineChars="0"/>
              <w:jc w:val="left"/>
              <w:rPr>
                <w:rFonts w:ascii="仿宋" w:hAnsi="仿宋" w:cs="宋体"/>
                <w:color w:val="000000"/>
                <w:kern w:val="0"/>
                <w:sz w:val="22"/>
              </w:rPr>
            </w:pPr>
            <w:r>
              <w:rPr>
                <w:rFonts w:hint="eastAsia" w:ascii="仿宋" w:hAnsi="仿宋" w:cs="宋体"/>
                <w:color w:val="000000"/>
                <w:kern w:val="0"/>
                <w:sz w:val="22"/>
              </w:rPr>
              <w:t>散热方式：外壳自带散热片，整体机身散热；</w:t>
            </w:r>
            <w:r>
              <w:rPr>
                <w:rFonts w:ascii="仿宋" w:hAnsi="仿宋" w:cs="宋体"/>
                <w:color w:val="000000"/>
                <w:kern w:val="0"/>
                <w:sz w:val="22"/>
              </w:rPr>
              <w:t xml:space="preserve">                终端授权模块：                                                    支持综合显示各窗口当前叫号信息及下一批等候叫号票号显示；</w:t>
            </w:r>
          </w:p>
          <w:p>
            <w:pPr>
              <w:widowControl/>
              <w:spacing w:line="240" w:lineRule="auto"/>
              <w:ind w:firstLine="0" w:firstLineChars="0"/>
              <w:jc w:val="left"/>
              <w:rPr>
                <w:rFonts w:ascii="仿宋" w:hAnsi="仿宋" w:cs="宋体"/>
                <w:color w:val="000000"/>
                <w:kern w:val="0"/>
                <w:sz w:val="22"/>
              </w:rPr>
            </w:pPr>
            <w:r>
              <w:rPr>
                <w:rFonts w:hint="eastAsia" w:ascii="仿宋" w:hAnsi="仿宋" w:cs="宋体"/>
                <w:color w:val="000000"/>
                <w:kern w:val="0"/>
                <w:sz w:val="22"/>
              </w:rPr>
              <w:t>支持后台配置任意窗口绑定，做到不同综合屏显示对应绑定窗口的排队信息；</w:t>
            </w:r>
          </w:p>
          <w:p>
            <w:pPr>
              <w:widowControl/>
              <w:spacing w:line="240" w:lineRule="auto"/>
              <w:ind w:firstLine="0" w:firstLineChars="0"/>
              <w:jc w:val="left"/>
              <w:rPr>
                <w:rFonts w:ascii="仿宋" w:hAnsi="仿宋" w:cs="宋体"/>
                <w:color w:val="000000"/>
                <w:kern w:val="0"/>
                <w:sz w:val="22"/>
              </w:rPr>
            </w:pPr>
            <w:r>
              <w:rPr>
                <w:rFonts w:hint="eastAsia" w:ascii="仿宋" w:hAnsi="仿宋" w:cs="宋体"/>
                <w:color w:val="000000"/>
                <w:kern w:val="0"/>
                <w:sz w:val="22"/>
              </w:rPr>
              <w:t>支持与后台数据分析系统联动，可显示不同业务的总等候人数、已办理人数、平均等候时长、当日</w:t>
            </w:r>
            <w:r>
              <w:rPr>
                <w:rFonts w:ascii="仿宋" w:hAnsi="仿宋" w:cs="宋体"/>
                <w:color w:val="000000"/>
                <w:kern w:val="0"/>
                <w:sz w:val="22"/>
              </w:rPr>
              <w:t>\本周\本月\本年的总取号人数；</w:t>
            </w:r>
          </w:p>
          <w:p>
            <w:pPr>
              <w:widowControl/>
              <w:spacing w:line="240" w:lineRule="auto"/>
              <w:ind w:firstLine="0" w:firstLineChars="0"/>
              <w:jc w:val="left"/>
              <w:rPr>
                <w:rFonts w:hint="eastAsia" w:ascii="仿宋" w:hAnsi="仿宋" w:cs="宋体"/>
                <w:color w:val="000000"/>
                <w:kern w:val="0"/>
                <w:sz w:val="22"/>
              </w:rPr>
            </w:pPr>
            <w:r>
              <w:rPr>
                <w:rFonts w:hint="eastAsia" w:ascii="仿宋" w:hAnsi="仿宋" w:cs="宋体"/>
                <w:color w:val="000000"/>
                <w:kern w:val="0"/>
                <w:sz w:val="22"/>
              </w:rPr>
              <w:t>支持多种显示界面效果选择，</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kern w:val="0"/>
                <w:sz w:val="22"/>
              </w:rPr>
            </w:pPr>
            <w:r>
              <w:rPr>
                <w:rFonts w:ascii="仿宋" w:hAnsi="仿宋" w:cs="宋体"/>
                <w:color w:val="000000"/>
                <w:kern w:val="0"/>
                <w:sz w:val="22"/>
              </w:rPr>
              <w:t>10</w:t>
            </w:r>
          </w:p>
        </w:tc>
      </w:tr>
      <w:tr>
        <w:tblPrEx>
          <w:tblCellMar>
            <w:top w:w="0" w:type="dxa"/>
            <w:left w:w="108" w:type="dxa"/>
            <w:bottom w:w="0" w:type="dxa"/>
            <w:right w:w="108" w:type="dxa"/>
          </w:tblCellMar>
        </w:tblPrEx>
        <w:trPr>
          <w:trHeight w:val="1771" w:hRule="atLeast"/>
          <w:jc w:val="center"/>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kern w:val="0"/>
                <w:sz w:val="22"/>
              </w:rPr>
            </w:pPr>
            <w:r>
              <w:rPr>
                <w:rFonts w:ascii="仿宋" w:hAnsi="仿宋" w:cs="宋体"/>
                <w:color w:val="000000"/>
                <w:kern w:val="0"/>
                <w:sz w:val="22"/>
              </w:rPr>
              <w:t>5</w:t>
            </w:r>
          </w:p>
        </w:tc>
        <w:tc>
          <w:tcPr>
            <w:tcW w:w="11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kern w:val="0"/>
                <w:sz w:val="22"/>
              </w:rPr>
            </w:pPr>
            <w:r>
              <w:rPr>
                <w:rFonts w:hint="eastAsia" w:ascii="仿宋" w:hAnsi="仿宋" w:cs="宋体"/>
                <w:color w:val="000000"/>
                <w:kern w:val="0"/>
                <w:sz w:val="22"/>
              </w:rPr>
              <w:t>按键呼叫器</w:t>
            </w:r>
          </w:p>
        </w:tc>
        <w:tc>
          <w:tcPr>
            <w:tcW w:w="18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kern w:val="0"/>
                <w:sz w:val="22"/>
              </w:rPr>
            </w:pPr>
            <w:r>
              <w:drawing>
                <wp:inline distT="0" distB="0" distL="0" distR="0">
                  <wp:extent cx="654050" cy="615315"/>
                  <wp:effectExtent l="0" t="0" r="12700" b="13335"/>
                  <wp:docPr id="2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pic:cNvPicPr>
                            <a:picLocks noChangeAspect="1"/>
                          </pic:cNvPicPr>
                        </pic:nvPicPr>
                        <pic:blipFill>
                          <a:blip r:embed="rId20"/>
                          <a:stretch>
                            <a:fillRect/>
                          </a:stretch>
                        </pic:blipFill>
                        <pic:spPr>
                          <a:xfrm>
                            <a:off x="0" y="0"/>
                            <a:ext cx="654050" cy="615425"/>
                          </a:xfrm>
                          <a:prstGeom prst="rect">
                            <a:avLst/>
                          </a:prstGeom>
                        </pic:spPr>
                      </pic:pic>
                    </a:graphicData>
                  </a:graphic>
                </wp:inline>
              </w:drawing>
            </w:r>
          </w:p>
        </w:tc>
        <w:tc>
          <w:tcPr>
            <w:tcW w:w="327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cs="宋体"/>
                <w:color w:val="000000"/>
                <w:kern w:val="0"/>
                <w:sz w:val="22"/>
              </w:rPr>
            </w:pPr>
            <w:r>
              <w:rPr>
                <w:rFonts w:hint="eastAsia" w:ascii="仿宋" w:hAnsi="仿宋" w:cs="宋体"/>
                <w:color w:val="000000"/>
                <w:kern w:val="0"/>
                <w:sz w:val="22"/>
              </w:rPr>
              <w:t>屏幕参数：</w:t>
            </w:r>
            <w:r>
              <w:rPr>
                <w:rFonts w:ascii="仿宋" w:hAnsi="仿宋" w:cs="宋体"/>
                <w:color w:val="000000"/>
                <w:kern w:val="0"/>
                <w:sz w:val="22"/>
              </w:rPr>
              <w:t>8位LCD显示屏、可以显示5位当前呼叫票号和3位等候总人数；</w:t>
            </w:r>
          </w:p>
          <w:p>
            <w:pPr>
              <w:widowControl/>
              <w:spacing w:line="240" w:lineRule="auto"/>
              <w:ind w:firstLine="0" w:firstLineChars="0"/>
              <w:jc w:val="left"/>
              <w:rPr>
                <w:rFonts w:ascii="仿宋" w:hAnsi="仿宋" w:cs="宋体"/>
                <w:color w:val="000000"/>
                <w:kern w:val="0"/>
                <w:sz w:val="22"/>
              </w:rPr>
            </w:pPr>
            <w:r>
              <w:rPr>
                <w:rFonts w:hint="eastAsia" w:ascii="仿宋" w:hAnsi="仿宋" w:cs="宋体"/>
                <w:color w:val="000000"/>
                <w:kern w:val="0"/>
                <w:sz w:val="22"/>
              </w:rPr>
              <w:t>基本功能：支持简单、复杂、特殊等多种呼叫模式，也可以根据客户需求定制呼叫规则；</w:t>
            </w:r>
          </w:p>
          <w:p>
            <w:pPr>
              <w:widowControl/>
              <w:spacing w:line="240" w:lineRule="auto"/>
              <w:ind w:firstLine="0" w:firstLineChars="0"/>
              <w:jc w:val="left"/>
              <w:rPr>
                <w:rFonts w:ascii="仿宋" w:hAnsi="仿宋" w:cs="宋体"/>
                <w:color w:val="000000"/>
                <w:kern w:val="0"/>
                <w:sz w:val="22"/>
              </w:rPr>
            </w:pPr>
            <w:r>
              <w:rPr>
                <w:rFonts w:hint="eastAsia" w:ascii="仿宋" w:hAnsi="仿宋" w:cs="宋体"/>
                <w:color w:val="000000"/>
                <w:kern w:val="0"/>
                <w:sz w:val="22"/>
              </w:rPr>
              <w:t>通讯方式：</w:t>
            </w:r>
            <w:r>
              <w:rPr>
                <w:rFonts w:ascii="仿宋" w:hAnsi="仿宋" w:cs="宋体"/>
                <w:color w:val="000000"/>
                <w:kern w:val="0"/>
                <w:sz w:val="22"/>
              </w:rPr>
              <w:t>无线采用RF 433MHz；</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kern w:val="0"/>
                <w:sz w:val="22"/>
              </w:rPr>
            </w:pPr>
            <w:r>
              <w:rPr>
                <w:rFonts w:ascii="仿宋" w:hAnsi="仿宋" w:cs="宋体"/>
                <w:color w:val="000000"/>
                <w:kern w:val="0"/>
                <w:sz w:val="22"/>
              </w:rPr>
              <w:t>8</w:t>
            </w:r>
          </w:p>
        </w:tc>
      </w:tr>
    </w:tbl>
    <w:p>
      <w:pPr>
        <w:numPr>
          <w:ilvl w:val="0"/>
          <w:numId w:val="0"/>
        </w:numPr>
        <w:spacing w:line="360" w:lineRule="auto"/>
        <w:ind w:leftChars="300"/>
        <w:rPr>
          <w:rFonts w:hint="default" w:ascii="宋体" w:hAnsi="宋体" w:eastAsia="宋体"/>
          <w:b w:val="0"/>
          <w:bCs/>
          <w:sz w:val="24"/>
          <w:lang w:val="en-US" w:eastAsia="zh-CN"/>
        </w:rPr>
      </w:pPr>
    </w:p>
    <w:p>
      <w:pPr>
        <w:numPr>
          <w:ilvl w:val="0"/>
          <w:numId w:val="6"/>
        </w:numPr>
        <w:spacing w:line="360" w:lineRule="auto"/>
        <w:ind w:left="210" w:leftChars="100" w:firstLine="480" w:firstLineChars="200"/>
        <w:rPr>
          <w:rFonts w:hint="default" w:ascii="宋体" w:hAnsi="宋体" w:eastAsia="宋体"/>
          <w:b w:val="0"/>
          <w:bCs/>
          <w:sz w:val="24"/>
          <w:lang w:val="en-US" w:eastAsia="zh-CN"/>
        </w:rPr>
      </w:pPr>
      <w:r>
        <w:rPr>
          <w:rFonts w:hint="eastAsia" w:ascii="宋体" w:hAnsi="宋体" w:eastAsia="宋体"/>
          <w:b w:val="0"/>
          <w:bCs/>
          <w:sz w:val="24"/>
          <w:lang w:val="en-US" w:eastAsia="zh-CN"/>
        </w:rPr>
        <w:t>政务服务大厅不动产业务软件</w:t>
      </w:r>
    </w:p>
    <w:tbl>
      <w:tblPr>
        <w:tblStyle w:val="31"/>
        <w:tblW w:w="9498" w:type="dxa"/>
        <w:jc w:val="center"/>
        <w:tblLayout w:type="autofit"/>
        <w:tblCellMar>
          <w:top w:w="0" w:type="dxa"/>
          <w:left w:w="108" w:type="dxa"/>
          <w:bottom w:w="0" w:type="dxa"/>
          <w:right w:w="108" w:type="dxa"/>
        </w:tblCellMar>
      </w:tblPr>
      <w:tblGrid>
        <w:gridCol w:w="851"/>
        <w:gridCol w:w="2243"/>
        <w:gridCol w:w="6404"/>
      </w:tblGrid>
      <w:tr>
        <w:tblPrEx>
          <w:tblCellMar>
            <w:top w:w="0" w:type="dxa"/>
            <w:left w:w="108" w:type="dxa"/>
            <w:bottom w:w="0" w:type="dxa"/>
            <w:right w:w="108" w:type="dxa"/>
          </w:tblCellMar>
        </w:tblPrEx>
        <w:trPr>
          <w:trHeight w:val="410" w:hRule="atLeast"/>
          <w:tblHeader/>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b/>
                <w:bCs/>
                <w:color w:val="000000"/>
                <w:kern w:val="0"/>
                <w:sz w:val="22"/>
              </w:rPr>
            </w:pPr>
            <w:r>
              <w:rPr>
                <w:rFonts w:hint="eastAsia" w:ascii="仿宋" w:hAnsi="仿宋" w:cs="宋体"/>
                <w:b/>
                <w:bCs/>
                <w:color w:val="000000"/>
                <w:kern w:val="0"/>
                <w:sz w:val="22"/>
              </w:rPr>
              <w:t>序号</w:t>
            </w:r>
          </w:p>
        </w:tc>
        <w:tc>
          <w:tcPr>
            <w:tcW w:w="224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b/>
                <w:bCs/>
                <w:color w:val="000000"/>
                <w:kern w:val="0"/>
                <w:sz w:val="22"/>
              </w:rPr>
            </w:pPr>
            <w:r>
              <w:rPr>
                <w:rFonts w:hint="eastAsia" w:ascii="仿宋" w:hAnsi="仿宋" w:cs="宋体"/>
                <w:b/>
                <w:bCs/>
                <w:color w:val="000000"/>
                <w:kern w:val="0"/>
                <w:sz w:val="22"/>
              </w:rPr>
              <w:t>模块</w:t>
            </w:r>
          </w:p>
        </w:tc>
        <w:tc>
          <w:tcPr>
            <w:tcW w:w="640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b/>
                <w:bCs/>
                <w:color w:val="000000"/>
                <w:kern w:val="0"/>
                <w:sz w:val="22"/>
              </w:rPr>
            </w:pPr>
            <w:r>
              <w:rPr>
                <w:rFonts w:hint="eastAsia" w:ascii="仿宋" w:hAnsi="仿宋" w:cs="宋体"/>
                <w:b/>
                <w:bCs/>
                <w:color w:val="000000"/>
                <w:kern w:val="0"/>
                <w:sz w:val="22"/>
              </w:rPr>
              <w:t>功能描述</w:t>
            </w:r>
          </w:p>
        </w:tc>
      </w:tr>
      <w:tr>
        <w:tblPrEx>
          <w:tblCellMar>
            <w:top w:w="0" w:type="dxa"/>
            <w:left w:w="108" w:type="dxa"/>
            <w:bottom w:w="0" w:type="dxa"/>
            <w:right w:w="108" w:type="dxa"/>
          </w:tblCellMar>
        </w:tblPrEx>
        <w:trPr>
          <w:trHeight w:val="4818"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kern w:val="0"/>
                <w:sz w:val="22"/>
              </w:rPr>
            </w:pPr>
            <w:r>
              <w:rPr>
                <w:rFonts w:hint="eastAsia" w:ascii="仿宋" w:hAnsi="仿宋" w:cs="宋体"/>
                <w:color w:val="000000"/>
                <w:kern w:val="0"/>
                <w:sz w:val="22"/>
              </w:rPr>
              <w:t>1</w:t>
            </w:r>
          </w:p>
        </w:tc>
        <w:tc>
          <w:tcPr>
            <w:tcW w:w="224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kern w:val="0"/>
                <w:sz w:val="22"/>
              </w:rPr>
            </w:pPr>
            <w:r>
              <w:rPr>
                <w:rFonts w:hint="eastAsia" w:ascii="仿宋" w:hAnsi="仿宋" w:cs="宋体"/>
                <w:color w:val="000000"/>
                <w:kern w:val="0"/>
                <w:sz w:val="22"/>
              </w:rPr>
              <w:t>智慧排队叫号软件平台</w:t>
            </w:r>
          </w:p>
        </w:tc>
        <w:tc>
          <w:tcPr>
            <w:tcW w:w="6404"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left"/>
              <w:rPr>
                <w:rFonts w:ascii="仿宋" w:hAnsi="仿宋" w:cs="宋体"/>
                <w:color w:val="000000"/>
                <w:kern w:val="0"/>
                <w:sz w:val="22"/>
              </w:rPr>
            </w:pPr>
            <w:r>
              <w:rPr>
                <w:rFonts w:hint="eastAsia" w:ascii="仿宋" w:hAnsi="仿宋" w:cs="宋体"/>
                <w:color w:val="000000"/>
                <w:kern w:val="0"/>
                <w:sz w:val="22"/>
              </w:rPr>
              <w:t>组织架构：单位信息管理、部门信息管理、业务大厅配置、组织机构管理、服务人员信息管理、数据导入及初始化；</w:t>
            </w:r>
          </w:p>
          <w:p>
            <w:pPr>
              <w:widowControl/>
              <w:spacing w:line="240" w:lineRule="auto"/>
              <w:ind w:firstLine="0" w:firstLineChars="0"/>
              <w:jc w:val="left"/>
              <w:rPr>
                <w:rFonts w:ascii="仿宋" w:hAnsi="仿宋" w:cs="宋体"/>
                <w:color w:val="000000"/>
                <w:kern w:val="0"/>
                <w:sz w:val="22"/>
              </w:rPr>
            </w:pPr>
            <w:r>
              <w:rPr>
                <w:rFonts w:hint="eastAsia" w:ascii="仿宋" w:hAnsi="仿宋" w:cs="宋体"/>
                <w:color w:val="000000"/>
                <w:kern w:val="0"/>
                <w:sz w:val="22"/>
              </w:rPr>
              <w:t>基础管理：包含业务队列设置、窗口设置、服务人员配置、工作时间配置、优先规则配置、白名单配置、黑名单配置、评价项配置、综合屏设置、语音引擎设置、定时开关机设置等功能模块；</w:t>
            </w:r>
          </w:p>
          <w:p>
            <w:pPr>
              <w:widowControl/>
              <w:spacing w:line="240" w:lineRule="auto"/>
              <w:ind w:firstLine="0" w:firstLineChars="0"/>
              <w:jc w:val="left"/>
              <w:rPr>
                <w:rFonts w:ascii="仿宋" w:hAnsi="仿宋" w:cs="宋体"/>
                <w:color w:val="000000"/>
                <w:kern w:val="0"/>
                <w:sz w:val="22"/>
              </w:rPr>
            </w:pPr>
            <w:r>
              <w:rPr>
                <w:rFonts w:hint="eastAsia" w:ascii="仿宋" w:hAnsi="仿宋" w:cs="宋体"/>
                <w:color w:val="000000"/>
                <w:kern w:val="0"/>
                <w:sz w:val="22"/>
              </w:rPr>
              <w:t>业务列表：包含预约排队列表、排队叫号列表、评价列表、实时队列列表等，后台可实时查看整个排队系统全部数据状态；</w:t>
            </w:r>
          </w:p>
          <w:p>
            <w:pPr>
              <w:widowControl/>
              <w:spacing w:line="240" w:lineRule="auto"/>
              <w:ind w:firstLine="0" w:firstLineChars="0"/>
              <w:jc w:val="left"/>
              <w:rPr>
                <w:rFonts w:ascii="仿宋" w:hAnsi="仿宋" w:cs="宋体"/>
                <w:color w:val="000000"/>
                <w:kern w:val="0"/>
                <w:sz w:val="22"/>
              </w:rPr>
            </w:pPr>
            <w:r>
              <w:rPr>
                <w:rFonts w:hint="eastAsia" w:ascii="仿宋" w:hAnsi="仿宋" w:cs="宋体"/>
                <w:color w:val="000000"/>
                <w:kern w:val="0"/>
                <w:sz w:val="22"/>
              </w:rPr>
              <w:t>显示设置：包含取号机页面设置、票面打印模板设置、评价器界面设置、窗口屏界面设置、综合屏界面设置等；</w:t>
            </w:r>
          </w:p>
          <w:p>
            <w:pPr>
              <w:widowControl/>
              <w:spacing w:line="240" w:lineRule="auto"/>
              <w:ind w:firstLine="0" w:firstLineChars="0"/>
              <w:jc w:val="left"/>
              <w:rPr>
                <w:rFonts w:ascii="仿宋" w:hAnsi="仿宋" w:cs="宋体"/>
                <w:color w:val="000000"/>
                <w:kern w:val="0"/>
                <w:sz w:val="22"/>
              </w:rPr>
            </w:pPr>
            <w:r>
              <w:rPr>
                <w:rFonts w:hint="eastAsia" w:ascii="仿宋" w:hAnsi="仿宋" w:cs="宋体"/>
                <w:color w:val="000000"/>
                <w:kern w:val="0"/>
                <w:sz w:val="22"/>
              </w:rPr>
              <w:t>设备管理：支持取号机、呼叫器、评价器、窗口屏、综合屏设备管理与绑定；</w:t>
            </w:r>
          </w:p>
          <w:p>
            <w:pPr>
              <w:widowControl/>
              <w:spacing w:line="240" w:lineRule="auto"/>
              <w:ind w:firstLine="0" w:firstLineChars="0"/>
              <w:jc w:val="left"/>
              <w:rPr>
                <w:rFonts w:ascii="仿宋" w:hAnsi="仿宋" w:cs="宋体"/>
                <w:color w:val="000000"/>
                <w:kern w:val="0"/>
                <w:sz w:val="22"/>
              </w:rPr>
            </w:pPr>
            <w:r>
              <w:rPr>
                <w:rFonts w:hint="eastAsia" w:ascii="仿宋" w:hAnsi="仿宋" w:cs="宋体"/>
                <w:color w:val="000000"/>
                <w:kern w:val="0"/>
                <w:sz w:val="22"/>
              </w:rPr>
              <w:t>统计分析：支持部门数据、员工数据、窗口数据、业务数据多维度统计分析，支持数据导出；</w:t>
            </w:r>
          </w:p>
          <w:p>
            <w:pPr>
              <w:widowControl/>
              <w:spacing w:line="240" w:lineRule="auto"/>
              <w:ind w:firstLine="0" w:firstLineChars="0"/>
              <w:jc w:val="left"/>
              <w:rPr>
                <w:rFonts w:ascii="仿宋" w:hAnsi="仿宋" w:cs="宋体"/>
                <w:color w:val="000000"/>
                <w:kern w:val="0"/>
                <w:sz w:val="22"/>
              </w:rPr>
            </w:pPr>
            <w:r>
              <w:rPr>
                <w:rFonts w:hint="eastAsia" w:ascii="仿宋" w:hAnsi="仿宋" w:cs="宋体"/>
                <w:color w:val="000000"/>
                <w:kern w:val="0"/>
                <w:sz w:val="22"/>
              </w:rPr>
              <w:t>系统管理：用户管理、权限管理、日志管理、版本管理等功能模块；</w:t>
            </w:r>
          </w:p>
        </w:tc>
      </w:tr>
      <w:tr>
        <w:tblPrEx>
          <w:tblCellMar>
            <w:top w:w="0" w:type="dxa"/>
            <w:left w:w="108" w:type="dxa"/>
            <w:bottom w:w="0" w:type="dxa"/>
            <w:right w:w="108" w:type="dxa"/>
          </w:tblCellMar>
        </w:tblPrEx>
        <w:trPr>
          <w:trHeight w:val="84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kern w:val="0"/>
                <w:sz w:val="22"/>
              </w:rPr>
            </w:pPr>
            <w:r>
              <w:rPr>
                <w:rFonts w:ascii="仿宋" w:hAnsi="仿宋" w:cs="宋体"/>
                <w:color w:val="000000"/>
                <w:kern w:val="0"/>
                <w:sz w:val="22"/>
              </w:rPr>
              <w:t>2</w:t>
            </w:r>
          </w:p>
        </w:tc>
        <w:tc>
          <w:tcPr>
            <w:tcW w:w="224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kern w:val="0"/>
                <w:sz w:val="22"/>
              </w:rPr>
            </w:pPr>
            <w:r>
              <w:rPr>
                <w:rFonts w:hint="eastAsia" w:ascii="仿宋" w:hAnsi="仿宋" w:cs="宋体"/>
                <w:color w:val="000000"/>
                <w:kern w:val="0"/>
                <w:sz w:val="22"/>
              </w:rPr>
              <w:t>客户端呼叫软件（6</w:t>
            </w:r>
            <w:r>
              <w:rPr>
                <w:rFonts w:ascii="仿宋" w:hAnsi="仿宋" w:cs="宋体"/>
                <w:color w:val="000000"/>
                <w:kern w:val="0"/>
                <w:sz w:val="22"/>
              </w:rPr>
              <w:t>0个以内点位授权</w:t>
            </w:r>
            <w:r>
              <w:rPr>
                <w:rFonts w:hint="eastAsia" w:ascii="仿宋" w:hAnsi="仿宋" w:cs="宋体"/>
                <w:color w:val="000000"/>
                <w:kern w:val="0"/>
                <w:sz w:val="22"/>
              </w:rPr>
              <w:t>）</w:t>
            </w:r>
          </w:p>
        </w:tc>
        <w:tc>
          <w:tcPr>
            <w:tcW w:w="64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cs="宋体"/>
                <w:color w:val="000000"/>
                <w:kern w:val="0"/>
                <w:sz w:val="22"/>
              </w:rPr>
            </w:pPr>
            <w:r>
              <w:rPr>
                <w:rFonts w:hint="eastAsia" w:ascii="仿宋" w:hAnsi="仿宋" w:cs="宋体"/>
                <w:color w:val="000000"/>
                <w:kern w:val="0"/>
                <w:sz w:val="22"/>
              </w:rPr>
              <w:t>客户端呼叫软件安装在窗口工作人员电脑上，支持采用工作人员代码或者工号加密码方式登录，客户端呼叫软件登录后自动同步评价客户端软件和窗口显示终端上的工作人员信息；</w:t>
            </w:r>
          </w:p>
          <w:p>
            <w:pPr>
              <w:widowControl/>
              <w:spacing w:line="240" w:lineRule="auto"/>
              <w:ind w:firstLine="0" w:firstLineChars="0"/>
              <w:jc w:val="left"/>
              <w:rPr>
                <w:rFonts w:ascii="仿宋" w:hAnsi="仿宋" w:cs="宋体"/>
                <w:color w:val="000000"/>
                <w:kern w:val="0"/>
                <w:sz w:val="22"/>
              </w:rPr>
            </w:pPr>
            <w:r>
              <w:rPr>
                <w:rFonts w:hint="eastAsia" w:ascii="仿宋" w:hAnsi="仿宋" w:cs="宋体"/>
                <w:color w:val="000000"/>
                <w:kern w:val="0"/>
                <w:sz w:val="22"/>
              </w:rPr>
              <w:t>支持显示当前窗口号、办理业务名称、当前办理人员姓名、票号及等候人员数量；</w:t>
            </w:r>
          </w:p>
          <w:p>
            <w:pPr>
              <w:widowControl/>
              <w:spacing w:line="240" w:lineRule="auto"/>
              <w:ind w:firstLine="0" w:firstLineChars="0"/>
              <w:jc w:val="left"/>
              <w:rPr>
                <w:rFonts w:ascii="仿宋" w:hAnsi="仿宋" w:cs="宋体"/>
                <w:color w:val="000000"/>
                <w:kern w:val="0"/>
                <w:sz w:val="22"/>
              </w:rPr>
            </w:pPr>
            <w:r>
              <w:rPr>
                <w:rFonts w:hint="eastAsia" w:ascii="仿宋" w:hAnsi="仿宋" w:cs="宋体"/>
                <w:color w:val="000000"/>
                <w:kern w:val="0"/>
                <w:sz w:val="22"/>
              </w:rPr>
              <w:t>支持顺呼模式、选叫模式，顺呼模式下常规有呼叫下一位、重复呼叫，开始办理，完成办理、过号等功能；</w:t>
            </w:r>
          </w:p>
          <w:p>
            <w:pPr>
              <w:widowControl/>
              <w:spacing w:line="240" w:lineRule="auto"/>
              <w:ind w:firstLine="0" w:firstLineChars="0"/>
              <w:jc w:val="left"/>
              <w:rPr>
                <w:rFonts w:ascii="仿宋" w:hAnsi="仿宋" w:cs="宋体"/>
                <w:color w:val="000000"/>
                <w:kern w:val="0"/>
                <w:sz w:val="22"/>
              </w:rPr>
            </w:pPr>
            <w:r>
              <w:rPr>
                <w:rFonts w:hint="eastAsia" w:ascii="仿宋" w:hAnsi="仿宋" w:cs="宋体"/>
                <w:color w:val="000000"/>
                <w:kern w:val="0"/>
                <w:sz w:val="22"/>
              </w:rPr>
              <w:t>支持查看已办理列表、等候列表和过号列表，支持过号重呼功能；</w:t>
            </w:r>
          </w:p>
          <w:p>
            <w:pPr>
              <w:widowControl/>
              <w:spacing w:line="240" w:lineRule="auto"/>
              <w:ind w:firstLine="0" w:firstLineChars="0"/>
              <w:jc w:val="left"/>
              <w:rPr>
                <w:rFonts w:ascii="仿宋" w:hAnsi="仿宋" w:cs="宋体"/>
                <w:color w:val="000000"/>
                <w:kern w:val="0"/>
                <w:sz w:val="22"/>
              </w:rPr>
            </w:pPr>
            <w:r>
              <w:rPr>
                <w:rFonts w:hint="eastAsia" w:ascii="仿宋" w:hAnsi="仿宋" w:cs="宋体"/>
                <w:color w:val="000000"/>
                <w:kern w:val="0"/>
                <w:sz w:val="22"/>
              </w:rPr>
              <w:t>支持暂停办理、停止服务、离岗倒计时、欢迎光临、一米线等候等提醒功能，与评价器和窗口显示屏联动提醒；</w:t>
            </w:r>
          </w:p>
          <w:p>
            <w:pPr>
              <w:widowControl/>
              <w:spacing w:line="240" w:lineRule="auto"/>
              <w:ind w:firstLine="0" w:firstLineChars="0"/>
              <w:jc w:val="left"/>
              <w:rPr>
                <w:rFonts w:ascii="仿宋" w:hAnsi="仿宋" w:cs="宋体"/>
                <w:color w:val="000000"/>
                <w:kern w:val="0"/>
                <w:sz w:val="22"/>
              </w:rPr>
            </w:pPr>
            <w:r>
              <w:rPr>
                <w:rFonts w:hint="eastAsia" w:ascii="仿宋" w:hAnsi="仿宋" w:cs="宋体"/>
                <w:color w:val="000000"/>
                <w:kern w:val="0"/>
                <w:sz w:val="22"/>
              </w:rPr>
              <w:t>支持自动呼叫功能，即完成办理后自动呼叫下一位；</w:t>
            </w:r>
          </w:p>
          <w:p>
            <w:pPr>
              <w:widowControl/>
              <w:spacing w:line="240" w:lineRule="auto"/>
              <w:ind w:firstLine="0" w:firstLineChars="0"/>
              <w:jc w:val="left"/>
              <w:rPr>
                <w:rFonts w:ascii="仿宋" w:hAnsi="仿宋" w:cs="宋体"/>
                <w:color w:val="000000"/>
                <w:kern w:val="0"/>
                <w:sz w:val="22"/>
              </w:rPr>
            </w:pPr>
            <w:r>
              <w:rPr>
                <w:rFonts w:hint="eastAsia" w:ascii="仿宋" w:hAnsi="仿宋" w:cs="宋体"/>
                <w:color w:val="000000"/>
                <w:kern w:val="0"/>
                <w:sz w:val="22"/>
              </w:rPr>
              <w:t>支持主动呼叫功能，当排队人数少于办理窗口数时，主动帮空闲窗口呼叫等候票号；有新办事人员取号，窗口工作人员客户端软件弹窗或者发声提醒；</w:t>
            </w:r>
          </w:p>
          <w:p>
            <w:pPr>
              <w:widowControl/>
              <w:spacing w:line="240" w:lineRule="auto"/>
              <w:ind w:firstLine="0" w:firstLineChars="0"/>
              <w:jc w:val="left"/>
              <w:rPr>
                <w:rFonts w:ascii="仿宋" w:hAnsi="仿宋" w:cs="宋体"/>
                <w:color w:val="000000"/>
                <w:kern w:val="0"/>
                <w:sz w:val="22"/>
              </w:rPr>
            </w:pPr>
          </w:p>
        </w:tc>
      </w:tr>
      <w:tr>
        <w:tblPrEx>
          <w:tblCellMar>
            <w:top w:w="0" w:type="dxa"/>
            <w:left w:w="108" w:type="dxa"/>
            <w:bottom w:w="0" w:type="dxa"/>
            <w:right w:w="108" w:type="dxa"/>
          </w:tblCellMar>
        </w:tblPrEx>
        <w:trPr>
          <w:trHeight w:val="84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kern w:val="0"/>
                <w:sz w:val="22"/>
              </w:rPr>
            </w:pPr>
            <w:r>
              <w:rPr>
                <w:rFonts w:ascii="仿宋" w:hAnsi="仿宋" w:cs="宋体"/>
                <w:color w:val="000000"/>
                <w:kern w:val="0"/>
                <w:sz w:val="22"/>
              </w:rPr>
              <w:t>3</w:t>
            </w:r>
          </w:p>
        </w:tc>
        <w:tc>
          <w:tcPr>
            <w:tcW w:w="224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kern w:val="0"/>
                <w:sz w:val="22"/>
              </w:rPr>
            </w:pPr>
            <w:r>
              <w:rPr>
                <w:rFonts w:hint="eastAsia" w:ascii="仿宋" w:hAnsi="仿宋" w:cs="宋体"/>
                <w:color w:val="000000"/>
                <w:kern w:val="0"/>
                <w:sz w:val="22"/>
              </w:rPr>
              <w:t>软硬件整合</w:t>
            </w:r>
          </w:p>
        </w:tc>
        <w:tc>
          <w:tcPr>
            <w:tcW w:w="64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cs="宋体"/>
                <w:color w:val="000000"/>
                <w:kern w:val="0"/>
                <w:sz w:val="22"/>
              </w:rPr>
            </w:pPr>
            <w:r>
              <w:rPr>
                <w:rFonts w:hint="eastAsia" w:ascii="仿宋" w:hAnsi="仿宋" w:cs="宋体"/>
                <w:color w:val="000000"/>
                <w:kern w:val="0"/>
                <w:sz w:val="22"/>
              </w:rPr>
              <w:t>大数据平台对接接口、接收卡协议对接</w:t>
            </w:r>
          </w:p>
        </w:tc>
      </w:tr>
      <w:tr>
        <w:tblPrEx>
          <w:tblCellMar>
            <w:top w:w="0" w:type="dxa"/>
            <w:left w:w="108" w:type="dxa"/>
            <w:bottom w:w="0" w:type="dxa"/>
            <w:right w:w="108" w:type="dxa"/>
          </w:tblCellMar>
        </w:tblPrEx>
        <w:trPr>
          <w:trHeight w:val="686"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kern w:val="0"/>
                <w:sz w:val="22"/>
              </w:rPr>
            </w:pPr>
            <w:r>
              <w:rPr>
                <w:rFonts w:ascii="仿宋" w:hAnsi="仿宋" w:cs="宋体"/>
                <w:color w:val="000000"/>
                <w:kern w:val="0"/>
                <w:sz w:val="22"/>
              </w:rPr>
              <w:t>4</w:t>
            </w:r>
          </w:p>
        </w:tc>
        <w:tc>
          <w:tcPr>
            <w:tcW w:w="224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kern w:val="0"/>
                <w:sz w:val="22"/>
              </w:rPr>
            </w:pPr>
            <w:r>
              <w:rPr>
                <w:rFonts w:hint="eastAsia" w:ascii="仿宋" w:hAnsi="仿宋" w:cs="宋体"/>
                <w:color w:val="000000"/>
                <w:kern w:val="0"/>
                <w:sz w:val="22"/>
              </w:rPr>
              <w:t>系统实施</w:t>
            </w:r>
          </w:p>
        </w:tc>
        <w:tc>
          <w:tcPr>
            <w:tcW w:w="64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cs="宋体"/>
                <w:color w:val="000000"/>
                <w:kern w:val="0"/>
                <w:sz w:val="22"/>
              </w:rPr>
            </w:pPr>
            <w:r>
              <w:rPr>
                <w:rFonts w:hint="eastAsia" w:ascii="仿宋" w:hAnsi="仿宋" w:cs="宋体"/>
                <w:color w:val="000000"/>
                <w:kern w:val="0"/>
                <w:sz w:val="22"/>
              </w:rPr>
              <w:t>软硬件安装调试</w:t>
            </w:r>
          </w:p>
        </w:tc>
      </w:tr>
      <w:tr>
        <w:tblPrEx>
          <w:tblCellMar>
            <w:top w:w="0" w:type="dxa"/>
            <w:left w:w="108" w:type="dxa"/>
            <w:bottom w:w="0" w:type="dxa"/>
            <w:right w:w="108" w:type="dxa"/>
          </w:tblCellMar>
        </w:tblPrEx>
        <w:trPr>
          <w:trHeight w:val="205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kern w:val="0"/>
                <w:sz w:val="22"/>
              </w:rPr>
            </w:pPr>
            <w:r>
              <w:rPr>
                <w:rFonts w:ascii="仿宋" w:hAnsi="仿宋" w:cs="宋体"/>
                <w:color w:val="000000"/>
                <w:kern w:val="0"/>
                <w:sz w:val="22"/>
              </w:rPr>
              <w:t>5</w:t>
            </w:r>
          </w:p>
        </w:tc>
        <w:tc>
          <w:tcPr>
            <w:tcW w:w="224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kern w:val="0"/>
                <w:sz w:val="22"/>
              </w:rPr>
            </w:pPr>
          </w:p>
        </w:tc>
        <w:tc>
          <w:tcPr>
            <w:tcW w:w="640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cs="宋体"/>
                <w:color w:val="000000"/>
                <w:kern w:val="0"/>
                <w:sz w:val="22"/>
              </w:rPr>
            </w:pPr>
            <w:r>
              <w:rPr>
                <w:rFonts w:hint="eastAsia" w:ascii="仿宋" w:hAnsi="仿宋" w:cs="宋体"/>
                <w:color w:val="000000"/>
                <w:kern w:val="0"/>
                <w:sz w:val="22"/>
              </w:rPr>
              <w:t>公司提供每年不少于二次的定期巡检服务，检查软件、系统运行情况。公司提供现场服务，对于不能远程解决的重大问题，公司派遣工程师到达现场排查问题、解决故障。同时还提供热线电话及电子邮件服务。（公司提供软件系统2年、硬件设备1年的年保服务）</w:t>
            </w:r>
          </w:p>
        </w:tc>
      </w:tr>
    </w:tbl>
    <w:p>
      <w:pPr>
        <w:widowControl w:val="0"/>
        <w:numPr>
          <w:ilvl w:val="0"/>
          <w:numId w:val="0"/>
        </w:numPr>
        <w:spacing w:line="360" w:lineRule="auto"/>
        <w:jc w:val="both"/>
        <w:rPr>
          <w:rFonts w:hint="eastAsia" w:ascii="宋体" w:hAnsi="宋体" w:eastAsia="宋体"/>
          <w:sz w:val="24"/>
        </w:rPr>
      </w:pPr>
    </w:p>
    <w:p>
      <w:pPr>
        <w:numPr>
          <w:ilvl w:val="0"/>
          <w:numId w:val="7"/>
        </w:numPr>
        <w:spacing w:line="360" w:lineRule="auto"/>
        <w:ind w:firstLine="482" w:firstLineChars="200"/>
        <w:rPr>
          <w:rFonts w:ascii="宋体" w:hAnsi="宋体" w:eastAsia="宋体"/>
          <w:b/>
          <w:sz w:val="24"/>
        </w:rPr>
      </w:pPr>
      <w:r>
        <w:rPr>
          <w:rFonts w:hint="eastAsia" w:ascii="宋体" w:hAnsi="宋体" w:eastAsia="宋体"/>
          <w:b/>
          <w:sz w:val="24"/>
          <w:lang w:val="en-US" w:eastAsia="zh-CN"/>
        </w:rPr>
        <w:t>质保期限</w:t>
      </w:r>
    </w:p>
    <w:p>
      <w:pPr>
        <w:spacing w:line="360" w:lineRule="auto"/>
        <w:ind w:firstLine="420"/>
        <w:rPr>
          <w:rFonts w:hint="eastAsia" w:ascii="宋体" w:hAnsi="宋体" w:eastAsia="宋体"/>
          <w:sz w:val="24"/>
          <w:highlight w:val="none"/>
          <w:lang w:eastAsia="zh-CN"/>
        </w:rPr>
      </w:pPr>
      <w:r>
        <w:rPr>
          <w:rFonts w:hint="eastAsia" w:ascii="宋体" w:hAnsi="宋体" w:eastAsia="宋体"/>
          <w:sz w:val="24"/>
          <w:highlight w:val="none"/>
        </w:rPr>
        <w:t>公司提供软件系统2年、硬件设备1年的</w:t>
      </w:r>
      <w:r>
        <w:rPr>
          <w:rFonts w:hint="eastAsia" w:ascii="宋体" w:hAnsi="宋体" w:eastAsia="宋体"/>
          <w:sz w:val="24"/>
          <w:highlight w:val="none"/>
          <w:lang w:val="en-US" w:eastAsia="zh-CN"/>
        </w:rPr>
        <w:t>质保</w:t>
      </w:r>
      <w:r>
        <w:rPr>
          <w:rFonts w:hint="eastAsia" w:ascii="宋体" w:hAnsi="宋体" w:eastAsia="宋体"/>
          <w:sz w:val="24"/>
          <w:highlight w:val="none"/>
        </w:rPr>
        <w:t>服务</w:t>
      </w:r>
      <w:r>
        <w:rPr>
          <w:rFonts w:hint="eastAsia" w:ascii="宋体" w:hAnsi="宋体" w:eastAsia="宋体"/>
          <w:sz w:val="24"/>
          <w:highlight w:val="none"/>
          <w:lang w:eastAsia="zh-CN"/>
        </w:rPr>
        <w:t>。</w:t>
      </w:r>
    </w:p>
    <w:p>
      <w:pPr>
        <w:numPr>
          <w:ilvl w:val="0"/>
          <w:numId w:val="7"/>
        </w:numPr>
        <w:spacing w:line="360" w:lineRule="auto"/>
        <w:ind w:firstLine="482" w:firstLineChars="200"/>
        <w:rPr>
          <w:rFonts w:ascii="宋体" w:hAnsi="宋体" w:eastAsia="宋体"/>
          <w:b/>
          <w:sz w:val="24"/>
          <w:highlight w:val="none"/>
        </w:rPr>
      </w:pPr>
      <w:r>
        <w:rPr>
          <w:rFonts w:hint="eastAsia" w:ascii="宋体" w:hAnsi="宋体" w:eastAsia="宋体"/>
          <w:b/>
          <w:sz w:val="24"/>
          <w:highlight w:val="none"/>
          <w:lang w:val="en-US" w:eastAsia="zh-CN"/>
        </w:rPr>
        <w:t>合同履行期限</w:t>
      </w:r>
    </w:p>
    <w:p>
      <w:pPr>
        <w:numPr>
          <w:ilvl w:val="0"/>
          <w:numId w:val="0"/>
        </w:numPr>
        <w:spacing w:line="360" w:lineRule="auto"/>
        <w:ind w:firstLine="420" w:firstLineChars="0"/>
        <w:rPr>
          <w:rFonts w:hint="eastAsia" w:ascii="宋体" w:hAnsi="宋体" w:eastAsia="宋体"/>
          <w:sz w:val="24"/>
          <w:highlight w:val="none"/>
        </w:rPr>
      </w:pPr>
      <w:r>
        <w:rPr>
          <w:rFonts w:hint="eastAsia" w:ascii="宋体" w:hAnsi="宋体" w:eastAsia="宋体"/>
          <w:sz w:val="24"/>
          <w:highlight w:val="none"/>
        </w:rPr>
        <w:t>签定合同后20天内部署并调试完成。签订合同前提供原厂软件系统2年、硬件设备1年质保函原件。</w:t>
      </w:r>
    </w:p>
    <w:p>
      <w:pPr>
        <w:numPr>
          <w:ilvl w:val="0"/>
          <w:numId w:val="7"/>
        </w:numPr>
        <w:spacing w:line="360" w:lineRule="auto"/>
        <w:ind w:firstLine="482" w:firstLineChars="200"/>
        <w:rPr>
          <w:rFonts w:hint="eastAsia" w:ascii="宋体" w:hAnsi="宋体" w:eastAsia="宋体"/>
          <w:b/>
          <w:sz w:val="24"/>
          <w:highlight w:val="none"/>
          <w:lang w:val="en-US" w:eastAsia="zh-CN"/>
        </w:rPr>
      </w:pPr>
      <w:r>
        <w:rPr>
          <w:rFonts w:hint="eastAsia" w:ascii="宋体" w:hAnsi="宋体" w:eastAsia="宋体"/>
          <w:b/>
          <w:sz w:val="24"/>
          <w:highlight w:val="none"/>
          <w:lang w:val="en-US" w:eastAsia="zh-CN"/>
        </w:rPr>
        <w:t>支付方式</w:t>
      </w:r>
    </w:p>
    <w:p>
      <w:pPr>
        <w:spacing w:line="360" w:lineRule="auto"/>
        <w:ind w:firstLine="420"/>
        <w:rPr>
          <w:rFonts w:asciiTheme="minorEastAsia" w:hAnsiTheme="minorEastAsia"/>
          <w:sz w:val="24"/>
          <w:szCs w:val="24"/>
          <w:highlight w:val="none"/>
        </w:rPr>
      </w:pPr>
      <w:r>
        <w:rPr>
          <w:rFonts w:hint="eastAsia" w:ascii="宋体" w:hAnsi="宋体" w:eastAsia="宋体"/>
          <w:sz w:val="24"/>
          <w:highlight w:val="none"/>
        </w:rPr>
        <w:t>签订合同预付50% ，项目验收合格，付清50%尾款。</w:t>
      </w:r>
    </w:p>
    <w:p/>
    <w:p/>
    <w:p>
      <w:pPr>
        <w:rPr>
          <w:rFonts w:hint="eastAsia" w:ascii="黑体" w:hAnsi="黑体" w:eastAsia="黑体" w:cs="Times New Roman"/>
          <w:bCs/>
          <w:kern w:val="0"/>
          <w:sz w:val="28"/>
          <w:szCs w:val="28"/>
        </w:rPr>
      </w:pPr>
      <w:bookmarkStart w:id="46" w:name="_Toc55147048"/>
      <w:bookmarkStart w:id="47" w:name="_Toc29401"/>
      <w:bookmarkStart w:id="48" w:name="_Toc63173552"/>
      <w:bookmarkStart w:id="49" w:name="_Toc55147050"/>
      <w:r>
        <w:rPr>
          <w:rFonts w:hint="eastAsia" w:ascii="黑体" w:hAnsi="黑体" w:eastAsia="黑体" w:cs="Times New Roman"/>
          <w:bCs/>
          <w:kern w:val="0"/>
          <w:sz w:val="28"/>
          <w:szCs w:val="28"/>
        </w:rPr>
        <w:br w:type="page"/>
      </w:r>
    </w:p>
    <w:p>
      <w:pPr>
        <w:keepNext/>
        <w:spacing w:line="360" w:lineRule="auto"/>
        <w:jc w:val="center"/>
        <w:outlineLvl w:val="0"/>
        <w:rPr>
          <w:rFonts w:ascii="黑体" w:hAnsi="黑体" w:eastAsia="黑体" w:cs="Times New Roman"/>
          <w:bCs/>
          <w:kern w:val="0"/>
          <w:sz w:val="28"/>
          <w:szCs w:val="28"/>
        </w:rPr>
      </w:pPr>
      <w:r>
        <w:rPr>
          <w:rFonts w:hint="eastAsia" w:ascii="黑体" w:hAnsi="黑体" w:eastAsia="黑体" w:cs="Times New Roman"/>
          <w:bCs/>
          <w:kern w:val="0"/>
          <w:sz w:val="28"/>
          <w:szCs w:val="28"/>
        </w:rPr>
        <w:t>四．</w:t>
      </w:r>
      <w:bookmarkEnd w:id="46"/>
      <w:r>
        <w:rPr>
          <w:rFonts w:hint="eastAsia" w:ascii="黑体" w:hAnsi="黑体" w:eastAsia="黑体" w:cs="Times New Roman"/>
          <w:bCs/>
          <w:kern w:val="0"/>
          <w:sz w:val="28"/>
          <w:szCs w:val="28"/>
        </w:rPr>
        <w:t>合同条款及格式</w:t>
      </w:r>
      <w:bookmarkEnd w:id="47"/>
      <w:bookmarkEnd w:id="48"/>
    </w:p>
    <w:p>
      <w:pPr>
        <w:spacing w:line="480" w:lineRule="auto"/>
        <w:rPr>
          <w:rFonts w:ascii="黑体" w:hAnsi="黑体" w:eastAsia="黑体"/>
          <w:sz w:val="28"/>
          <w:szCs w:val="28"/>
          <w:u w:val="single"/>
        </w:rPr>
      </w:pPr>
      <w:r>
        <w:rPr>
          <w:rFonts w:ascii="仿宋" w:hAnsi="仿宋" w:eastAsia="仿宋"/>
          <w:sz w:val="32"/>
          <w:szCs w:val="32"/>
        </w:rPr>
        <w:t xml:space="preserve"> </w:t>
      </w:r>
      <w:r>
        <w:rPr>
          <w:rFonts w:hint="eastAsia" w:ascii="黑体" w:hAnsi="黑体" w:eastAsia="黑体"/>
          <w:sz w:val="28"/>
          <w:szCs w:val="28"/>
        </w:rPr>
        <w:t>合同编号：</w:t>
      </w:r>
      <w:r>
        <w:rPr>
          <w:rFonts w:hint="eastAsia" w:ascii="黑体" w:hAnsi="黑体" w:eastAsia="黑体"/>
          <w:sz w:val="28"/>
          <w:szCs w:val="28"/>
          <w:u w:val="single"/>
        </w:rPr>
        <w:t xml:space="preserve">          </w:t>
      </w:r>
    </w:p>
    <w:p>
      <w:pPr>
        <w:jc w:val="right"/>
        <w:rPr>
          <w:rFonts w:ascii="楷体" w:hAnsi="楷体" w:eastAsia="楷体"/>
          <w:sz w:val="28"/>
          <w:szCs w:val="28"/>
        </w:rPr>
      </w:pPr>
      <w:r>
        <w:rPr>
          <w:rFonts w:hint="eastAsia" w:ascii="Calibri" w:hAnsi="Calibri"/>
        </w:rPr>
        <w:t xml:space="preserve">                             </w:t>
      </w:r>
      <w:r>
        <w:rPr>
          <w:rFonts w:hint="eastAsia" w:ascii="楷体" w:hAnsi="楷体" w:eastAsia="楷体"/>
        </w:rPr>
        <w:t xml:space="preserve">             </w:t>
      </w:r>
    </w:p>
    <w:p>
      <w:pPr>
        <w:spacing w:line="480" w:lineRule="auto"/>
        <w:jc w:val="center"/>
        <w:rPr>
          <w:rFonts w:ascii="黑体" w:hAnsi="黑体" w:eastAsia="黑体"/>
          <w:bCs/>
          <w:sz w:val="48"/>
          <w:szCs w:val="44"/>
        </w:rPr>
      </w:pPr>
      <w:r>
        <w:rPr>
          <w:rFonts w:hint="eastAsia" w:ascii="黑体" w:hAnsi="黑体" w:eastAsia="黑体"/>
          <w:bCs/>
          <w:sz w:val="48"/>
          <w:szCs w:val="44"/>
        </w:rPr>
        <w:t xml:space="preserve">采购合同  </w:t>
      </w:r>
    </w:p>
    <w:p>
      <w:pPr>
        <w:tabs>
          <w:tab w:val="left" w:pos="1515"/>
        </w:tabs>
        <w:autoSpaceDE w:val="0"/>
        <w:autoSpaceDN w:val="0"/>
        <w:adjustRightInd w:val="0"/>
        <w:jc w:val="left"/>
        <w:rPr>
          <w:rFonts w:ascii="楷体" w:hAnsi="楷体" w:eastAsia="楷体"/>
          <w:sz w:val="24"/>
        </w:rPr>
      </w:pPr>
      <w:r>
        <w:rPr>
          <w:rFonts w:ascii="楷体" w:hAnsi="楷体" w:eastAsia="楷体"/>
          <w:sz w:val="24"/>
        </w:rPr>
        <w:tab/>
      </w:r>
    </w:p>
    <w:p>
      <w:pPr>
        <w:autoSpaceDE w:val="0"/>
        <w:autoSpaceDN w:val="0"/>
        <w:adjustRightInd w:val="0"/>
        <w:jc w:val="left"/>
        <w:rPr>
          <w:rFonts w:ascii="楷体" w:hAnsi="楷体" w:eastAsia="楷体"/>
          <w:sz w:val="24"/>
        </w:rPr>
      </w:pPr>
    </w:p>
    <w:p>
      <w:pPr>
        <w:autoSpaceDE w:val="0"/>
        <w:autoSpaceDN w:val="0"/>
        <w:adjustRightInd w:val="0"/>
        <w:jc w:val="center"/>
        <w:rPr>
          <w:rFonts w:ascii="黑体" w:hAnsi="黑体" w:eastAsia="黑体"/>
          <w:bCs/>
          <w:sz w:val="32"/>
          <w:szCs w:val="28"/>
        </w:rPr>
      </w:pPr>
      <w:r>
        <w:rPr>
          <w:rFonts w:hint="eastAsia" w:ascii="黑体" w:hAnsi="黑体" w:eastAsia="黑体"/>
          <w:bCs/>
          <w:sz w:val="32"/>
          <w:szCs w:val="28"/>
        </w:rPr>
        <w:t>第一部分 合同书</w:t>
      </w:r>
    </w:p>
    <w:p>
      <w:pPr>
        <w:autoSpaceDE w:val="0"/>
        <w:autoSpaceDN w:val="0"/>
        <w:adjustRightInd w:val="0"/>
        <w:jc w:val="left"/>
        <w:rPr>
          <w:rFonts w:ascii="楷体" w:hAnsi="楷体" w:eastAsia="楷体"/>
          <w:sz w:val="24"/>
        </w:rPr>
      </w:pPr>
      <w:r>
        <w:rPr>
          <w:rFonts w:hint="eastAsia" w:ascii="楷体" w:hAnsi="楷体" w:eastAsia="楷体"/>
          <w:sz w:val="24"/>
        </w:rPr>
        <w:t xml:space="preserve"> </w:t>
      </w:r>
    </w:p>
    <w:p>
      <w:pPr>
        <w:spacing w:before="120" w:line="240" w:lineRule="atLeast"/>
        <w:rPr>
          <w:rFonts w:ascii="楷体" w:hAnsi="楷体" w:eastAsia="楷体"/>
          <w:sz w:val="24"/>
        </w:rPr>
      </w:pPr>
      <w:r>
        <w:rPr>
          <w:rFonts w:hint="eastAsia" w:ascii="楷体" w:hAnsi="楷体" w:eastAsia="楷体"/>
          <w:sz w:val="24"/>
        </w:rPr>
        <w:t xml:space="preserve"> </w:t>
      </w:r>
    </w:p>
    <w:p>
      <w:pPr>
        <w:spacing w:before="120" w:line="240" w:lineRule="atLeast"/>
        <w:ind w:left="960"/>
        <w:rPr>
          <w:rFonts w:ascii="黑体" w:hAnsi="黑体" w:eastAsia="黑体"/>
          <w:sz w:val="32"/>
          <w:szCs w:val="28"/>
        </w:rPr>
      </w:pPr>
      <w:r>
        <w:rPr>
          <w:rFonts w:hint="eastAsia" w:ascii="黑体" w:hAnsi="黑体" w:eastAsia="黑体"/>
          <w:sz w:val="32"/>
          <w:szCs w:val="28"/>
        </w:rPr>
        <w:t>项目名称：</w:t>
      </w:r>
      <w:r>
        <w:rPr>
          <w:rFonts w:hint="eastAsia" w:ascii="黑体" w:hAnsi="黑体" w:eastAsia="黑体"/>
          <w:sz w:val="32"/>
          <w:szCs w:val="28"/>
          <w:u w:val="single"/>
        </w:rPr>
        <w:t xml:space="preserve">                                   </w:t>
      </w:r>
    </w:p>
    <w:p>
      <w:pPr>
        <w:rPr>
          <w:rFonts w:ascii="黑体" w:hAnsi="黑体" w:eastAsia="黑体"/>
          <w:sz w:val="32"/>
          <w:szCs w:val="28"/>
        </w:rPr>
      </w:pPr>
      <w:r>
        <w:rPr>
          <w:rFonts w:ascii="黑体" w:hAnsi="黑体" w:eastAsia="黑体"/>
          <w:sz w:val="32"/>
          <w:szCs w:val="28"/>
        </w:rPr>
        <w:t xml:space="preserve"> </w:t>
      </w:r>
    </w:p>
    <w:p>
      <w:pPr>
        <w:spacing w:before="120" w:line="240" w:lineRule="atLeast"/>
        <w:ind w:left="960"/>
        <w:rPr>
          <w:rFonts w:ascii="黑体" w:hAnsi="黑体" w:eastAsia="黑体"/>
          <w:sz w:val="32"/>
          <w:szCs w:val="28"/>
          <w:u w:val="single"/>
        </w:rPr>
      </w:pPr>
      <w:r>
        <w:rPr>
          <w:rFonts w:hint="eastAsia" w:ascii="黑体" w:hAnsi="黑体" w:eastAsia="黑体"/>
          <w:sz w:val="32"/>
          <w:szCs w:val="28"/>
        </w:rPr>
        <w:t>甲方：</w:t>
      </w:r>
      <w:r>
        <w:rPr>
          <w:rFonts w:hint="eastAsia" w:ascii="黑体" w:hAnsi="黑体" w:eastAsia="黑体"/>
          <w:sz w:val="32"/>
          <w:szCs w:val="28"/>
          <w:u w:val="single"/>
          <w:lang w:val="en-US" w:eastAsia="zh-CN"/>
        </w:rPr>
        <w:t xml:space="preserve">       常州市不动产登记交易中心       </w:t>
      </w:r>
      <w:r>
        <w:rPr>
          <w:rFonts w:hint="eastAsia" w:ascii="黑体" w:hAnsi="黑体" w:eastAsia="黑体"/>
          <w:sz w:val="32"/>
          <w:szCs w:val="28"/>
          <w:u w:val="single"/>
        </w:rPr>
        <w:t xml:space="preserve"> </w:t>
      </w:r>
    </w:p>
    <w:p>
      <w:pPr>
        <w:spacing w:before="120" w:line="240" w:lineRule="atLeast"/>
        <w:rPr>
          <w:rFonts w:ascii="黑体" w:hAnsi="黑体" w:eastAsia="黑体"/>
          <w:sz w:val="32"/>
          <w:szCs w:val="28"/>
        </w:rPr>
      </w:pPr>
      <w:r>
        <w:rPr>
          <w:rFonts w:hint="eastAsia" w:ascii="黑体" w:hAnsi="黑体" w:eastAsia="黑体"/>
          <w:sz w:val="32"/>
          <w:szCs w:val="28"/>
        </w:rPr>
        <w:t xml:space="preserve"> </w:t>
      </w:r>
    </w:p>
    <w:p>
      <w:pPr>
        <w:spacing w:before="120" w:line="240" w:lineRule="atLeast"/>
        <w:ind w:left="960"/>
        <w:rPr>
          <w:rFonts w:ascii="黑体" w:hAnsi="黑体" w:eastAsia="黑体"/>
          <w:sz w:val="32"/>
          <w:szCs w:val="28"/>
          <w:u w:val="single"/>
        </w:rPr>
      </w:pPr>
      <w:r>
        <w:rPr>
          <w:rFonts w:hint="eastAsia" w:ascii="黑体" w:hAnsi="黑体" w:eastAsia="黑体"/>
          <w:sz w:val="32"/>
          <w:szCs w:val="28"/>
        </w:rPr>
        <w:t>乙方：</w:t>
      </w:r>
      <w:r>
        <w:rPr>
          <w:rFonts w:hint="eastAsia" w:ascii="黑体" w:hAnsi="黑体" w:eastAsia="黑体"/>
          <w:sz w:val="32"/>
          <w:szCs w:val="28"/>
          <w:u w:val="single"/>
        </w:rPr>
        <w:t xml:space="preserve">                                       </w:t>
      </w:r>
    </w:p>
    <w:p>
      <w:pPr>
        <w:spacing w:before="120" w:line="240" w:lineRule="atLeast"/>
        <w:rPr>
          <w:rFonts w:ascii="黑体" w:hAnsi="黑体" w:eastAsia="黑体"/>
          <w:sz w:val="32"/>
          <w:szCs w:val="28"/>
        </w:rPr>
      </w:pPr>
      <w:r>
        <w:rPr>
          <w:rFonts w:hint="eastAsia" w:ascii="黑体" w:hAnsi="黑体" w:eastAsia="黑体"/>
          <w:sz w:val="32"/>
          <w:szCs w:val="28"/>
        </w:rPr>
        <w:t xml:space="preserve"> </w:t>
      </w:r>
    </w:p>
    <w:p>
      <w:pPr>
        <w:spacing w:before="120" w:line="240" w:lineRule="atLeast"/>
        <w:ind w:firstLine="960" w:firstLineChars="300"/>
        <w:rPr>
          <w:rFonts w:ascii="黑体" w:hAnsi="黑体" w:eastAsia="黑体"/>
          <w:sz w:val="32"/>
          <w:szCs w:val="28"/>
        </w:rPr>
      </w:pPr>
      <w:r>
        <w:rPr>
          <w:rFonts w:hint="eastAsia" w:ascii="黑体" w:hAnsi="黑体" w:eastAsia="黑体"/>
          <w:sz w:val="32"/>
          <w:szCs w:val="28"/>
        </w:rPr>
        <w:t>代理机构：</w:t>
      </w:r>
      <w:r>
        <w:rPr>
          <w:rFonts w:hint="eastAsia" w:ascii="黑体" w:hAnsi="黑体" w:eastAsia="黑体"/>
          <w:sz w:val="32"/>
          <w:szCs w:val="28"/>
          <w:u w:val="single"/>
        </w:rPr>
        <w:t xml:space="preserve">     常州中采招投标有限公司        </w:t>
      </w:r>
    </w:p>
    <w:p>
      <w:pPr>
        <w:spacing w:before="120" w:line="240" w:lineRule="atLeast"/>
        <w:rPr>
          <w:rFonts w:ascii="黑体" w:hAnsi="黑体" w:eastAsia="黑体"/>
          <w:sz w:val="32"/>
          <w:szCs w:val="28"/>
        </w:rPr>
      </w:pPr>
      <w:r>
        <w:rPr>
          <w:rFonts w:ascii="黑体" w:hAnsi="黑体" w:eastAsia="黑体"/>
          <w:sz w:val="32"/>
          <w:szCs w:val="28"/>
        </w:rPr>
        <w:t xml:space="preserve"> </w:t>
      </w:r>
    </w:p>
    <w:p>
      <w:pPr>
        <w:spacing w:before="120" w:line="240" w:lineRule="atLeast"/>
        <w:ind w:firstLine="960" w:firstLineChars="300"/>
        <w:rPr>
          <w:rFonts w:ascii="黑体" w:hAnsi="黑体" w:eastAsia="黑体"/>
          <w:sz w:val="28"/>
          <w:szCs w:val="28"/>
          <w:u w:val="single"/>
        </w:rPr>
      </w:pPr>
      <w:r>
        <w:rPr>
          <w:rFonts w:hint="eastAsia" w:ascii="黑体" w:hAnsi="黑体" w:eastAsia="黑体"/>
          <w:sz w:val="32"/>
          <w:szCs w:val="28"/>
        </w:rPr>
        <w:t>签订地：</w:t>
      </w:r>
      <w:r>
        <w:rPr>
          <w:rFonts w:hint="eastAsia" w:ascii="黑体" w:hAnsi="黑体" w:eastAsia="黑体"/>
          <w:sz w:val="32"/>
          <w:szCs w:val="28"/>
          <w:u w:val="single"/>
        </w:rPr>
        <w:t xml:space="preserve">                                     </w:t>
      </w:r>
      <w:r>
        <w:rPr>
          <w:rFonts w:hint="eastAsia" w:ascii="黑体" w:hAnsi="黑体" w:eastAsia="黑体"/>
          <w:sz w:val="28"/>
          <w:szCs w:val="28"/>
          <w:u w:val="single"/>
        </w:rPr>
        <w:t xml:space="preserve"> </w:t>
      </w:r>
    </w:p>
    <w:p>
      <w:pPr>
        <w:spacing w:before="120" w:line="240" w:lineRule="atLeast"/>
        <w:ind w:firstLine="1400" w:firstLineChars="500"/>
        <w:rPr>
          <w:rFonts w:ascii="黑体" w:hAnsi="黑体" w:eastAsia="黑体"/>
          <w:sz w:val="28"/>
        </w:rPr>
      </w:pPr>
    </w:p>
    <w:p>
      <w:pPr>
        <w:spacing w:before="120" w:line="240" w:lineRule="atLeast"/>
        <w:ind w:firstLine="1400" w:firstLineChars="500"/>
        <w:rPr>
          <w:rFonts w:ascii="黑体" w:hAnsi="黑体" w:eastAsia="黑体"/>
          <w:sz w:val="28"/>
        </w:rPr>
      </w:pPr>
      <w:r>
        <w:rPr>
          <w:rFonts w:hint="eastAsia" w:ascii="黑体" w:hAnsi="黑体" w:eastAsia="黑体"/>
          <w:sz w:val="28"/>
        </w:rPr>
        <w:t>签订日期：</w:t>
      </w:r>
      <w:r>
        <w:rPr>
          <w:rFonts w:hint="eastAsia" w:ascii="黑体" w:hAnsi="黑体" w:eastAsia="黑体"/>
          <w:sz w:val="28"/>
          <w:u w:val="single"/>
        </w:rPr>
        <w:t xml:space="preserve">               </w:t>
      </w:r>
      <w:r>
        <w:rPr>
          <w:rFonts w:hint="eastAsia" w:ascii="黑体" w:hAnsi="黑体" w:eastAsia="黑体"/>
          <w:sz w:val="28"/>
        </w:rPr>
        <w:t>年</w:t>
      </w:r>
      <w:r>
        <w:rPr>
          <w:rFonts w:hint="eastAsia" w:ascii="黑体" w:hAnsi="黑体" w:eastAsia="黑体"/>
          <w:sz w:val="28"/>
          <w:u w:val="single"/>
        </w:rPr>
        <w:t xml:space="preserve">       </w:t>
      </w:r>
      <w:r>
        <w:rPr>
          <w:rFonts w:hint="eastAsia" w:ascii="黑体" w:hAnsi="黑体" w:eastAsia="黑体"/>
          <w:sz w:val="28"/>
        </w:rPr>
        <w:t>月</w:t>
      </w:r>
      <w:r>
        <w:rPr>
          <w:rFonts w:hint="eastAsia" w:ascii="黑体" w:hAnsi="黑体" w:eastAsia="黑体"/>
          <w:sz w:val="28"/>
          <w:u w:val="single"/>
        </w:rPr>
        <w:t xml:space="preserve">       </w:t>
      </w:r>
      <w:r>
        <w:rPr>
          <w:rFonts w:hint="eastAsia" w:ascii="黑体" w:hAnsi="黑体" w:eastAsia="黑体"/>
          <w:sz w:val="28"/>
        </w:rPr>
        <w:t>日</w:t>
      </w:r>
    </w:p>
    <w:p>
      <w:pPr>
        <w:widowControl/>
        <w:jc w:val="left"/>
        <w:rPr>
          <w:rFonts w:ascii="黑体" w:hAnsi="黑体" w:eastAsia="黑体"/>
          <w:sz w:val="28"/>
        </w:rPr>
      </w:pPr>
      <w:r>
        <w:rPr>
          <w:rFonts w:ascii="黑体" w:hAnsi="黑体" w:eastAsia="黑体"/>
          <w:sz w:val="28"/>
        </w:rPr>
        <w:br w:type="page"/>
      </w:r>
    </w:p>
    <w:p>
      <w:pPr>
        <w:spacing w:line="36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 xml:space="preserve">   （采购人名称）   </w:t>
      </w:r>
      <w:r>
        <w:rPr>
          <w:rFonts w:hint="eastAsia" w:ascii="宋体" w:hAnsi="宋体"/>
          <w:sz w:val="24"/>
        </w:rPr>
        <w:t>以</w:t>
      </w:r>
      <w:r>
        <w:rPr>
          <w:rFonts w:hint="eastAsia" w:ascii="宋体" w:hAnsi="宋体"/>
          <w:sz w:val="24"/>
          <w:u w:val="single"/>
        </w:rPr>
        <w:t xml:space="preserve">   </w:t>
      </w:r>
      <w:r>
        <w:rPr>
          <w:rFonts w:hint="eastAsia" w:asciiTheme="minorEastAsia" w:hAnsiTheme="minorEastAsia"/>
          <w:sz w:val="24"/>
          <w:szCs w:val="24"/>
          <w:u w:val="single"/>
        </w:rPr>
        <w:t>竞争性谈判</w:t>
      </w:r>
      <w:r>
        <w:rPr>
          <w:rFonts w:hint="eastAsia" w:ascii="宋体" w:hAnsi="宋体"/>
          <w:sz w:val="24"/>
          <w:u w:val="single"/>
        </w:rPr>
        <w:t xml:space="preserve">  </w:t>
      </w:r>
      <w:r>
        <w:rPr>
          <w:rFonts w:hint="eastAsia" w:ascii="宋体" w:hAnsi="宋体"/>
          <w:sz w:val="24"/>
        </w:rPr>
        <w:t>对</w:t>
      </w:r>
      <w:r>
        <w:rPr>
          <w:rFonts w:hint="eastAsia" w:ascii="宋体" w:hAnsi="宋体"/>
          <w:sz w:val="24"/>
          <w:u w:val="single"/>
        </w:rPr>
        <w:t xml:space="preserve">   常州市不动产登记交易中心叫号系统改造项目   </w:t>
      </w:r>
      <w:r>
        <w:rPr>
          <w:rFonts w:hint="eastAsia" w:ascii="宋体" w:hAnsi="宋体"/>
          <w:sz w:val="24"/>
        </w:rPr>
        <w:t>项目进行了采购。经评定，</w:t>
      </w:r>
      <w:r>
        <w:rPr>
          <w:rFonts w:hint="eastAsia" w:ascii="宋体" w:hAnsi="宋体"/>
          <w:sz w:val="24"/>
          <w:u w:val="single"/>
        </w:rPr>
        <w:t xml:space="preserve">   （中标供应商名称） </w:t>
      </w:r>
      <w:r>
        <w:rPr>
          <w:rFonts w:hint="eastAsia" w:ascii="宋体" w:hAnsi="宋体"/>
          <w:sz w:val="24"/>
        </w:rPr>
        <w:t>为该项目中标供应商。现于中标通知书发出之日起三十日内，按照采购文件确定的事项签订本合同。</w:t>
      </w:r>
    </w:p>
    <w:p>
      <w:pPr>
        <w:spacing w:line="360" w:lineRule="auto"/>
        <w:ind w:firstLine="480" w:firstLineChars="200"/>
        <w:rPr>
          <w:rFonts w:ascii="宋体" w:hAnsi="宋体"/>
          <w:sz w:val="24"/>
        </w:rPr>
      </w:pPr>
      <w:r>
        <w:rPr>
          <w:rFonts w:hint="eastAsia" w:ascii="宋体" w:hAnsi="宋体"/>
          <w:sz w:val="24"/>
        </w:rPr>
        <w:t>根据《中华人民共和国民法典》、《中华人民共和国政府采购法》等相关法律法规之规定，按照平等、自愿、公平和诚实信用的原则，经</w:t>
      </w:r>
      <w:r>
        <w:rPr>
          <w:rFonts w:hint="eastAsia" w:ascii="宋体" w:hAnsi="宋体"/>
          <w:sz w:val="24"/>
          <w:u w:val="single"/>
        </w:rPr>
        <w:t xml:space="preserve">   常州市不动产登记交易中心  </w:t>
      </w:r>
      <w:r>
        <w:rPr>
          <w:rFonts w:hint="eastAsia" w:ascii="宋体" w:hAnsi="宋体"/>
          <w:sz w:val="24"/>
        </w:rPr>
        <w:t>(以下简称：甲方)和</w:t>
      </w:r>
      <w:r>
        <w:rPr>
          <w:rFonts w:hint="eastAsia" w:ascii="宋体" w:hAnsi="宋体"/>
          <w:sz w:val="24"/>
          <w:u w:val="single"/>
        </w:rPr>
        <w:t xml:space="preserve">   （中标供应商名称）   </w:t>
      </w:r>
      <w:r>
        <w:rPr>
          <w:rFonts w:hint="eastAsia" w:ascii="宋体" w:hAnsi="宋体"/>
          <w:sz w:val="24"/>
        </w:rPr>
        <w:t>(以下简称：乙方)协商一致，约定以下合同条款，以兹共同遵守、全面履行。</w:t>
      </w:r>
    </w:p>
    <w:p>
      <w:pPr>
        <w:spacing w:line="360" w:lineRule="auto"/>
        <w:ind w:firstLine="482" w:firstLineChars="200"/>
        <w:rPr>
          <w:rFonts w:ascii="Calibri" w:hAnsi="Calibri"/>
          <w:b/>
          <w:sz w:val="24"/>
        </w:rPr>
      </w:pPr>
      <w:bookmarkStart w:id="50" w:name="_Toc60748165"/>
      <w:r>
        <w:rPr>
          <w:rFonts w:hint="eastAsia" w:ascii="Calibri" w:hAnsi="Calibri"/>
          <w:b/>
          <w:sz w:val="24"/>
        </w:rPr>
        <w:t>一、合同组成部分</w:t>
      </w:r>
      <w:bookmarkEnd w:id="50"/>
    </w:p>
    <w:p>
      <w:pPr>
        <w:spacing w:line="360" w:lineRule="auto"/>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宋体" w:hAnsi="宋体"/>
          <w:sz w:val="24"/>
        </w:rPr>
      </w:pPr>
      <w:r>
        <w:rPr>
          <w:rFonts w:hint="eastAsia" w:ascii="宋体" w:hAnsi="宋体"/>
          <w:sz w:val="24"/>
        </w:rPr>
        <w:t>1.本合同及其补充合同、变更协议；</w:t>
      </w:r>
    </w:p>
    <w:p>
      <w:pPr>
        <w:spacing w:line="360" w:lineRule="auto"/>
        <w:ind w:firstLine="480" w:firstLineChars="200"/>
        <w:rPr>
          <w:rFonts w:ascii="宋体" w:hAnsi="宋体"/>
          <w:sz w:val="24"/>
        </w:rPr>
      </w:pPr>
      <w:r>
        <w:rPr>
          <w:rFonts w:hint="eastAsia" w:ascii="宋体" w:hAnsi="宋体"/>
          <w:sz w:val="24"/>
        </w:rPr>
        <w:t>2.中标通知书；</w:t>
      </w:r>
    </w:p>
    <w:p>
      <w:pPr>
        <w:spacing w:line="360" w:lineRule="auto"/>
        <w:ind w:firstLine="480" w:firstLineChars="200"/>
        <w:rPr>
          <w:rFonts w:ascii="宋体" w:hAnsi="宋体"/>
          <w:sz w:val="24"/>
        </w:rPr>
      </w:pPr>
      <w:r>
        <w:rPr>
          <w:rFonts w:hint="eastAsia" w:ascii="宋体" w:hAnsi="宋体"/>
          <w:sz w:val="24"/>
        </w:rPr>
        <w:t>3.投标文件（含澄清或者说明文件）；</w:t>
      </w:r>
    </w:p>
    <w:p>
      <w:pPr>
        <w:spacing w:line="360" w:lineRule="auto"/>
        <w:ind w:firstLine="480" w:firstLineChars="200"/>
        <w:rPr>
          <w:rFonts w:ascii="宋体" w:hAnsi="宋体"/>
          <w:sz w:val="24"/>
        </w:rPr>
      </w:pPr>
      <w:r>
        <w:rPr>
          <w:rFonts w:hint="eastAsia" w:ascii="宋体" w:hAnsi="宋体"/>
          <w:sz w:val="24"/>
        </w:rPr>
        <w:t>4.招标文件（含澄清或者修改文件）；</w:t>
      </w:r>
    </w:p>
    <w:p>
      <w:pPr>
        <w:spacing w:line="360" w:lineRule="auto"/>
        <w:ind w:firstLine="480" w:firstLineChars="200"/>
        <w:rPr>
          <w:rFonts w:ascii="宋体" w:hAnsi="宋体"/>
          <w:sz w:val="24"/>
        </w:rPr>
      </w:pPr>
      <w:r>
        <w:rPr>
          <w:rFonts w:hint="eastAsia" w:ascii="宋体" w:hAnsi="宋体"/>
          <w:sz w:val="24"/>
        </w:rPr>
        <w:t>5.其他相关采购文件。</w:t>
      </w:r>
    </w:p>
    <w:p>
      <w:pPr>
        <w:spacing w:line="360" w:lineRule="auto"/>
        <w:ind w:firstLine="480" w:firstLineChars="200"/>
        <w:rPr>
          <w:rFonts w:ascii="宋体" w:hAnsi="宋体"/>
          <w:sz w:val="24"/>
        </w:rPr>
      </w:pPr>
      <w:r>
        <w:rPr>
          <w:rFonts w:hint="eastAsia" w:ascii="宋体" w:hAnsi="宋体"/>
          <w:sz w:val="24"/>
        </w:rPr>
        <w:t>双方有关项目的洽商、变更等书面协议或文件视为本合同的组成部分。</w:t>
      </w:r>
    </w:p>
    <w:p>
      <w:pPr>
        <w:spacing w:line="360" w:lineRule="auto"/>
        <w:ind w:firstLine="482" w:firstLineChars="200"/>
        <w:rPr>
          <w:rFonts w:ascii="Calibri" w:hAnsi="Calibri"/>
          <w:b/>
          <w:sz w:val="24"/>
        </w:rPr>
      </w:pPr>
      <w:bookmarkStart w:id="51" w:name="_Toc60748166"/>
      <w:r>
        <w:rPr>
          <w:rFonts w:hint="eastAsia" w:ascii="Calibri" w:hAnsi="Calibri"/>
          <w:b/>
          <w:sz w:val="24"/>
        </w:rPr>
        <w:t>二、合同标的</w:t>
      </w:r>
      <w:bookmarkEnd w:id="51"/>
      <w:r>
        <w:rPr>
          <w:rFonts w:hint="eastAsia" w:ascii="Calibri" w:hAnsi="Calibri"/>
          <w:b/>
          <w:sz w:val="24"/>
        </w:rPr>
        <w:t>内容</w:t>
      </w:r>
    </w:p>
    <w:p>
      <w:pPr>
        <w:tabs>
          <w:tab w:val="left" w:pos="9030"/>
        </w:tabs>
        <w:snapToGrid w:val="0"/>
        <w:spacing w:line="360" w:lineRule="auto"/>
        <w:ind w:firstLine="480" w:firstLineChars="200"/>
        <w:rPr>
          <w:rFonts w:ascii="宋体" w:hAnsi="宋体"/>
          <w:sz w:val="24"/>
          <w:u w:val="single"/>
        </w:rPr>
      </w:pPr>
      <w:bookmarkStart w:id="52" w:name="_Toc60748167"/>
      <w:r>
        <w:rPr>
          <w:rFonts w:hint="eastAsia" w:ascii="宋体" w:hAnsi="宋体"/>
          <w:sz w:val="24"/>
        </w:rPr>
        <w:t>1.项目名称：</w:t>
      </w:r>
      <w:r>
        <w:rPr>
          <w:rFonts w:hint="eastAsia" w:ascii="宋体" w:hAnsi="宋体"/>
          <w:sz w:val="24"/>
          <w:u w:val="single"/>
        </w:rPr>
        <w:t>常州市不动产登记交易中心叫号系统改造项目</w:t>
      </w:r>
      <w:r>
        <w:rPr>
          <w:rFonts w:hint="eastAsia" w:ascii="宋体" w:hAnsi="宋体"/>
          <w:sz w:val="24"/>
        </w:rPr>
        <w:t>；</w:t>
      </w:r>
      <w:r>
        <w:rPr>
          <w:rFonts w:ascii="宋体" w:hAnsi="宋体"/>
          <w:sz w:val="24"/>
        </w:rPr>
        <w:tab/>
      </w:r>
    </w:p>
    <w:p>
      <w:pPr>
        <w:snapToGrid w:val="0"/>
        <w:spacing w:line="360" w:lineRule="auto"/>
        <w:ind w:firstLine="480" w:firstLineChars="200"/>
        <w:rPr>
          <w:rFonts w:ascii="宋体" w:hAnsi="宋体"/>
          <w:sz w:val="24"/>
        </w:rPr>
      </w:pPr>
      <w:r>
        <w:rPr>
          <w:rFonts w:hint="eastAsia" w:ascii="宋体" w:hAnsi="宋体"/>
          <w:sz w:val="24"/>
        </w:rPr>
        <w:t>2.坐落位置：</w:t>
      </w:r>
      <w:r>
        <w:rPr>
          <w:rFonts w:hint="eastAsia" w:ascii="宋体" w:hAnsi="宋体"/>
          <w:sz w:val="24"/>
          <w:u w:val="single"/>
        </w:rPr>
        <w:t xml:space="preserve">                               </w:t>
      </w:r>
      <w:r>
        <w:rPr>
          <w:rFonts w:hint="eastAsia" w:ascii="宋体" w:hAnsi="宋体"/>
          <w:sz w:val="24"/>
        </w:rPr>
        <w:t>；</w:t>
      </w:r>
    </w:p>
    <w:p>
      <w:pPr>
        <w:snapToGrid w:val="0"/>
        <w:spacing w:line="360" w:lineRule="auto"/>
        <w:ind w:firstLine="480" w:firstLineChars="200"/>
        <w:rPr>
          <w:rFonts w:ascii="宋体" w:hAnsi="宋体"/>
          <w:sz w:val="24"/>
        </w:rPr>
      </w:pPr>
      <w:r>
        <w:rPr>
          <w:rFonts w:hint="eastAsia" w:ascii="宋体" w:hAnsi="宋体"/>
          <w:sz w:val="24"/>
        </w:rPr>
        <w:t>3.服务范围：</w:t>
      </w:r>
      <w:r>
        <w:rPr>
          <w:rFonts w:hint="eastAsia" w:ascii="宋体" w:hAnsi="宋体"/>
          <w:sz w:val="24"/>
          <w:u w:val="single"/>
        </w:rPr>
        <w:t xml:space="preserve">                               </w:t>
      </w:r>
      <w:r>
        <w:rPr>
          <w:rFonts w:hint="eastAsia" w:ascii="宋体" w:hAnsi="宋体"/>
          <w:sz w:val="24"/>
        </w:rPr>
        <w:t>；</w:t>
      </w:r>
    </w:p>
    <w:p>
      <w:pPr>
        <w:snapToGrid w:val="0"/>
        <w:spacing w:line="360" w:lineRule="auto"/>
        <w:ind w:firstLine="480" w:firstLineChars="200"/>
        <w:rPr>
          <w:rFonts w:ascii="宋体" w:hAnsi="宋体"/>
          <w:sz w:val="24"/>
        </w:rPr>
      </w:pPr>
      <w:r>
        <w:rPr>
          <w:rFonts w:hint="eastAsia" w:ascii="宋体" w:hAnsi="宋体"/>
          <w:sz w:val="24"/>
        </w:rPr>
        <w:t>4.服务期限：</w:t>
      </w:r>
      <w:r>
        <w:rPr>
          <w:rFonts w:hint="eastAsia" w:ascii="宋体" w:hAnsi="宋体"/>
          <w:sz w:val="24"/>
          <w:u w:val="single"/>
        </w:rPr>
        <w:t xml:space="preserve">                               </w:t>
      </w:r>
      <w:r>
        <w:rPr>
          <w:rFonts w:hint="eastAsia" w:ascii="宋体" w:hAnsi="宋体"/>
          <w:sz w:val="24"/>
        </w:rPr>
        <w:t>。</w:t>
      </w:r>
    </w:p>
    <w:p>
      <w:pPr>
        <w:spacing w:line="360" w:lineRule="auto"/>
        <w:ind w:firstLine="482" w:firstLineChars="200"/>
        <w:rPr>
          <w:rFonts w:ascii="Calibri" w:hAnsi="Calibri"/>
          <w:b/>
          <w:sz w:val="24"/>
        </w:rPr>
      </w:pPr>
      <w:r>
        <w:rPr>
          <w:rFonts w:hint="eastAsia" w:ascii="Calibri" w:hAnsi="Calibri"/>
          <w:b/>
          <w:sz w:val="24"/>
        </w:rPr>
        <w:t>三、合同价款</w:t>
      </w:r>
      <w:bookmarkEnd w:id="52"/>
    </w:p>
    <w:p>
      <w:pPr>
        <w:spacing w:line="360" w:lineRule="auto"/>
        <w:ind w:firstLine="480" w:firstLineChars="200"/>
        <w:rPr>
          <w:rFonts w:ascii="宋体" w:hAnsi="宋体"/>
          <w:sz w:val="24"/>
        </w:rPr>
      </w:pPr>
      <w:r>
        <w:rPr>
          <w:rFonts w:hint="eastAsia" w:ascii="宋体" w:hAnsi="宋体"/>
          <w:sz w:val="24"/>
        </w:rPr>
        <w:t>本合同总价为：￥</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元人民币）。</w:t>
      </w:r>
    </w:p>
    <w:p>
      <w:pPr>
        <w:spacing w:line="360" w:lineRule="auto"/>
        <w:ind w:firstLine="480" w:firstLineChars="200"/>
        <w:rPr>
          <w:rFonts w:ascii="宋体" w:hAnsi="宋体"/>
          <w:sz w:val="24"/>
          <w:u w:val="single"/>
        </w:rPr>
      </w:pPr>
      <w:r>
        <w:rPr>
          <w:rFonts w:hint="eastAsia" w:ascii="宋体" w:hAnsi="宋体"/>
          <w:sz w:val="24"/>
        </w:rPr>
        <w:t>分项价格：</w:t>
      </w:r>
    </w:p>
    <w:tbl>
      <w:tblPr>
        <w:tblStyle w:val="31"/>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序号</w:t>
            </w:r>
          </w:p>
        </w:tc>
        <w:tc>
          <w:tcPr>
            <w:tcW w:w="3402" w:type="dxa"/>
            <w:tcBorders>
              <w:top w:val="single" w:color="auto" w:sz="4" w:space="0"/>
              <w:left w:val="nil"/>
              <w:bottom w:val="single" w:color="auto" w:sz="4" w:space="0"/>
              <w:right w:val="single" w:color="auto" w:sz="4" w:space="0"/>
            </w:tcBorders>
            <w:vAlign w:val="center"/>
          </w:tcPr>
          <w:p>
            <w:pPr>
              <w:spacing w:line="360" w:lineRule="auto"/>
              <w:ind w:firstLine="200"/>
              <w:jc w:val="center"/>
              <w:rPr>
                <w:rFonts w:ascii="宋体" w:hAnsi="宋体"/>
                <w:color w:val="000000"/>
                <w:sz w:val="24"/>
              </w:rPr>
            </w:pPr>
            <w:r>
              <w:rPr>
                <w:rFonts w:hint="eastAsia" w:ascii="宋体" w:hAnsi="宋体"/>
                <w:color w:val="000000"/>
                <w:sz w:val="24"/>
              </w:rPr>
              <w:t>分项名称</w:t>
            </w:r>
          </w:p>
        </w:tc>
        <w:tc>
          <w:tcPr>
            <w:tcW w:w="255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jc w:val="center"/>
              <w:rPr>
                <w:rFonts w:ascii="宋体" w:hAnsi="宋体"/>
                <w:color w:val="000000"/>
                <w:sz w:val="24"/>
              </w:rPr>
            </w:pPr>
          </w:p>
        </w:tc>
        <w:tc>
          <w:tcPr>
            <w:tcW w:w="3402" w:type="dxa"/>
            <w:tcBorders>
              <w:top w:val="single" w:color="auto" w:sz="4" w:space="0"/>
              <w:left w:val="nil"/>
              <w:bottom w:val="single" w:color="auto" w:sz="4" w:space="0"/>
              <w:right w:val="single" w:color="auto" w:sz="4" w:space="0"/>
            </w:tcBorders>
            <w:vAlign w:val="center"/>
          </w:tcPr>
          <w:p>
            <w:pPr>
              <w:spacing w:line="360" w:lineRule="auto"/>
              <w:ind w:firstLine="200"/>
              <w:jc w:val="center"/>
              <w:rPr>
                <w:rFonts w:ascii="宋体" w:hAnsi="宋体"/>
                <w:color w:val="000000"/>
                <w:sz w:val="24"/>
              </w:rPr>
            </w:pPr>
          </w:p>
        </w:tc>
        <w:tc>
          <w:tcPr>
            <w:tcW w:w="2552" w:type="dxa"/>
            <w:tcBorders>
              <w:top w:val="single" w:color="auto" w:sz="4" w:space="0"/>
              <w:left w:val="nil"/>
              <w:bottom w:val="single" w:color="auto" w:sz="4" w:space="0"/>
              <w:right w:val="single" w:color="auto" w:sz="4" w:space="0"/>
            </w:tcBorders>
            <w:vAlign w:val="center"/>
          </w:tcPr>
          <w:p>
            <w:pPr>
              <w:spacing w:line="360" w:lineRule="auto"/>
              <w:ind w:firstLine="20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jc w:val="center"/>
              <w:rPr>
                <w:rFonts w:ascii="宋体" w:hAnsi="宋体"/>
                <w:color w:val="000000"/>
                <w:sz w:val="24"/>
              </w:rPr>
            </w:pPr>
          </w:p>
        </w:tc>
        <w:tc>
          <w:tcPr>
            <w:tcW w:w="3402" w:type="dxa"/>
            <w:tcBorders>
              <w:top w:val="single" w:color="auto" w:sz="4" w:space="0"/>
              <w:left w:val="nil"/>
              <w:bottom w:val="single" w:color="auto" w:sz="4" w:space="0"/>
              <w:right w:val="single" w:color="auto" w:sz="4" w:space="0"/>
            </w:tcBorders>
            <w:vAlign w:val="center"/>
          </w:tcPr>
          <w:p>
            <w:pPr>
              <w:spacing w:line="360" w:lineRule="auto"/>
              <w:ind w:firstLine="200"/>
              <w:jc w:val="center"/>
              <w:rPr>
                <w:rFonts w:ascii="宋体" w:hAnsi="宋体"/>
                <w:color w:val="000000"/>
                <w:sz w:val="24"/>
              </w:rPr>
            </w:pPr>
          </w:p>
        </w:tc>
        <w:tc>
          <w:tcPr>
            <w:tcW w:w="2552" w:type="dxa"/>
            <w:tcBorders>
              <w:top w:val="single" w:color="auto" w:sz="4" w:space="0"/>
              <w:left w:val="nil"/>
              <w:bottom w:val="single" w:color="auto" w:sz="4" w:space="0"/>
              <w:right w:val="single" w:color="auto" w:sz="4" w:space="0"/>
            </w:tcBorders>
            <w:vAlign w:val="center"/>
          </w:tcPr>
          <w:p>
            <w:pPr>
              <w:spacing w:line="360" w:lineRule="auto"/>
              <w:ind w:firstLine="20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jc w:val="center"/>
              <w:rPr>
                <w:rFonts w:ascii="宋体" w:hAnsi="宋体"/>
                <w:color w:val="000000"/>
                <w:sz w:val="24"/>
              </w:rPr>
            </w:pPr>
          </w:p>
        </w:tc>
        <w:tc>
          <w:tcPr>
            <w:tcW w:w="3402" w:type="dxa"/>
            <w:tcBorders>
              <w:top w:val="single" w:color="auto" w:sz="4" w:space="0"/>
              <w:left w:val="nil"/>
              <w:bottom w:val="single" w:color="auto" w:sz="4" w:space="0"/>
              <w:right w:val="single" w:color="auto" w:sz="4" w:space="0"/>
            </w:tcBorders>
            <w:vAlign w:val="center"/>
          </w:tcPr>
          <w:p>
            <w:pPr>
              <w:spacing w:line="360" w:lineRule="auto"/>
              <w:ind w:firstLine="200"/>
              <w:jc w:val="center"/>
              <w:rPr>
                <w:rFonts w:ascii="宋体" w:hAnsi="宋体"/>
                <w:color w:val="000000"/>
                <w:sz w:val="24"/>
              </w:rPr>
            </w:pPr>
          </w:p>
        </w:tc>
        <w:tc>
          <w:tcPr>
            <w:tcW w:w="2552" w:type="dxa"/>
            <w:tcBorders>
              <w:top w:val="single" w:color="auto" w:sz="4" w:space="0"/>
              <w:left w:val="nil"/>
              <w:bottom w:val="single" w:color="auto" w:sz="4" w:space="0"/>
              <w:right w:val="single" w:color="auto" w:sz="4" w:space="0"/>
            </w:tcBorders>
            <w:vAlign w:val="center"/>
          </w:tcPr>
          <w:p>
            <w:pPr>
              <w:spacing w:line="360" w:lineRule="auto"/>
              <w:ind w:firstLine="20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jc w:val="center"/>
              <w:rPr>
                <w:rFonts w:ascii="宋体" w:hAnsi="宋体"/>
                <w:color w:val="000000"/>
                <w:sz w:val="24"/>
              </w:rPr>
            </w:pPr>
          </w:p>
        </w:tc>
        <w:tc>
          <w:tcPr>
            <w:tcW w:w="3402" w:type="dxa"/>
            <w:tcBorders>
              <w:top w:val="single" w:color="auto" w:sz="4" w:space="0"/>
              <w:left w:val="nil"/>
              <w:bottom w:val="single" w:color="auto" w:sz="4" w:space="0"/>
              <w:right w:val="single" w:color="auto" w:sz="4" w:space="0"/>
            </w:tcBorders>
            <w:vAlign w:val="center"/>
          </w:tcPr>
          <w:p>
            <w:pPr>
              <w:spacing w:line="360" w:lineRule="auto"/>
              <w:ind w:firstLine="200"/>
              <w:jc w:val="center"/>
              <w:rPr>
                <w:rFonts w:ascii="宋体" w:hAnsi="宋体"/>
                <w:color w:val="000000"/>
                <w:sz w:val="24"/>
              </w:rPr>
            </w:pPr>
          </w:p>
        </w:tc>
        <w:tc>
          <w:tcPr>
            <w:tcW w:w="2552" w:type="dxa"/>
            <w:tcBorders>
              <w:top w:val="single" w:color="auto" w:sz="4" w:space="0"/>
              <w:left w:val="nil"/>
              <w:bottom w:val="single" w:color="auto" w:sz="4" w:space="0"/>
              <w:right w:val="single" w:color="auto" w:sz="4" w:space="0"/>
            </w:tcBorders>
            <w:vAlign w:val="center"/>
          </w:tcPr>
          <w:p>
            <w:pPr>
              <w:spacing w:line="360" w:lineRule="auto"/>
              <w:ind w:firstLine="20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200"/>
              <w:jc w:val="center"/>
              <w:rPr>
                <w:rFonts w:ascii="宋体" w:hAnsi="宋体"/>
                <w:color w:val="000000"/>
                <w:sz w:val="24"/>
              </w:rPr>
            </w:pPr>
            <w:r>
              <w:rPr>
                <w:rFonts w:hint="eastAsia" w:ascii="宋体" w:hAnsi="宋体"/>
                <w:color w:val="000000"/>
                <w:sz w:val="24"/>
              </w:rPr>
              <w:t>总价</w:t>
            </w:r>
          </w:p>
        </w:tc>
        <w:tc>
          <w:tcPr>
            <w:tcW w:w="2552" w:type="dxa"/>
            <w:tcBorders>
              <w:top w:val="single" w:color="auto" w:sz="4" w:space="0"/>
              <w:left w:val="nil"/>
              <w:bottom w:val="single" w:color="auto" w:sz="4" w:space="0"/>
              <w:right w:val="single" w:color="auto" w:sz="4" w:space="0"/>
            </w:tcBorders>
            <w:vAlign w:val="center"/>
          </w:tcPr>
          <w:p>
            <w:pPr>
              <w:spacing w:line="360" w:lineRule="auto"/>
              <w:ind w:firstLine="200"/>
              <w:jc w:val="center"/>
              <w:rPr>
                <w:rFonts w:ascii="宋体" w:hAnsi="宋体"/>
                <w:color w:val="000000"/>
                <w:sz w:val="24"/>
              </w:rPr>
            </w:pPr>
          </w:p>
        </w:tc>
      </w:tr>
    </w:tbl>
    <w:p>
      <w:pPr>
        <w:spacing w:line="360" w:lineRule="auto"/>
        <w:ind w:firstLine="482" w:firstLineChars="200"/>
        <w:rPr>
          <w:rFonts w:ascii="宋体" w:hAnsi="宋体"/>
          <w:b/>
          <w:bCs/>
          <w:sz w:val="24"/>
        </w:rPr>
      </w:pPr>
      <w:bookmarkStart w:id="53" w:name="_Toc60748168"/>
      <w:r>
        <w:rPr>
          <w:rFonts w:hint="eastAsia" w:ascii="宋体" w:hAnsi="宋体"/>
          <w:b/>
          <w:bCs/>
          <w:sz w:val="24"/>
        </w:rPr>
        <w:t>四、 付款方式和发票开具方式</w:t>
      </w:r>
      <w:bookmarkEnd w:id="53"/>
    </w:p>
    <w:p>
      <w:pPr>
        <w:spacing w:line="360" w:lineRule="auto"/>
        <w:ind w:firstLine="480" w:firstLineChars="200"/>
        <w:rPr>
          <w:rFonts w:ascii="宋体" w:hAnsi="宋体"/>
          <w:sz w:val="24"/>
        </w:rPr>
      </w:pPr>
      <w:r>
        <w:rPr>
          <w:rFonts w:hint="eastAsia" w:ascii="宋体" w:hAnsi="宋体"/>
          <w:sz w:val="24"/>
        </w:rPr>
        <w:t>1.付款方式：</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2.发票开具方式：</w:t>
      </w:r>
      <w:r>
        <w:rPr>
          <w:rFonts w:hint="eastAsia" w:ascii="宋体" w:hAnsi="宋体"/>
          <w:sz w:val="24"/>
          <w:u w:val="single"/>
        </w:rPr>
        <w:t xml:space="preserve">                                            </w:t>
      </w:r>
      <w:r>
        <w:rPr>
          <w:rFonts w:hint="eastAsia" w:ascii="宋体" w:hAnsi="宋体"/>
          <w:sz w:val="24"/>
        </w:rPr>
        <w:t>。</w:t>
      </w:r>
    </w:p>
    <w:p>
      <w:pPr>
        <w:spacing w:line="360" w:lineRule="auto"/>
        <w:ind w:firstLine="482" w:firstLineChars="200"/>
        <w:rPr>
          <w:rFonts w:ascii="宋体" w:hAnsi="宋体"/>
          <w:b/>
          <w:bCs/>
          <w:sz w:val="24"/>
        </w:rPr>
      </w:pPr>
      <w:bookmarkStart w:id="54" w:name="_Toc60748169"/>
      <w:r>
        <w:rPr>
          <w:rFonts w:hint="eastAsia" w:ascii="宋体" w:hAnsi="宋体"/>
          <w:b/>
          <w:bCs/>
          <w:sz w:val="24"/>
        </w:rPr>
        <w:t>五、履行期限、地点和方式</w:t>
      </w:r>
      <w:bookmarkEnd w:id="54"/>
    </w:p>
    <w:p>
      <w:pPr>
        <w:spacing w:line="360" w:lineRule="auto"/>
        <w:ind w:firstLine="480" w:firstLineChars="200"/>
        <w:rPr>
          <w:rFonts w:ascii="宋体" w:hAnsi="宋体"/>
          <w:sz w:val="24"/>
          <w:u w:val="single"/>
        </w:rPr>
      </w:pPr>
      <w:r>
        <w:rPr>
          <w:rFonts w:hint="eastAsia" w:ascii="宋体" w:hAnsi="宋体"/>
          <w:sz w:val="24"/>
        </w:rPr>
        <w:t>1.履行期限：</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2.履行地点：</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3.履行方式：</w:t>
      </w:r>
      <w:r>
        <w:rPr>
          <w:rFonts w:hint="eastAsia" w:ascii="宋体" w:hAnsi="宋体"/>
          <w:sz w:val="24"/>
          <w:u w:val="single"/>
        </w:rPr>
        <w:t xml:space="preserve">                                                </w:t>
      </w:r>
      <w:r>
        <w:rPr>
          <w:rFonts w:hint="eastAsia" w:ascii="宋体" w:hAnsi="宋体"/>
          <w:sz w:val="24"/>
        </w:rPr>
        <w:t>。</w:t>
      </w:r>
    </w:p>
    <w:p>
      <w:pPr>
        <w:spacing w:line="360" w:lineRule="auto"/>
        <w:ind w:firstLine="482" w:firstLineChars="200"/>
        <w:rPr>
          <w:rFonts w:ascii="宋体" w:hAnsi="宋体"/>
          <w:b/>
          <w:bCs/>
          <w:sz w:val="24"/>
        </w:rPr>
      </w:pPr>
      <w:bookmarkStart w:id="55" w:name="_Toc60748170"/>
      <w:r>
        <w:rPr>
          <w:rFonts w:hint="eastAsia" w:ascii="宋体" w:hAnsi="宋体"/>
          <w:b/>
          <w:bCs/>
          <w:sz w:val="24"/>
          <w:lang w:val="en-US" w:eastAsia="zh-CN"/>
        </w:rPr>
        <w:t>六</w:t>
      </w:r>
      <w:r>
        <w:rPr>
          <w:rFonts w:hint="eastAsia" w:ascii="宋体" w:hAnsi="宋体"/>
          <w:b/>
          <w:bCs/>
          <w:sz w:val="24"/>
        </w:rPr>
        <w:t>、保密要求</w:t>
      </w:r>
    </w:p>
    <w:p>
      <w:pPr>
        <w:snapToGrid w:val="0"/>
        <w:spacing w:line="360" w:lineRule="auto"/>
        <w:ind w:firstLine="480" w:firstLineChars="200"/>
        <w:rPr>
          <w:rFonts w:ascii="宋体" w:hAnsi="宋体"/>
          <w:sz w:val="24"/>
        </w:rPr>
      </w:pPr>
      <w:r>
        <w:rPr>
          <w:rFonts w:hint="eastAsia" w:ascii="宋体" w:hAnsi="宋体"/>
          <w:sz w:val="24"/>
        </w:rPr>
        <w:t xml:space="preserve">1. </w:t>
      </w:r>
      <w:r>
        <w:rPr>
          <w:rFonts w:ascii="宋体" w:hAnsi="宋体"/>
          <w:sz w:val="24"/>
        </w:rPr>
        <w:t>由甲方收集的、整理的、复制的、研究的和准备的与本合同项下工作有关的所有资料在提供给乙方时，均被视为保密的，不得泄漏给除甲方或其指定的代表之外的任何人，不管本合同因何种原因终止，本条款一直约束乙方。</w:t>
      </w:r>
    </w:p>
    <w:p>
      <w:pPr>
        <w:snapToGrid w:val="0"/>
        <w:spacing w:line="360" w:lineRule="auto"/>
        <w:ind w:firstLine="480" w:firstLineChars="200"/>
        <w:rPr>
          <w:rFonts w:ascii="宋体" w:hAnsi="宋体"/>
          <w:sz w:val="24"/>
        </w:rPr>
      </w:pPr>
      <w:r>
        <w:rPr>
          <w:rFonts w:hint="eastAsia" w:ascii="宋体" w:hAnsi="宋体"/>
          <w:sz w:val="24"/>
        </w:rPr>
        <w:t xml:space="preserve">2. </w:t>
      </w:r>
      <w:r>
        <w:rPr>
          <w:rFonts w:ascii="宋体" w:hAnsi="宋体"/>
          <w:sz w:val="24"/>
        </w:rPr>
        <w:t>乙方在履行合同过程中所获得或接触到的任何</w:t>
      </w:r>
      <w:r>
        <w:rPr>
          <w:rFonts w:hint="eastAsia" w:ascii="宋体" w:hAnsi="宋体"/>
          <w:sz w:val="24"/>
        </w:rPr>
        <w:t>内部数据资料，未经甲方同意，不得向第三方透露。</w:t>
      </w:r>
    </w:p>
    <w:p>
      <w:pPr>
        <w:snapToGrid w:val="0"/>
        <w:spacing w:line="360" w:lineRule="auto"/>
        <w:ind w:firstLine="480" w:firstLineChars="200"/>
        <w:rPr>
          <w:rFonts w:ascii="宋体" w:hAnsi="宋体"/>
          <w:sz w:val="24"/>
        </w:rPr>
      </w:pPr>
      <w:r>
        <w:rPr>
          <w:rFonts w:hint="eastAsia" w:ascii="宋体" w:hAnsi="宋体"/>
          <w:sz w:val="24"/>
        </w:rPr>
        <w:t xml:space="preserve">3. </w:t>
      </w:r>
      <w:r>
        <w:rPr>
          <w:rFonts w:ascii="宋体" w:hAnsi="宋体"/>
          <w:sz w:val="24"/>
        </w:rPr>
        <w:t>乙方</w:t>
      </w:r>
      <w:r>
        <w:rPr>
          <w:rFonts w:hint="eastAsia" w:ascii="宋体" w:hAnsi="宋体"/>
          <w:sz w:val="24"/>
        </w:rPr>
        <w:t>实施项目的一切程序都应符合国家安全、保密的有关规定和标准。</w:t>
      </w:r>
    </w:p>
    <w:p>
      <w:pPr>
        <w:spacing w:line="360" w:lineRule="auto"/>
        <w:ind w:firstLine="482" w:firstLineChars="200"/>
        <w:rPr>
          <w:rFonts w:ascii="宋体" w:hAnsi="宋体"/>
          <w:b/>
          <w:bCs/>
          <w:sz w:val="24"/>
        </w:rPr>
      </w:pPr>
      <w:r>
        <w:rPr>
          <w:rFonts w:hint="eastAsia" w:ascii="宋体" w:hAnsi="宋体"/>
          <w:b/>
          <w:bCs/>
          <w:sz w:val="24"/>
          <w:lang w:val="en-US" w:eastAsia="zh-CN"/>
        </w:rPr>
        <w:t>七</w:t>
      </w:r>
      <w:r>
        <w:rPr>
          <w:rFonts w:hint="eastAsia" w:ascii="宋体" w:hAnsi="宋体"/>
          <w:b/>
          <w:bCs/>
          <w:sz w:val="24"/>
        </w:rPr>
        <w:t>、甲方权利与义务</w:t>
      </w:r>
    </w:p>
    <w:p>
      <w:pPr>
        <w:snapToGrid w:val="0"/>
        <w:spacing w:line="360" w:lineRule="auto"/>
        <w:ind w:firstLine="480" w:firstLineChars="200"/>
        <w:rPr>
          <w:rFonts w:ascii="宋体" w:hAnsi="宋体" w:cs="仿宋"/>
          <w:sz w:val="24"/>
        </w:rPr>
      </w:pPr>
      <w:r>
        <w:rPr>
          <w:rFonts w:hint="eastAsia" w:ascii="宋体" w:hAnsi="宋体" w:cs="仿宋"/>
          <w:sz w:val="24"/>
        </w:rPr>
        <w:t xml:space="preserve">（一）甲方权利： </w:t>
      </w:r>
    </w:p>
    <w:p>
      <w:pPr>
        <w:snapToGrid w:val="0"/>
        <w:spacing w:line="360" w:lineRule="auto"/>
        <w:ind w:firstLine="480" w:firstLineChars="200"/>
        <w:rPr>
          <w:rFonts w:ascii="宋体" w:hAnsi="宋体" w:cs="仿宋"/>
          <w:sz w:val="24"/>
        </w:rPr>
      </w:pPr>
      <w:r>
        <w:rPr>
          <w:rFonts w:hint="eastAsia" w:ascii="宋体" w:hAnsi="宋体" w:cs="仿宋"/>
          <w:sz w:val="24"/>
        </w:rPr>
        <w:t>1. 有权向乙方询问工作进展情况及相关的内容。</w:t>
      </w:r>
    </w:p>
    <w:p>
      <w:pPr>
        <w:snapToGrid w:val="0"/>
        <w:spacing w:line="360" w:lineRule="auto"/>
        <w:ind w:firstLine="480" w:firstLineChars="200"/>
        <w:rPr>
          <w:rFonts w:ascii="宋体" w:hAnsi="宋体" w:cs="仿宋"/>
          <w:sz w:val="24"/>
        </w:rPr>
      </w:pPr>
      <w:r>
        <w:rPr>
          <w:rFonts w:hint="eastAsia" w:ascii="宋体" w:hAnsi="宋体" w:cs="仿宋"/>
          <w:sz w:val="24"/>
        </w:rPr>
        <w:t>2. 有权阐述对具体问题的意见和建议。</w:t>
      </w:r>
    </w:p>
    <w:p>
      <w:pPr>
        <w:snapToGrid w:val="0"/>
        <w:spacing w:line="360" w:lineRule="auto"/>
        <w:ind w:firstLine="480" w:firstLineChars="200"/>
        <w:rPr>
          <w:rFonts w:ascii="宋体" w:hAnsi="宋体" w:cs="仿宋"/>
          <w:sz w:val="24"/>
        </w:rPr>
      </w:pPr>
      <w:r>
        <w:rPr>
          <w:rFonts w:hint="eastAsia" w:ascii="宋体" w:hAnsi="宋体" w:cs="仿宋"/>
          <w:sz w:val="24"/>
        </w:rPr>
        <w:t>3. 当甲方认定乙方人员不按合同履行其职责，或与第三人串通给甲方造成经济损失的，甲方有权要求更换人员，直至终止合同并要求乙方承担相应的赔偿责任。</w:t>
      </w:r>
    </w:p>
    <w:p>
      <w:pPr>
        <w:snapToGrid w:val="0"/>
        <w:spacing w:line="360" w:lineRule="auto"/>
        <w:ind w:firstLine="480" w:firstLineChars="200"/>
        <w:rPr>
          <w:rFonts w:ascii="宋体" w:hAnsi="宋体" w:cs="仿宋"/>
          <w:sz w:val="24"/>
        </w:rPr>
      </w:pPr>
      <w:r>
        <w:rPr>
          <w:rFonts w:hint="eastAsia" w:ascii="宋体" w:hAnsi="宋体" w:cs="仿宋"/>
          <w:sz w:val="24"/>
        </w:rPr>
        <w:t xml:space="preserve">4. </w:t>
      </w:r>
      <w:r>
        <w:rPr>
          <w:rFonts w:hint="eastAsia" w:ascii="宋体" w:hAnsi="宋体" w:cs="仿宋"/>
          <w:sz w:val="24"/>
          <w:u w:val="single"/>
        </w:rPr>
        <w:t xml:space="preserve">                                              </w:t>
      </w:r>
    </w:p>
    <w:p>
      <w:pPr>
        <w:snapToGrid w:val="0"/>
        <w:spacing w:line="360" w:lineRule="auto"/>
        <w:ind w:firstLine="480" w:firstLineChars="200"/>
        <w:rPr>
          <w:rFonts w:ascii="宋体" w:hAnsi="宋体" w:cs="仿宋"/>
          <w:sz w:val="24"/>
        </w:rPr>
      </w:pPr>
      <w:r>
        <w:rPr>
          <w:rFonts w:hint="eastAsia" w:ascii="宋体" w:hAnsi="宋体" w:cs="仿宋"/>
          <w:sz w:val="24"/>
        </w:rPr>
        <w:t xml:space="preserve">（二）甲方义务： </w:t>
      </w:r>
    </w:p>
    <w:p>
      <w:pPr>
        <w:snapToGrid w:val="0"/>
        <w:spacing w:line="360" w:lineRule="auto"/>
        <w:ind w:firstLine="480" w:firstLineChars="200"/>
        <w:rPr>
          <w:rFonts w:ascii="宋体" w:hAnsi="宋体" w:cs="仿宋"/>
          <w:sz w:val="24"/>
        </w:rPr>
      </w:pPr>
      <w:r>
        <w:rPr>
          <w:rFonts w:hint="eastAsia" w:ascii="宋体" w:hAnsi="宋体" w:cs="仿宋"/>
          <w:sz w:val="24"/>
        </w:rPr>
        <w:t>1. 负责与本项目有关的第三方的协调，提供开展服务工作的外部条件。</w:t>
      </w:r>
    </w:p>
    <w:p>
      <w:pPr>
        <w:snapToGrid w:val="0"/>
        <w:spacing w:line="360" w:lineRule="auto"/>
        <w:ind w:firstLine="480" w:firstLineChars="200"/>
        <w:rPr>
          <w:rFonts w:ascii="宋体" w:hAnsi="宋体" w:cs="仿宋"/>
          <w:sz w:val="24"/>
        </w:rPr>
      </w:pPr>
      <w:r>
        <w:rPr>
          <w:rFonts w:hint="eastAsia" w:ascii="宋体" w:hAnsi="宋体" w:cs="仿宋"/>
          <w:sz w:val="24"/>
        </w:rPr>
        <w:t>2. 向乙方提供与本项目有关的资料。</w:t>
      </w:r>
    </w:p>
    <w:p>
      <w:pPr>
        <w:snapToGrid w:val="0"/>
        <w:spacing w:line="360" w:lineRule="auto"/>
        <w:ind w:firstLine="480" w:firstLineChars="200"/>
        <w:rPr>
          <w:rFonts w:ascii="宋体" w:hAnsi="宋体" w:cs="仿宋"/>
          <w:sz w:val="24"/>
        </w:rPr>
      </w:pPr>
      <w:r>
        <w:rPr>
          <w:rFonts w:hint="eastAsia" w:ascii="宋体" w:hAnsi="宋体" w:cs="仿宋"/>
          <w:sz w:val="24"/>
        </w:rPr>
        <w:t xml:space="preserve">3. </w:t>
      </w:r>
      <w:r>
        <w:rPr>
          <w:rFonts w:hint="eastAsia" w:ascii="宋体" w:hAnsi="宋体" w:cs="仿宋"/>
          <w:sz w:val="24"/>
          <w:u w:val="single"/>
        </w:rPr>
        <w:t xml:space="preserve">                                              </w:t>
      </w:r>
    </w:p>
    <w:p>
      <w:pPr>
        <w:spacing w:line="360" w:lineRule="auto"/>
        <w:ind w:firstLine="482" w:firstLineChars="200"/>
        <w:rPr>
          <w:rFonts w:ascii="宋体" w:hAnsi="宋体"/>
          <w:b/>
          <w:bCs/>
          <w:sz w:val="24"/>
        </w:rPr>
      </w:pPr>
      <w:r>
        <w:rPr>
          <w:rFonts w:hint="eastAsia" w:ascii="宋体" w:hAnsi="宋体"/>
          <w:b/>
          <w:bCs/>
          <w:sz w:val="24"/>
          <w:lang w:val="en-US" w:eastAsia="zh-CN"/>
        </w:rPr>
        <w:t>八</w:t>
      </w:r>
      <w:r>
        <w:rPr>
          <w:rFonts w:hint="eastAsia" w:ascii="宋体" w:hAnsi="宋体"/>
          <w:b/>
          <w:bCs/>
          <w:sz w:val="24"/>
        </w:rPr>
        <w:t>、乙方权利与义务</w:t>
      </w:r>
    </w:p>
    <w:p>
      <w:pPr>
        <w:snapToGrid w:val="0"/>
        <w:spacing w:line="360" w:lineRule="auto"/>
        <w:ind w:firstLine="480" w:firstLineChars="200"/>
        <w:rPr>
          <w:rFonts w:ascii="宋体" w:hAnsi="宋体" w:cs="仿宋"/>
          <w:sz w:val="24"/>
        </w:rPr>
      </w:pPr>
      <w:r>
        <w:rPr>
          <w:rFonts w:hint="eastAsia" w:ascii="宋体" w:hAnsi="宋体" w:cs="仿宋"/>
          <w:sz w:val="24"/>
        </w:rPr>
        <w:t>一、乙方权利：</w:t>
      </w:r>
    </w:p>
    <w:p>
      <w:pPr>
        <w:snapToGrid w:val="0"/>
        <w:spacing w:line="360" w:lineRule="auto"/>
        <w:ind w:firstLine="480" w:firstLineChars="200"/>
        <w:rPr>
          <w:rFonts w:ascii="宋体" w:hAnsi="宋体" w:cs="仿宋"/>
          <w:sz w:val="24"/>
        </w:rPr>
      </w:pPr>
      <w:r>
        <w:rPr>
          <w:rFonts w:hint="eastAsia" w:ascii="宋体" w:hAnsi="宋体" w:cs="仿宋"/>
          <w:sz w:val="24"/>
        </w:rPr>
        <w:t>1. 乙方在本项目服务过程中，如甲方提供的资料不明确时可向甲方提出书面报告。</w:t>
      </w:r>
    </w:p>
    <w:p>
      <w:pPr>
        <w:snapToGrid w:val="0"/>
        <w:spacing w:line="360" w:lineRule="auto"/>
        <w:ind w:firstLine="480" w:firstLineChars="200"/>
        <w:rPr>
          <w:rFonts w:ascii="宋体" w:hAnsi="宋体" w:cs="仿宋"/>
          <w:sz w:val="24"/>
        </w:rPr>
      </w:pPr>
      <w:r>
        <w:rPr>
          <w:rFonts w:hint="eastAsia" w:ascii="宋体" w:hAnsi="宋体" w:cs="仿宋"/>
          <w:sz w:val="24"/>
        </w:rPr>
        <w:t xml:space="preserve">2. </w:t>
      </w:r>
      <w:r>
        <w:rPr>
          <w:rFonts w:hint="eastAsia" w:ascii="宋体" w:hAnsi="宋体" w:cs="仿宋"/>
          <w:sz w:val="24"/>
          <w:u w:val="single"/>
        </w:rPr>
        <w:t xml:space="preserve">                                              </w:t>
      </w:r>
    </w:p>
    <w:p>
      <w:pPr>
        <w:snapToGrid w:val="0"/>
        <w:spacing w:line="360" w:lineRule="auto"/>
        <w:ind w:firstLine="480" w:firstLineChars="200"/>
        <w:rPr>
          <w:rFonts w:ascii="宋体" w:hAnsi="宋体" w:cs="仿宋"/>
          <w:sz w:val="24"/>
        </w:rPr>
      </w:pPr>
      <w:r>
        <w:rPr>
          <w:rFonts w:hint="eastAsia" w:ascii="宋体" w:hAnsi="宋体" w:cs="仿宋"/>
          <w:sz w:val="24"/>
        </w:rPr>
        <w:t>二、乙方义务：</w:t>
      </w:r>
    </w:p>
    <w:p>
      <w:pPr>
        <w:snapToGrid w:val="0"/>
        <w:spacing w:line="360" w:lineRule="auto"/>
        <w:ind w:firstLine="480" w:firstLineChars="200"/>
        <w:rPr>
          <w:rFonts w:ascii="宋体" w:hAnsi="宋体" w:cs="仿宋"/>
          <w:sz w:val="24"/>
        </w:rPr>
      </w:pPr>
      <w:r>
        <w:rPr>
          <w:rFonts w:hint="eastAsia" w:ascii="宋体" w:hAnsi="宋体" w:cs="仿宋"/>
          <w:sz w:val="24"/>
        </w:rPr>
        <w:t>1. 应按照</w:t>
      </w:r>
      <w:r>
        <w:rPr>
          <w:rFonts w:hint="eastAsia" w:ascii="宋体" w:hAnsi="宋体" w:cs="仿宋"/>
          <w:sz w:val="24"/>
        </w:rPr>
        <w:softHyphen/>
      </w:r>
      <w:r>
        <w:rPr>
          <w:rFonts w:hint="eastAsia" w:ascii="宋体" w:hAnsi="宋体" w:cs="仿宋"/>
          <w:sz w:val="24"/>
        </w:rPr>
        <w:t>本项目招标文件、乙方投标文件要求按期完成本项目工作。</w:t>
      </w:r>
    </w:p>
    <w:p>
      <w:pPr>
        <w:snapToGrid w:val="0"/>
        <w:spacing w:line="360" w:lineRule="auto"/>
        <w:ind w:firstLine="480" w:firstLineChars="200"/>
        <w:rPr>
          <w:rFonts w:ascii="宋体" w:hAnsi="宋体" w:cs="仿宋"/>
          <w:sz w:val="24"/>
        </w:rPr>
      </w:pPr>
      <w:r>
        <w:rPr>
          <w:rFonts w:hint="eastAsia" w:ascii="宋体" w:hAnsi="宋体" w:cs="仿宋"/>
          <w:sz w:val="24"/>
        </w:rPr>
        <w:t>2. 负责组织项目的实施，保证工作质量满足相关验收相关标准。</w:t>
      </w:r>
    </w:p>
    <w:p>
      <w:pPr>
        <w:snapToGrid w:val="0"/>
        <w:spacing w:line="360" w:lineRule="auto"/>
        <w:ind w:firstLine="480" w:firstLineChars="200"/>
        <w:rPr>
          <w:rFonts w:ascii="宋体" w:hAnsi="宋体" w:cs="仿宋"/>
          <w:sz w:val="24"/>
        </w:rPr>
      </w:pPr>
      <w:r>
        <w:rPr>
          <w:rFonts w:hint="eastAsia" w:ascii="宋体" w:hAnsi="宋体" w:cs="仿宋"/>
          <w:sz w:val="24"/>
        </w:rPr>
        <w:t>3. 乙方不得擅自部分或全部转让其应履行的合同义务。</w:t>
      </w:r>
    </w:p>
    <w:p>
      <w:pPr>
        <w:snapToGrid w:val="0"/>
        <w:spacing w:line="360" w:lineRule="auto"/>
        <w:ind w:firstLine="480" w:firstLineChars="200"/>
        <w:rPr>
          <w:rFonts w:ascii="宋体" w:hAnsi="宋体" w:cs="仿宋"/>
          <w:sz w:val="24"/>
        </w:rPr>
      </w:pPr>
      <w:r>
        <w:rPr>
          <w:rFonts w:hint="eastAsia" w:ascii="宋体" w:hAnsi="宋体" w:cs="仿宋"/>
          <w:sz w:val="24"/>
        </w:rPr>
        <w:t xml:space="preserve">4. </w:t>
      </w:r>
      <w:r>
        <w:rPr>
          <w:rFonts w:hint="eastAsia" w:ascii="宋体" w:hAnsi="宋体" w:cs="仿宋"/>
          <w:sz w:val="24"/>
          <w:u w:val="single"/>
        </w:rPr>
        <w:t xml:space="preserve">                                              </w:t>
      </w:r>
    </w:p>
    <w:p>
      <w:pPr>
        <w:spacing w:line="360" w:lineRule="auto"/>
        <w:ind w:firstLine="482" w:firstLineChars="200"/>
        <w:rPr>
          <w:rFonts w:ascii="宋体" w:hAnsi="宋体"/>
          <w:b/>
          <w:bCs/>
          <w:sz w:val="24"/>
        </w:rPr>
      </w:pPr>
      <w:r>
        <w:rPr>
          <w:rFonts w:hint="eastAsia" w:ascii="宋体" w:hAnsi="宋体"/>
          <w:b/>
          <w:bCs/>
          <w:sz w:val="24"/>
          <w:lang w:val="en-US" w:eastAsia="zh-CN"/>
        </w:rPr>
        <w:t>九</w:t>
      </w:r>
      <w:r>
        <w:rPr>
          <w:rFonts w:hint="eastAsia" w:ascii="宋体" w:hAnsi="宋体"/>
          <w:b/>
          <w:bCs/>
          <w:sz w:val="24"/>
        </w:rPr>
        <w:t>、 违约责任</w:t>
      </w:r>
      <w:bookmarkEnd w:id="55"/>
    </w:p>
    <w:p>
      <w:pPr>
        <w:spacing w:line="360" w:lineRule="auto"/>
        <w:ind w:firstLine="480" w:firstLineChars="200"/>
        <w:rPr>
          <w:rFonts w:ascii="宋体" w:hAnsi="宋体"/>
          <w:sz w:val="24"/>
        </w:rPr>
      </w:pPr>
      <w:r>
        <w:rPr>
          <w:rFonts w:hint="eastAsia" w:ascii="宋体" w:hAnsi="宋体"/>
          <w:sz w:val="24"/>
        </w:rPr>
        <w:t>1.除不可抗力外，如果乙方没有按照本合同约定的期限、地点和方式履行，那么甲方可要求乙方支付违约金，违约金按每迟延履行一日的应提供而未提供服务价格的</w:t>
      </w:r>
      <w:r>
        <w:rPr>
          <w:rFonts w:hint="eastAsia" w:ascii="宋体" w:hAnsi="宋体"/>
          <w:sz w:val="24"/>
          <w:u w:val="single"/>
        </w:rPr>
        <w:t xml:space="preserve">    </w:t>
      </w:r>
      <w:r>
        <w:rPr>
          <w:rFonts w:hint="eastAsia" w:ascii="宋体" w:hAnsi="宋体"/>
          <w:sz w:val="24"/>
        </w:rPr>
        <w:t>%计算，最高限额为本合同总价的</w:t>
      </w:r>
      <w:r>
        <w:rPr>
          <w:rFonts w:hint="eastAsia" w:ascii="宋体" w:hAnsi="宋体"/>
          <w:sz w:val="24"/>
          <w:u w:val="single"/>
        </w:rPr>
        <w:t xml:space="preserve">     </w:t>
      </w:r>
      <w:r>
        <w:rPr>
          <w:rFonts w:hint="eastAsia" w:ascii="宋体" w:hAnsi="宋体"/>
          <w:sz w:val="24"/>
        </w:rPr>
        <w:t>%；迟延履行的违约金计算数额达到前述最高限额之日起，甲方有权在要求乙方支付违约金的同时，书面通知乙方解除本合同；</w:t>
      </w:r>
    </w:p>
    <w:p>
      <w:pPr>
        <w:spacing w:line="360" w:lineRule="auto"/>
        <w:ind w:firstLine="480" w:firstLineChars="200"/>
        <w:rPr>
          <w:rFonts w:ascii="宋体" w:hAnsi="宋体"/>
          <w:sz w:val="24"/>
        </w:rPr>
      </w:pPr>
      <w:r>
        <w:rPr>
          <w:rFonts w:hint="eastAsia" w:ascii="宋体" w:hAnsi="宋体"/>
          <w:sz w:val="24"/>
        </w:rPr>
        <w:t>2.除不可抗力外，如果甲方没有按照本合同约定的付款方式付款，那么乙方可要求甲方支付违约金，违约金按每迟延付款一日的应付而未付款的</w:t>
      </w:r>
      <w:r>
        <w:rPr>
          <w:rFonts w:hint="eastAsia" w:ascii="宋体" w:hAnsi="宋体"/>
          <w:sz w:val="24"/>
          <w:u w:val="single"/>
        </w:rPr>
        <w:t xml:space="preserve">    </w:t>
      </w:r>
      <w:r>
        <w:rPr>
          <w:rFonts w:hint="eastAsia" w:ascii="宋体" w:hAnsi="宋体"/>
          <w:sz w:val="24"/>
        </w:rPr>
        <w:t>%计算，最高限额为本合同总价的</w:t>
      </w:r>
      <w:r>
        <w:rPr>
          <w:rFonts w:hint="eastAsia" w:ascii="宋体" w:hAnsi="宋体"/>
          <w:sz w:val="24"/>
          <w:u w:val="single"/>
        </w:rPr>
        <w:t xml:space="preserve">     </w:t>
      </w:r>
      <w:r>
        <w:rPr>
          <w:rFonts w:hint="eastAsia" w:ascii="宋体" w:hAnsi="宋体"/>
          <w:sz w:val="24"/>
        </w:rPr>
        <w:t>%；迟延付款的违约金计算数额达到前述最高限额之日起，乙方有权在要求甲方支付违约金的同时，书面通知甲方解除本合同；</w:t>
      </w:r>
    </w:p>
    <w:p>
      <w:pPr>
        <w:spacing w:line="360" w:lineRule="auto"/>
        <w:ind w:firstLine="480" w:firstLineChars="200"/>
        <w:rPr>
          <w:rFonts w:ascii="宋体" w:hAnsi="宋体"/>
          <w:sz w:val="24"/>
        </w:rPr>
      </w:pPr>
      <w:r>
        <w:rPr>
          <w:rFonts w:hint="eastAsia" w:ascii="宋体" w:hAnsi="宋体"/>
          <w:sz w:val="24"/>
        </w:rPr>
        <w:t>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360" w:lineRule="auto"/>
        <w:ind w:firstLine="480" w:firstLineChars="200"/>
        <w:rPr>
          <w:rFonts w:ascii="宋体" w:hAnsi="宋体"/>
          <w:sz w:val="24"/>
        </w:rPr>
      </w:pPr>
      <w:r>
        <w:rPr>
          <w:rFonts w:hint="eastAsia" w:ascii="宋体" w:hAnsi="宋体"/>
          <w:sz w:val="24"/>
        </w:rPr>
        <w:t>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宋体" w:hAnsi="宋体"/>
          <w:sz w:val="24"/>
        </w:rPr>
      </w:pPr>
      <w:r>
        <w:rPr>
          <w:rFonts w:hint="eastAsia" w:ascii="宋体" w:hAnsi="宋体"/>
          <w:sz w:val="24"/>
        </w:rPr>
        <w:t>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宋体" w:hAnsi="宋体"/>
          <w:sz w:val="24"/>
        </w:rPr>
      </w:pPr>
      <w:r>
        <w:rPr>
          <w:rFonts w:hint="eastAsia" w:ascii="宋体" w:hAnsi="宋体"/>
          <w:sz w:val="24"/>
        </w:rPr>
        <w:t>6.如果出现采购监督管理部门在处理投诉事项期间，书面通知甲方暂停采购活动的情形，或者询问或质疑事项可能影响中标结果的，导致甲方中止履行合同的情形，均不视为甲方违约。</w:t>
      </w:r>
    </w:p>
    <w:p>
      <w:pPr>
        <w:spacing w:line="360" w:lineRule="auto"/>
        <w:ind w:firstLine="482" w:firstLineChars="200"/>
        <w:rPr>
          <w:rFonts w:ascii="宋体" w:hAnsi="宋体"/>
          <w:b/>
          <w:bCs/>
          <w:sz w:val="24"/>
        </w:rPr>
      </w:pPr>
      <w:bookmarkStart w:id="56" w:name="_Toc60748171"/>
      <w:r>
        <w:rPr>
          <w:rFonts w:hint="eastAsia" w:ascii="宋体" w:hAnsi="宋体"/>
          <w:b/>
          <w:bCs/>
          <w:sz w:val="24"/>
        </w:rPr>
        <w:t>十、 合同争议的解决</w:t>
      </w:r>
      <w:bookmarkEnd w:id="56"/>
    </w:p>
    <w:p>
      <w:pPr>
        <w:spacing w:line="360" w:lineRule="auto"/>
        <w:ind w:firstLine="480" w:firstLineChars="200"/>
        <w:rPr>
          <w:rFonts w:ascii="宋体" w:hAnsi="宋体"/>
          <w:sz w:val="24"/>
        </w:rPr>
      </w:pPr>
      <w:r>
        <w:rPr>
          <w:rFonts w:hint="eastAsia" w:ascii="宋体" w:hAnsi="宋体"/>
          <w:sz w:val="24"/>
        </w:rPr>
        <w:t>本合同履行过程中发生的任何争议，双方当事人均可通过和解或者调解解决；不愿和解、调解或者和解、调解不成的，可以选择下列第</w:t>
      </w:r>
      <w:r>
        <w:rPr>
          <w:rFonts w:hint="eastAsia" w:ascii="宋体" w:hAnsi="宋体"/>
          <w:sz w:val="24"/>
          <w:u w:val="single"/>
        </w:rPr>
        <w:t xml:space="preserve">    </w:t>
      </w:r>
      <w:r>
        <w:rPr>
          <w:rFonts w:hint="eastAsia" w:ascii="宋体" w:hAnsi="宋体"/>
          <w:sz w:val="24"/>
        </w:rPr>
        <w:t>种方式解决：</w:t>
      </w:r>
    </w:p>
    <w:p>
      <w:pPr>
        <w:spacing w:line="360" w:lineRule="auto"/>
        <w:ind w:firstLine="480" w:firstLineChars="200"/>
        <w:rPr>
          <w:rFonts w:ascii="宋体" w:hAnsi="宋体"/>
          <w:sz w:val="24"/>
        </w:rPr>
      </w:pPr>
      <w:r>
        <w:rPr>
          <w:rFonts w:hint="eastAsia" w:ascii="宋体" w:hAnsi="宋体"/>
          <w:sz w:val="24"/>
        </w:rPr>
        <w:t>1.将争议提交</w:t>
      </w:r>
      <w:r>
        <w:rPr>
          <w:rFonts w:hint="eastAsia" w:ascii="宋体" w:hAnsi="宋体"/>
          <w:sz w:val="24"/>
          <w:u w:val="single"/>
        </w:rPr>
        <w:t xml:space="preserve">              </w:t>
      </w:r>
      <w:r>
        <w:rPr>
          <w:rFonts w:hint="eastAsia" w:ascii="宋体" w:hAnsi="宋体"/>
          <w:sz w:val="24"/>
        </w:rPr>
        <w:t>仲裁委员会依申请仲裁时其现行有效的仲裁规则裁决；</w:t>
      </w:r>
    </w:p>
    <w:p>
      <w:pPr>
        <w:spacing w:line="360" w:lineRule="auto"/>
        <w:ind w:firstLine="480" w:firstLineChars="200"/>
        <w:rPr>
          <w:rFonts w:ascii="宋体" w:hAnsi="宋体"/>
          <w:sz w:val="24"/>
        </w:rPr>
      </w:pPr>
      <w:r>
        <w:rPr>
          <w:rFonts w:hint="eastAsia" w:ascii="宋体" w:hAnsi="宋体"/>
          <w:sz w:val="24"/>
        </w:rPr>
        <w:t>2.向</w:t>
      </w:r>
      <w:r>
        <w:rPr>
          <w:rFonts w:hint="eastAsia" w:ascii="宋体" w:hAnsi="宋体"/>
          <w:sz w:val="24"/>
          <w:u w:val="single"/>
        </w:rPr>
        <w:t xml:space="preserve">   （被告住所地、合同履行地、合同签订地、原告住所地、标的物所在地等与争议有实际联系的地点中选出的人民法院名称）    </w:t>
      </w:r>
      <w:r>
        <w:rPr>
          <w:rFonts w:hint="eastAsia" w:ascii="宋体" w:hAnsi="宋体"/>
          <w:sz w:val="24"/>
        </w:rPr>
        <w:t>人民法院起诉。</w:t>
      </w:r>
    </w:p>
    <w:p>
      <w:pPr>
        <w:spacing w:line="360" w:lineRule="auto"/>
        <w:ind w:firstLine="482" w:firstLineChars="200"/>
        <w:rPr>
          <w:rFonts w:ascii="宋体" w:hAnsi="宋体"/>
          <w:b/>
          <w:bCs/>
          <w:sz w:val="24"/>
        </w:rPr>
      </w:pPr>
      <w:bookmarkStart w:id="57" w:name="_Toc60748172"/>
      <w:r>
        <w:rPr>
          <w:rFonts w:hint="eastAsia" w:ascii="宋体" w:hAnsi="宋体"/>
          <w:b/>
          <w:bCs/>
          <w:sz w:val="24"/>
        </w:rPr>
        <w:t>十</w:t>
      </w:r>
      <w:r>
        <w:rPr>
          <w:rFonts w:hint="eastAsia" w:ascii="宋体" w:hAnsi="宋体"/>
          <w:b/>
          <w:bCs/>
          <w:sz w:val="24"/>
          <w:lang w:val="en-US" w:eastAsia="zh-CN"/>
        </w:rPr>
        <w:t>一</w:t>
      </w:r>
      <w:r>
        <w:rPr>
          <w:rFonts w:hint="eastAsia" w:ascii="宋体" w:hAnsi="宋体"/>
          <w:b/>
          <w:bCs/>
          <w:sz w:val="24"/>
        </w:rPr>
        <w:t>、合同生效</w:t>
      </w:r>
      <w:bookmarkEnd w:id="57"/>
    </w:p>
    <w:p>
      <w:pPr>
        <w:spacing w:line="360" w:lineRule="auto"/>
        <w:ind w:firstLine="480" w:firstLineChars="200"/>
        <w:rPr>
          <w:rFonts w:ascii="宋体" w:hAnsi="宋体"/>
          <w:b/>
          <w:bCs/>
          <w:sz w:val="24"/>
        </w:rPr>
      </w:pPr>
      <w:r>
        <w:rPr>
          <w:rFonts w:hint="eastAsia" w:ascii="宋体" w:hAnsi="宋体"/>
          <w:sz w:val="24"/>
        </w:rPr>
        <w:t>本合同自双方当事人盖章或者签字时生效。</w:t>
      </w:r>
    </w:p>
    <w:p>
      <w:pPr>
        <w:autoSpaceDE w:val="0"/>
        <w:autoSpaceDN w:val="0"/>
        <w:adjustRightInd w:val="0"/>
        <w:spacing w:line="360" w:lineRule="auto"/>
        <w:rPr>
          <w:rFonts w:ascii="宋体" w:hAnsi="宋体"/>
          <w:sz w:val="24"/>
        </w:rPr>
      </w:pPr>
      <w:r>
        <w:rPr>
          <w:rFonts w:hint="eastAsia" w:ascii="宋体" w:hAnsi="宋体"/>
          <w:sz w:val="24"/>
        </w:rPr>
        <w:t xml:space="preserve"> </w:t>
      </w:r>
    </w:p>
    <w:p>
      <w:pPr>
        <w:autoSpaceDE w:val="0"/>
        <w:autoSpaceDN w:val="0"/>
        <w:adjustRightInd w:val="0"/>
        <w:spacing w:line="360" w:lineRule="auto"/>
        <w:rPr>
          <w:rFonts w:ascii="宋体" w:hAnsi="宋体"/>
          <w:sz w:val="24"/>
        </w:rPr>
      </w:pPr>
    </w:p>
    <w:p>
      <w:pPr>
        <w:widowControl/>
        <w:spacing w:line="360" w:lineRule="auto"/>
        <w:jc w:val="left"/>
        <w:rPr>
          <w:rFonts w:ascii="宋体" w:hAnsi="宋体"/>
          <w:sz w:val="24"/>
        </w:rPr>
      </w:pPr>
      <w:r>
        <w:rPr>
          <w:rFonts w:hint="eastAsia" w:ascii="宋体" w:hAnsi="宋体"/>
          <w:sz w:val="24"/>
        </w:rPr>
        <w:t>甲方（采购人）（盖章）：                          乙方（中标供应商）（盖章）：</w:t>
      </w:r>
    </w:p>
    <w:p>
      <w:pPr>
        <w:widowControl/>
        <w:spacing w:line="360" w:lineRule="auto"/>
        <w:jc w:val="left"/>
        <w:rPr>
          <w:rFonts w:ascii="宋体" w:hAnsi="宋体"/>
          <w:sz w:val="24"/>
        </w:rPr>
      </w:pPr>
      <w:r>
        <w:rPr>
          <w:rFonts w:hint="eastAsia" w:ascii="宋体" w:hAnsi="宋体"/>
          <w:sz w:val="24"/>
        </w:rPr>
        <w:t>法定代表人：                                    法定代表人：</w:t>
      </w:r>
    </w:p>
    <w:p>
      <w:pPr>
        <w:widowControl/>
        <w:spacing w:line="360" w:lineRule="auto"/>
        <w:jc w:val="left"/>
        <w:rPr>
          <w:rFonts w:ascii="宋体" w:hAnsi="宋体"/>
          <w:sz w:val="24"/>
        </w:rPr>
      </w:pPr>
      <w:r>
        <w:rPr>
          <w:rFonts w:hint="eastAsia" w:ascii="宋体" w:hAnsi="宋体"/>
          <w:sz w:val="24"/>
        </w:rPr>
        <w:t>代理人：                                        代理人：</w:t>
      </w:r>
    </w:p>
    <w:p>
      <w:pPr>
        <w:widowControl/>
        <w:spacing w:line="360" w:lineRule="auto"/>
        <w:jc w:val="left"/>
        <w:rPr>
          <w:rFonts w:ascii="宋体" w:hAnsi="宋体"/>
          <w:sz w:val="24"/>
        </w:rPr>
      </w:pPr>
      <w:r>
        <w:rPr>
          <w:rFonts w:hint="eastAsia" w:ascii="宋体" w:hAnsi="宋体"/>
          <w:sz w:val="24"/>
        </w:rPr>
        <w:t>电  话：                                        电  话：</w:t>
      </w:r>
    </w:p>
    <w:p>
      <w:pPr>
        <w:widowControl/>
        <w:spacing w:line="360" w:lineRule="auto"/>
        <w:jc w:val="left"/>
        <w:rPr>
          <w:rFonts w:ascii="宋体" w:hAnsi="宋体"/>
          <w:sz w:val="24"/>
        </w:rPr>
      </w:pPr>
      <w:r>
        <w:rPr>
          <w:rFonts w:hint="eastAsia" w:ascii="宋体" w:hAnsi="宋体"/>
          <w:sz w:val="24"/>
        </w:rPr>
        <w:t>开户银行：                                      开户银行：</w:t>
      </w:r>
    </w:p>
    <w:p>
      <w:pPr>
        <w:widowControl/>
        <w:spacing w:line="360" w:lineRule="auto"/>
        <w:jc w:val="left"/>
        <w:rPr>
          <w:rFonts w:ascii="宋体" w:hAnsi="宋体"/>
          <w:sz w:val="24"/>
        </w:rPr>
      </w:pPr>
      <w:r>
        <w:rPr>
          <w:rFonts w:hint="eastAsia" w:ascii="宋体" w:hAnsi="宋体"/>
          <w:sz w:val="24"/>
        </w:rPr>
        <w:t>账  号：                                        账  号：</w:t>
      </w:r>
    </w:p>
    <w:p>
      <w:pPr>
        <w:widowControl/>
        <w:spacing w:line="360" w:lineRule="auto"/>
        <w:jc w:val="left"/>
        <w:rPr>
          <w:rFonts w:ascii="宋体" w:hAnsi="宋体"/>
          <w:sz w:val="24"/>
        </w:rPr>
      </w:pPr>
      <w:r>
        <w:rPr>
          <w:rFonts w:hint="eastAsia" w:ascii="宋体" w:hAnsi="宋体"/>
          <w:sz w:val="24"/>
        </w:rPr>
        <w:t>单位地址：                                      单位地址：</w:t>
      </w:r>
    </w:p>
    <w:p>
      <w:pPr>
        <w:widowControl/>
        <w:spacing w:line="360" w:lineRule="auto"/>
        <w:jc w:val="left"/>
        <w:rPr>
          <w:rFonts w:ascii="宋体" w:hAnsi="宋体"/>
          <w:sz w:val="24"/>
        </w:rPr>
      </w:pPr>
      <w:r>
        <w:rPr>
          <w:rFonts w:hint="eastAsia" w:ascii="宋体" w:hAnsi="宋体"/>
          <w:sz w:val="24"/>
        </w:rPr>
        <w:t>日  期：                                        日  期：</w:t>
      </w:r>
    </w:p>
    <w:p>
      <w:pPr>
        <w:widowControl/>
        <w:spacing w:line="360" w:lineRule="auto"/>
        <w:jc w:val="left"/>
        <w:rPr>
          <w:rFonts w:ascii="宋体" w:hAnsi="宋体"/>
          <w:sz w:val="24"/>
        </w:rPr>
      </w:pPr>
    </w:p>
    <w:p>
      <w:pPr>
        <w:widowControl/>
        <w:spacing w:line="360" w:lineRule="auto"/>
        <w:jc w:val="left"/>
        <w:rPr>
          <w:rFonts w:ascii="宋体" w:hAnsi="宋体"/>
          <w:sz w:val="24"/>
        </w:rPr>
      </w:pPr>
      <w:r>
        <w:rPr>
          <w:rFonts w:hint="eastAsia" w:ascii="宋体" w:hAnsi="宋体"/>
          <w:sz w:val="24"/>
        </w:rPr>
        <w:t>合同备案</w:t>
      </w:r>
    </w:p>
    <w:p>
      <w:pPr>
        <w:widowControl/>
        <w:spacing w:line="360" w:lineRule="auto"/>
        <w:jc w:val="left"/>
        <w:rPr>
          <w:rFonts w:ascii="宋体" w:hAnsi="宋体"/>
          <w:sz w:val="24"/>
        </w:rPr>
      </w:pPr>
      <w:r>
        <w:rPr>
          <w:rFonts w:hint="eastAsia" w:ascii="宋体" w:hAnsi="宋体"/>
          <w:sz w:val="24"/>
        </w:rPr>
        <w:t>代理机构（盖章）：</w:t>
      </w:r>
    </w:p>
    <w:p>
      <w:pPr>
        <w:widowControl/>
        <w:spacing w:line="360" w:lineRule="auto"/>
        <w:jc w:val="left"/>
        <w:rPr>
          <w:rFonts w:ascii="宋体" w:hAnsi="宋体"/>
          <w:sz w:val="24"/>
        </w:rPr>
      </w:pPr>
      <w:r>
        <w:rPr>
          <w:rFonts w:hint="eastAsia" w:ascii="宋体" w:hAnsi="宋体"/>
          <w:sz w:val="24"/>
        </w:rPr>
        <w:t>日期：</w:t>
      </w:r>
    </w:p>
    <w:p>
      <w:pPr>
        <w:widowControl/>
        <w:spacing w:line="360" w:lineRule="auto"/>
        <w:jc w:val="left"/>
        <w:rPr>
          <w:rFonts w:ascii="宋体" w:hAnsi="宋体"/>
          <w:sz w:val="24"/>
        </w:rPr>
      </w:pPr>
      <w:r>
        <w:rPr>
          <w:rFonts w:hint="eastAsia" w:ascii="宋体" w:hAnsi="宋体"/>
          <w:sz w:val="24"/>
        </w:rPr>
        <w:t>地址：江苏省常州市钟楼区玉龙南路280号常州大数据产业园2号楼19楼1903室</w:t>
      </w:r>
    </w:p>
    <w:p>
      <w:pPr>
        <w:widowControl/>
        <w:spacing w:line="360" w:lineRule="auto"/>
        <w:jc w:val="left"/>
        <w:rPr>
          <w:rFonts w:ascii="宋体" w:hAnsi="宋体"/>
          <w:sz w:val="24"/>
        </w:rPr>
      </w:pPr>
      <w:r>
        <w:rPr>
          <w:rFonts w:hint="eastAsia" w:ascii="宋体" w:hAnsi="宋体"/>
          <w:sz w:val="24"/>
        </w:rPr>
        <w:t>电话：</w:t>
      </w:r>
    </w:p>
    <w:p>
      <w:pPr>
        <w:widowControl/>
        <w:spacing w:line="360" w:lineRule="auto"/>
        <w:jc w:val="left"/>
        <w:rPr>
          <w:rFonts w:ascii="宋体" w:hAnsi="宋体"/>
          <w:bCs/>
          <w:kern w:val="0"/>
          <w:sz w:val="24"/>
        </w:rPr>
      </w:pPr>
      <w:r>
        <w:rPr>
          <w:rFonts w:ascii="宋体" w:hAnsi="宋体"/>
          <w:sz w:val="24"/>
        </w:rPr>
        <w:t> </w:t>
      </w:r>
    </w:p>
    <w:p>
      <w:pPr>
        <w:widowControl/>
        <w:jc w:val="left"/>
        <w:rPr>
          <w:rFonts w:ascii="宋体" w:hAnsi="宋体"/>
          <w:b/>
          <w:bCs/>
          <w:sz w:val="24"/>
        </w:rPr>
      </w:pPr>
      <w:r>
        <w:rPr>
          <w:rFonts w:ascii="宋体" w:hAnsi="宋体"/>
          <w:b/>
          <w:bCs/>
          <w:sz w:val="24"/>
        </w:rPr>
        <w:br w:type="page"/>
      </w:r>
      <w:r>
        <w:rPr>
          <w:rFonts w:hint="eastAsia" w:ascii="宋体" w:hAnsi="宋体"/>
          <w:b/>
          <w:bCs/>
          <w:sz w:val="24"/>
        </w:rPr>
        <w:t xml:space="preserve"> </w:t>
      </w:r>
    </w:p>
    <w:p>
      <w:pPr>
        <w:autoSpaceDE w:val="0"/>
        <w:autoSpaceDN w:val="0"/>
        <w:adjustRightInd w:val="0"/>
        <w:spacing w:line="560" w:lineRule="exact"/>
        <w:ind w:firstLine="200"/>
        <w:jc w:val="center"/>
        <w:rPr>
          <w:rFonts w:ascii="宋体" w:hAnsi="宋体"/>
          <w:b/>
          <w:bCs/>
          <w:sz w:val="24"/>
        </w:rPr>
      </w:pPr>
      <w:r>
        <w:rPr>
          <w:rFonts w:hint="eastAsia" w:ascii="宋体" w:hAnsi="宋体"/>
          <w:b/>
          <w:bCs/>
          <w:sz w:val="24"/>
        </w:rPr>
        <w:t>第二部分 合同一般条款</w:t>
      </w:r>
    </w:p>
    <w:p>
      <w:pPr>
        <w:spacing w:line="360" w:lineRule="auto"/>
        <w:ind w:firstLine="482" w:firstLineChars="200"/>
        <w:rPr>
          <w:rFonts w:ascii="宋体" w:hAnsi="宋体"/>
          <w:b/>
          <w:bCs/>
          <w:sz w:val="24"/>
        </w:rPr>
      </w:pPr>
      <w:bookmarkStart w:id="58" w:name="_Toc60748173"/>
      <w:r>
        <w:rPr>
          <w:rFonts w:hint="eastAsia" w:ascii="宋体" w:hAnsi="宋体"/>
          <w:b/>
          <w:bCs/>
          <w:sz w:val="24"/>
        </w:rPr>
        <w:t>一、定义</w:t>
      </w:r>
      <w:bookmarkEnd w:id="58"/>
    </w:p>
    <w:p>
      <w:pPr>
        <w:spacing w:line="360" w:lineRule="auto"/>
        <w:ind w:firstLine="480" w:firstLineChars="200"/>
        <w:rPr>
          <w:rFonts w:ascii="宋体" w:hAnsi="宋体"/>
          <w:sz w:val="24"/>
        </w:rPr>
      </w:pPr>
      <w:r>
        <w:rPr>
          <w:rFonts w:hint="eastAsia" w:ascii="宋体" w:hAnsi="宋体"/>
          <w:sz w:val="24"/>
        </w:rPr>
        <w:t>本合同中的下列词语应按以下内容进行解释：</w:t>
      </w:r>
    </w:p>
    <w:p>
      <w:pPr>
        <w:spacing w:line="360" w:lineRule="auto"/>
        <w:ind w:firstLine="480" w:firstLineChars="200"/>
        <w:rPr>
          <w:rFonts w:ascii="宋体" w:hAnsi="宋体"/>
          <w:sz w:val="24"/>
        </w:rPr>
      </w:pPr>
      <w:r>
        <w:rPr>
          <w:rFonts w:hint="eastAsia" w:ascii="宋体" w:hAnsi="宋体"/>
          <w:sz w:val="24"/>
        </w:rPr>
        <w:t>1.“合同”系指采购人和中标供应商签订的载明双方当事人所达成的协议，并包括所有的附件、附录和构成合同的其他文件。</w:t>
      </w:r>
    </w:p>
    <w:p>
      <w:pPr>
        <w:spacing w:line="360" w:lineRule="auto"/>
        <w:ind w:firstLine="480" w:firstLineChars="200"/>
        <w:rPr>
          <w:rFonts w:ascii="宋体" w:hAnsi="宋体"/>
          <w:sz w:val="24"/>
        </w:rPr>
      </w:pPr>
      <w:r>
        <w:rPr>
          <w:rFonts w:hint="eastAsia" w:ascii="宋体" w:hAnsi="宋体"/>
          <w:sz w:val="24"/>
        </w:rPr>
        <w:t>2.“合同价”系指根据合同约定，中标供应商在完全履行合同义务后，采购人应支付给中标供应商的价格。</w:t>
      </w:r>
    </w:p>
    <w:p>
      <w:pPr>
        <w:spacing w:line="360" w:lineRule="auto"/>
        <w:ind w:firstLine="480" w:firstLineChars="200"/>
        <w:rPr>
          <w:rFonts w:ascii="宋体" w:hAnsi="宋体"/>
          <w:sz w:val="24"/>
        </w:rPr>
      </w:pPr>
      <w:r>
        <w:rPr>
          <w:rFonts w:hint="eastAsia" w:ascii="宋体" w:hAnsi="宋体"/>
          <w:sz w:val="24"/>
        </w:rPr>
        <w:t>3.“服务”系指中标供应商根据合同约定应向采购人履行的除货物和工程以外的其他采购对象，包括采购人自身需要的服务和向社会公众提供的公共服务。</w:t>
      </w:r>
    </w:p>
    <w:p>
      <w:pPr>
        <w:spacing w:line="360" w:lineRule="auto"/>
        <w:ind w:firstLine="480" w:firstLineChars="200"/>
        <w:rPr>
          <w:rFonts w:ascii="宋体" w:hAnsi="宋体"/>
          <w:sz w:val="24"/>
        </w:rPr>
      </w:pPr>
      <w:r>
        <w:rPr>
          <w:rFonts w:hint="eastAsia" w:ascii="宋体" w:hAnsi="宋体"/>
          <w:sz w:val="24"/>
        </w:rPr>
        <w:t>4.“甲方”系指与中标供应商签署合同的采购人；采购人委托采购代理机构代表其与乙方签订合同的，采购人的授权委托书作为合同附件。</w:t>
      </w:r>
    </w:p>
    <w:p>
      <w:pPr>
        <w:spacing w:line="360" w:lineRule="auto"/>
        <w:ind w:firstLine="480" w:firstLineChars="200"/>
        <w:rPr>
          <w:rFonts w:ascii="宋体" w:hAnsi="宋体"/>
          <w:sz w:val="24"/>
        </w:rPr>
      </w:pPr>
      <w:r>
        <w:rPr>
          <w:rFonts w:hint="eastAsia" w:ascii="宋体" w:hAnsi="宋体"/>
          <w:sz w:val="24"/>
        </w:rPr>
        <w:t>5.“乙方”系指根据合同约定提供服务的中标供应商；两个以上的自然人、法人或者其他组织组成一个联合体，以一个供应商的身份共同参加采购的，联合体各方均应为乙方或者与乙方相同地位的合同当事人，并就合同约定的事项对甲方承担连带责任。</w:t>
      </w:r>
    </w:p>
    <w:p>
      <w:pPr>
        <w:spacing w:line="360" w:lineRule="auto"/>
        <w:ind w:firstLine="480" w:firstLineChars="200"/>
        <w:rPr>
          <w:rFonts w:ascii="宋体" w:hAnsi="宋体"/>
          <w:sz w:val="24"/>
        </w:rPr>
      </w:pPr>
      <w:r>
        <w:rPr>
          <w:rFonts w:hint="eastAsia" w:ascii="宋体" w:hAnsi="宋体"/>
          <w:sz w:val="24"/>
        </w:rPr>
        <w:t>6.“现场”系指合同约定提供服务的地点。</w:t>
      </w:r>
    </w:p>
    <w:p>
      <w:pPr>
        <w:spacing w:line="360" w:lineRule="auto"/>
        <w:ind w:firstLine="482" w:firstLineChars="200"/>
        <w:rPr>
          <w:rFonts w:ascii="宋体" w:hAnsi="宋体"/>
          <w:b/>
          <w:bCs/>
          <w:sz w:val="24"/>
        </w:rPr>
      </w:pPr>
      <w:bookmarkStart w:id="59" w:name="_Toc60748174"/>
      <w:r>
        <w:rPr>
          <w:rFonts w:hint="eastAsia" w:ascii="宋体" w:hAnsi="宋体"/>
          <w:b/>
          <w:bCs/>
          <w:sz w:val="24"/>
        </w:rPr>
        <w:t>二、 技术规范</w:t>
      </w:r>
      <w:bookmarkEnd w:id="59"/>
    </w:p>
    <w:p>
      <w:pPr>
        <w:spacing w:line="360" w:lineRule="auto"/>
        <w:ind w:firstLine="480" w:firstLineChars="200"/>
        <w:rPr>
          <w:rFonts w:ascii="宋体" w:hAnsi="宋体"/>
          <w:sz w:val="24"/>
        </w:rPr>
      </w:pPr>
      <w:r>
        <w:rPr>
          <w:rFonts w:hint="eastAsia" w:ascii="宋体" w:hAnsi="宋体"/>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rPr>
          <w:rFonts w:ascii="宋体" w:hAnsi="宋体"/>
          <w:b/>
          <w:bCs/>
          <w:sz w:val="24"/>
        </w:rPr>
      </w:pPr>
      <w:bookmarkStart w:id="60" w:name="_Toc60748175"/>
      <w:r>
        <w:rPr>
          <w:rFonts w:hint="eastAsia" w:ascii="宋体" w:hAnsi="宋体"/>
          <w:b/>
          <w:bCs/>
          <w:sz w:val="24"/>
        </w:rPr>
        <w:t>三、 知识产权</w:t>
      </w:r>
      <w:bookmarkEnd w:id="60"/>
    </w:p>
    <w:p>
      <w:pPr>
        <w:spacing w:line="360" w:lineRule="auto"/>
        <w:ind w:firstLine="480" w:firstLineChars="200"/>
        <w:rPr>
          <w:rFonts w:ascii="宋体" w:hAnsi="宋体"/>
          <w:sz w:val="24"/>
        </w:rPr>
      </w:pPr>
      <w:r>
        <w:rPr>
          <w:rFonts w:hint="eastAsia" w:ascii="宋体" w:hAnsi="宋体"/>
          <w:sz w:val="24"/>
        </w:rPr>
        <w:t>1.乙方应保证其提供的服务不受任何第三方提出的侵犯其著作权、商标权、专利权等知识产权方面的起诉；如果任何第三方提出侵权指控，那么乙方须与该第三方交涉并承担由此发生的一切责任、费用和赔偿；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ascii="宋体" w:hAnsi="宋体"/>
          <w:sz w:val="24"/>
        </w:rPr>
      </w:pPr>
      <w:r>
        <w:rPr>
          <w:rFonts w:hint="eastAsia" w:ascii="宋体" w:hAnsi="宋体"/>
          <w:sz w:val="24"/>
        </w:rPr>
        <w:t>2.合同涉及技术成果的归属和收益的分成办法的，详见</w:t>
      </w:r>
      <w:r>
        <w:rPr>
          <w:rFonts w:hint="eastAsia" w:ascii="宋体" w:hAnsi="宋体"/>
          <w:b/>
          <w:bCs/>
          <w:iCs/>
          <w:sz w:val="24"/>
          <w:u w:val="single"/>
        </w:rPr>
        <w:t>合同专用条款</w:t>
      </w:r>
      <w:r>
        <w:rPr>
          <w:rFonts w:hint="eastAsia" w:ascii="宋体" w:hAnsi="宋体"/>
          <w:sz w:val="24"/>
        </w:rPr>
        <w:t>。</w:t>
      </w:r>
    </w:p>
    <w:p>
      <w:pPr>
        <w:spacing w:line="360" w:lineRule="auto"/>
        <w:ind w:firstLine="482" w:firstLineChars="200"/>
        <w:rPr>
          <w:rFonts w:ascii="宋体" w:hAnsi="宋体"/>
          <w:b/>
          <w:bCs/>
          <w:sz w:val="24"/>
        </w:rPr>
      </w:pPr>
      <w:r>
        <w:rPr>
          <w:rFonts w:hint="eastAsia" w:ascii="宋体" w:hAnsi="宋体"/>
          <w:b/>
          <w:bCs/>
          <w:sz w:val="24"/>
        </w:rPr>
        <w:t>四、 履约检查和问题反馈</w:t>
      </w:r>
    </w:p>
    <w:p>
      <w:pPr>
        <w:spacing w:line="360" w:lineRule="auto"/>
        <w:ind w:firstLine="480" w:firstLineChars="200"/>
        <w:rPr>
          <w:rFonts w:ascii="宋体" w:hAnsi="宋体"/>
          <w:sz w:val="24"/>
        </w:rPr>
      </w:pPr>
      <w:r>
        <w:rPr>
          <w:rFonts w:hint="eastAsia" w:ascii="宋体" w:hAnsi="宋体"/>
          <w:sz w:val="24"/>
        </w:rPr>
        <w:t>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80" w:firstLineChars="200"/>
        <w:rPr>
          <w:rFonts w:ascii="宋体" w:hAnsi="宋体"/>
          <w:sz w:val="24"/>
        </w:rPr>
      </w:pPr>
      <w:r>
        <w:rPr>
          <w:rFonts w:hint="eastAsia" w:ascii="宋体" w:hAnsi="宋体"/>
          <w:sz w:val="24"/>
        </w:rPr>
        <w:t>2.合同履行期间，甲方有权将履行过程中出现的问题反馈给乙方，双方当事人应以书面形式约定需要完善和改进的内容。</w:t>
      </w:r>
    </w:p>
    <w:p>
      <w:pPr>
        <w:spacing w:line="360" w:lineRule="auto"/>
        <w:ind w:firstLine="482" w:firstLineChars="200"/>
        <w:rPr>
          <w:rFonts w:ascii="宋体" w:hAnsi="宋体"/>
          <w:b/>
          <w:bCs/>
          <w:sz w:val="24"/>
        </w:rPr>
      </w:pPr>
      <w:bookmarkStart w:id="61" w:name="_Toc60748176"/>
      <w:r>
        <w:rPr>
          <w:rFonts w:hint="eastAsia" w:ascii="宋体" w:hAnsi="宋体"/>
          <w:b/>
          <w:bCs/>
          <w:sz w:val="24"/>
        </w:rPr>
        <w:t>五、 结算方式和付款条件</w:t>
      </w:r>
      <w:bookmarkEnd w:id="61"/>
    </w:p>
    <w:p>
      <w:pPr>
        <w:spacing w:line="360" w:lineRule="auto"/>
        <w:ind w:firstLine="480" w:firstLineChars="200"/>
        <w:rPr>
          <w:rFonts w:ascii="宋体" w:hAnsi="宋体"/>
          <w:sz w:val="24"/>
        </w:rPr>
      </w:pPr>
      <w:r>
        <w:rPr>
          <w:rFonts w:hint="eastAsia" w:ascii="宋体" w:hAnsi="宋体"/>
          <w:sz w:val="24"/>
        </w:rPr>
        <w:t>详见</w:t>
      </w:r>
      <w:r>
        <w:rPr>
          <w:rFonts w:hint="eastAsia" w:ascii="宋体" w:hAnsi="宋体"/>
          <w:b/>
          <w:bCs/>
          <w:iCs/>
          <w:sz w:val="24"/>
          <w:u w:val="single"/>
        </w:rPr>
        <w:t>合同专用条款</w:t>
      </w:r>
      <w:r>
        <w:rPr>
          <w:rFonts w:hint="eastAsia" w:ascii="宋体" w:hAnsi="宋体"/>
          <w:sz w:val="24"/>
        </w:rPr>
        <w:t>。</w:t>
      </w:r>
    </w:p>
    <w:p>
      <w:pPr>
        <w:spacing w:line="360" w:lineRule="auto"/>
        <w:ind w:firstLine="482" w:firstLineChars="200"/>
        <w:rPr>
          <w:rFonts w:ascii="宋体" w:hAnsi="宋体"/>
          <w:b/>
          <w:bCs/>
          <w:sz w:val="24"/>
        </w:rPr>
      </w:pPr>
      <w:bookmarkStart w:id="62" w:name="_Toc60748177"/>
      <w:r>
        <w:rPr>
          <w:rFonts w:hint="eastAsia" w:ascii="宋体" w:hAnsi="宋体"/>
          <w:b/>
          <w:bCs/>
          <w:sz w:val="24"/>
        </w:rPr>
        <w:t>六、技术资料和保密义务</w:t>
      </w:r>
      <w:bookmarkEnd w:id="62"/>
    </w:p>
    <w:p>
      <w:pPr>
        <w:spacing w:line="360" w:lineRule="auto"/>
        <w:ind w:firstLine="480" w:firstLineChars="200"/>
        <w:rPr>
          <w:rFonts w:ascii="宋体" w:hAnsi="宋体"/>
          <w:sz w:val="24"/>
        </w:rPr>
      </w:pPr>
      <w:r>
        <w:rPr>
          <w:rFonts w:hint="eastAsia" w:ascii="宋体" w:hAnsi="宋体"/>
          <w:sz w:val="24"/>
        </w:rPr>
        <w:t>1.乙方有权依据合同约定和项目需要，向甲方了解有关情况，调阅有关资料等，甲方应予积极配合；</w:t>
      </w:r>
    </w:p>
    <w:p>
      <w:pPr>
        <w:spacing w:line="360" w:lineRule="auto"/>
        <w:ind w:firstLine="480" w:firstLineChars="200"/>
        <w:rPr>
          <w:rFonts w:ascii="宋体" w:hAnsi="宋体"/>
          <w:sz w:val="24"/>
        </w:rPr>
      </w:pPr>
      <w:r>
        <w:rPr>
          <w:rFonts w:hint="eastAsia" w:ascii="宋体" w:hAnsi="宋体"/>
          <w:sz w:val="24"/>
        </w:rPr>
        <w:t>2.乙方有义务妥善保管和保护由甲方提供的前款信息和资料等；</w:t>
      </w:r>
    </w:p>
    <w:p>
      <w:pPr>
        <w:spacing w:line="360" w:lineRule="auto"/>
        <w:ind w:firstLine="480" w:firstLineChars="200"/>
        <w:rPr>
          <w:rFonts w:ascii="宋体" w:hAnsi="宋体"/>
          <w:sz w:val="24"/>
        </w:rPr>
      </w:pPr>
      <w:r>
        <w:rPr>
          <w:rFonts w:hint="eastAsia" w:ascii="宋体" w:hAnsi="宋体"/>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rPr>
          <w:rFonts w:ascii="宋体" w:hAnsi="宋体"/>
          <w:b/>
          <w:bCs/>
          <w:sz w:val="24"/>
        </w:rPr>
      </w:pPr>
      <w:bookmarkStart w:id="63" w:name="_Toc60748178"/>
      <w:r>
        <w:rPr>
          <w:rFonts w:hint="eastAsia" w:ascii="宋体" w:hAnsi="宋体"/>
          <w:b/>
          <w:bCs/>
          <w:sz w:val="24"/>
        </w:rPr>
        <w:t>七、质量保证</w:t>
      </w:r>
      <w:bookmarkEnd w:id="63"/>
    </w:p>
    <w:p>
      <w:pPr>
        <w:spacing w:line="360" w:lineRule="auto"/>
        <w:ind w:firstLine="480" w:firstLineChars="200"/>
        <w:rPr>
          <w:rFonts w:ascii="宋体" w:hAnsi="宋体"/>
          <w:sz w:val="24"/>
        </w:rPr>
      </w:pPr>
      <w:r>
        <w:rPr>
          <w:rFonts w:hint="eastAsia" w:ascii="宋体" w:hAnsi="宋体"/>
          <w:sz w:val="24"/>
        </w:rPr>
        <w:t>1.乙方应建立和完善履行合同的内部质量保证体系，并提供相关内部规章制度给甲方，以便甲方进行监督检查；</w:t>
      </w:r>
    </w:p>
    <w:p>
      <w:pPr>
        <w:spacing w:line="360" w:lineRule="auto"/>
        <w:ind w:firstLine="480" w:firstLineChars="200"/>
        <w:rPr>
          <w:rFonts w:ascii="宋体" w:hAnsi="宋体"/>
          <w:sz w:val="24"/>
        </w:rPr>
      </w:pPr>
      <w:r>
        <w:rPr>
          <w:rFonts w:hint="eastAsia" w:ascii="宋体" w:hAnsi="宋体"/>
          <w:sz w:val="24"/>
        </w:rPr>
        <w:t>2.乙方应保证履行合同的人员数量和素质、软件和硬件设备的配置、场地、环境和设施等满足全面履行合同的要求，并应接受甲方的监督检查。</w:t>
      </w:r>
    </w:p>
    <w:p>
      <w:pPr>
        <w:spacing w:line="360" w:lineRule="auto"/>
        <w:ind w:firstLine="482" w:firstLineChars="200"/>
        <w:rPr>
          <w:rFonts w:ascii="宋体" w:hAnsi="宋体"/>
          <w:b/>
          <w:bCs/>
          <w:sz w:val="24"/>
        </w:rPr>
      </w:pPr>
      <w:bookmarkStart w:id="64" w:name="_Toc60748179"/>
      <w:r>
        <w:rPr>
          <w:rFonts w:hint="eastAsia" w:ascii="宋体" w:hAnsi="宋体"/>
          <w:b/>
          <w:bCs/>
          <w:sz w:val="24"/>
        </w:rPr>
        <w:t>八、延迟履行</w:t>
      </w:r>
      <w:bookmarkEnd w:id="64"/>
    </w:p>
    <w:p>
      <w:pPr>
        <w:spacing w:line="360" w:lineRule="auto"/>
        <w:ind w:firstLine="480" w:firstLineChars="200"/>
        <w:rPr>
          <w:rFonts w:ascii="宋体" w:hAnsi="宋体"/>
          <w:sz w:val="24"/>
        </w:rPr>
      </w:pPr>
      <w:r>
        <w:rPr>
          <w:rFonts w:hint="eastAsia" w:ascii="宋体" w:hAnsi="宋体"/>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firstLine="482" w:firstLineChars="200"/>
        <w:rPr>
          <w:rFonts w:ascii="宋体" w:hAnsi="宋体"/>
          <w:b/>
          <w:bCs/>
          <w:sz w:val="24"/>
        </w:rPr>
      </w:pPr>
      <w:bookmarkStart w:id="65" w:name="_Toc60748180"/>
      <w:r>
        <w:rPr>
          <w:rFonts w:hint="eastAsia" w:ascii="宋体" w:hAnsi="宋体"/>
          <w:b/>
          <w:bCs/>
          <w:sz w:val="24"/>
        </w:rPr>
        <w:t>九、合同变更</w:t>
      </w:r>
      <w:bookmarkEnd w:id="65"/>
    </w:p>
    <w:p>
      <w:pPr>
        <w:spacing w:line="360" w:lineRule="auto"/>
        <w:ind w:firstLine="480" w:firstLineChars="200"/>
        <w:rPr>
          <w:rFonts w:ascii="宋体" w:hAnsi="宋体"/>
          <w:sz w:val="24"/>
        </w:rPr>
      </w:pPr>
      <w:r>
        <w:rPr>
          <w:rFonts w:hint="eastAsia" w:ascii="宋体" w:hAnsi="宋体"/>
          <w:sz w:val="24"/>
        </w:rPr>
        <w:t>1.双方当事人协商一致，可以签订书面补充合同的形式变更合同，但不得违背采购文件确定的事项，且如果系追加与合同标的相同的服务的，那么所有补充合同的采购金额不得超过原合同价的10%；</w:t>
      </w:r>
    </w:p>
    <w:p>
      <w:pPr>
        <w:spacing w:line="360" w:lineRule="auto"/>
        <w:ind w:firstLine="480" w:firstLineChars="200"/>
        <w:rPr>
          <w:rFonts w:ascii="宋体" w:hAnsi="宋体"/>
          <w:sz w:val="24"/>
        </w:rPr>
      </w:pPr>
      <w:r>
        <w:rPr>
          <w:rFonts w:hint="eastAsia" w:ascii="宋体" w:hAnsi="宋体"/>
          <w:sz w:val="24"/>
        </w:rPr>
        <w:t>2.合同继续履行将损害国家利益和社会公共利益的，双方当事人应当以书面形式变更合同。有过错的一方应当承担赔偿责任，双方当事人都有过错的，各自承担相应的责任。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rPr>
          <w:rFonts w:ascii="宋体" w:hAnsi="宋体"/>
          <w:b/>
          <w:bCs/>
          <w:sz w:val="24"/>
        </w:rPr>
      </w:pPr>
      <w:bookmarkStart w:id="66" w:name="_Toc60748181"/>
      <w:r>
        <w:rPr>
          <w:rFonts w:hint="eastAsia" w:ascii="宋体" w:hAnsi="宋体"/>
          <w:b/>
          <w:bCs/>
          <w:sz w:val="24"/>
        </w:rPr>
        <w:t>十、合同转让和分包</w:t>
      </w:r>
      <w:bookmarkEnd w:id="66"/>
    </w:p>
    <w:p>
      <w:pPr>
        <w:spacing w:line="360" w:lineRule="auto"/>
        <w:ind w:firstLine="480" w:firstLineChars="200"/>
        <w:rPr>
          <w:rFonts w:ascii="宋体" w:hAnsi="宋体"/>
          <w:sz w:val="24"/>
        </w:rPr>
      </w:pPr>
      <w:r>
        <w:rPr>
          <w:rFonts w:hint="eastAsia" w:ascii="宋体" w:hAnsi="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2" w:firstLineChars="200"/>
        <w:rPr>
          <w:rFonts w:ascii="宋体" w:hAnsi="宋体"/>
          <w:b/>
          <w:bCs/>
          <w:sz w:val="24"/>
        </w:rPr>
      </w:pPr>
      <w:bookmarkStart w:id="67" w:name="_Toc60748182"/>
      <w:r>
        <w:rPr>
          <w:rFonts w:hint="eastAsia" w:ascii="宋体" w:hAnsi="宋体"/>
          <w:b/>
          <w:bCs/>
          <w:sz w:val="24"/>
        </w:rPr>
        <w:t>十一、不可抗力</w:t>
      </w:r>
      <w:bookmarkEnd w:id="67"/>
    </w:p>
    <w:p>
      <w:pPr>
        <w:spacing w:line="360" w:lineRule="auto"/>
        <w:ind w:firstLine="480" w:firstLineChars="200"/>
        <w:rPr>
          <w:rFonts w:ascii="宋体" w:hAnsi="宋体"/>
          <w:sz w:val="24"/>
        </w:rPr>
      </w:pPr>
      <w:r>
        <w:rPr>
          <w:rFonts w:hint="eastAsia" w:ascii="宋体" w:hAnsi="宋体"/>
          <w:sz w:val="24"/>
        </w:rPr>
        <w:t>1.如果任何一方遭遇法律规定的不可抗力，致使合同履行受阻时，履行合同的期限应予延长，延长的期限应相当于不可抗力所影响的时间；</w:t>
      </w:r>
    </w:p>
    <w:p>
      <w:pPr>
        <w:spacing w:line="360" w:lineRule="auto"/>
        <w:ind w:firstLine="480" w:firstLineChars="200"/>
        <w:rPr>
          <w:rFonts w:ascii="宋体" w:hAnsi="宋体"/>
          <w:sz w:val="24"/>
        </w:rPr>
      </w:pPr>
      <w:r>
        <w:rPr>
          <w:rFonts w:hint="eastAsia" w:ascii="宋体" w:hAnsi="宋体"/>
          <w:sz w:val="24"/>
        </w:rPr>
        <w:t>2.因不可抗力致使不能实现合同目的的，当事人可以解除合同；</w:t>
      </w:r>
    </w:p>
    <w:p>
      <w:pPr>
        <w:spacing w:line="360" w:lineRule="auto"/>
        <w:ind w:firstLine="480" w:firstLineChars="200"/>
        <w:rPr>
          <w:rFonts w:ascii="宋体" w:hAnsi="宋体"/>
          <w:sz w:val="24"/>
        </w:rPr>
      </w:pPr>
      <w:r>
        <w:rPr>
          <w:rFonts w:hint="eastAsia" w:ascii="宋体" w:hAnsi="宋体"/>
          <w:sz w:val="24"/>
        </w:rPr>
        <w:t>3.因不可抗力致使合同有变更必要的，双方当事人应在</w:t>
      </w:r>
      <w:r>
        <w:rPr>
          <w:rFonts w:hint="eastAsia" w:ascii="宋体" w:hAnsi="宋体"/>
          <w:b/>
          <w:bCs/>
          <w:iCs/>
          <w:sz w:val="24"/>
          <w:u w:val="single"/>
        </w:rPr>
        <w:t>合同专用条款</w:t>
      </w:r>
      <w:r>
        <w:rPr>
          <w:rFonts w:hint="eastAsia" w:ascii="宋体" w:hAnsi="宋体"/>
          <w:sz w:val="24"/>
        </w:rPr>
        <w:t>约定时间内以书面形式变更合同；</w:t>
      </w:r>
    </w:p>
    <w:p>
      <w:pPr>
        <w:spacing w:line="360" w:lineRule="auto"/>
        <w:ind w:firstLine="480" w:firstLineChars="200"/>
        <w:rPr>
          <w:rFonts w:ascii="宋体" w:hAnsi="宋体"/>
          <w:sz w:val="24"/>
        </w:rPr>
      </w:pPr>
      <w:r>
        <w:rPr>
          <w:rFonts w:hint="eastAsia" w:ascii="宋体" w:hAnsi="宋体"/>
          <w:sz w:val="24"/>
        </w:rPr>
        <w:t>4.受不可抗力影响的一方在不可抗力发生后，应在</w:t>
      </w:r>
      <w:r>
        <w:rPr>
          <w:rFonts w:hint="eastAsia" w:ascii="宋体" w:hAnsi="宋体"/>
          <w:b/>
          <w:bCs/>
          <w:iCs/>
          <w:sz w:val="24"/>
          <w:u w:val="single"/>
        </w:rPr>
        <w:t>合同专用条款</w:t>
      </w:r>
      <w:r>
        <w:rPr>
          <w:rFonts w:hint="eastAsia" w:ascii="宋体" w:hAnsi="宋体"/>
          <w:sz w:val="24"/>
        </w:rPr>
        <w:t>约定时间内以书面形式通知对方当事人，并在</w:t>
      </w:r>
      <w:r>
        <w:rPr>
          <w:rFonts w:hint="eastAsia" w:ascii="宋体" w:hAnsi="宋体"/>
          <w:b/>
          <w:bCs/>
          <w:iCs/>
          <w:sz w:val="24"/>
          <w:u w:val="single"/>
        </w:rPr>
        <w:t>合同专用条款</w:t>
      </w:r>
      <w:r>
        <w:rPr>
          <w:rFonts w:hint="eastAsia" w:ascii="宋体" w:hAnsi="宋体"/>
          <w:sz w:val="24"/>
        </w:rPr>
        <w:t>约定时间内，将有关部门出具的证明文件送达对方当事人。</w:t>
      </w:r>
    </w:p>
    <w:p>
      <w:pPr>
        <w:spacing w:line="360" w:lineRule="auto"/>
        <w:ind w:firstLine="482" w:firstLineChars="200"/>
        <w:rPr>
          <w:rFonts w:ascii="宋体" w:hAnsi="宋体"/>
          <w:b/>
          <w:bCs/>
          <w:sz w:val="24"/>
        </w:rPr>
      </w:pPr>
      <w:bookmarkStart w:id="68" w:name="_Toc60748183"/>
      <w:r>
        <w:rPr>
          <w:rFonts w:hint="eastAsia" w:ascii="宋体" w:hAnsi="宋体"/>
          <w:b/>
          <w:bCs/>
          <w:sz w:val="24"/>
        </w:rPr>
        <w:t>十二、 税费</w:t>
      </w:r>
      <w:bookmarkEnd w:id="68"/>
    </w:p>
    <w:p>
      <w:pPr>
        <w:spacing w:line="360" w:lineRule="auto"/>
        <w:ind w:firstLine="480" w:firstLineChars="200"/>
        <w:rPr>
          <w:rFonts w:ascii="宋体" w:hAnsi="宋体"/>
          <w:sz w:val="24"/>
        </w:rPr>
      </w:pPr>
      <w:r>
        <w:rPr>
          <w:rFonts w:hint="eastAsia" w:ascii="宋体" w:hAnsi="宋体"/>
          <w:sz w:val="24"/>
        </w:rPr>
        <w:t>与合同有关的一切税费，均按照中华人民共和国法律的相关规定缴纳。</w:t>
      </w:r>
    </w:p>
    <w:p>
      <w:pPr>
        <w:spacing w:line="360" w:lineRule="auto"/>
        <w:ind w:firstLine="482" w:firstLineChars="200"/>
        <w:rPr>
          <w:rFonts w:ascii="宋体" w:hAnsi="宋体"/>
          <w:b/>
          <w:bCs/>
          <w:sz w:val="24"/>
        </w:rPr>
      </w:pPr>
      <w:bookmarkStart w:id="69" w:name="_Toc60748184"/>
      <w:r>
        <w:rPr>
          <w:rFonts w:hint="eastAsia" w:ascii="宋体" w:hAnsi="宋体"/>
          <w:b/>
          <w:bCs/>
          <w:sz w:val="24"/>
        </w:rPr>
        <w:t>十三、乙方破产</w:t>
      </w:r>
      <w:bookmarkEnd w:id="69"/>
    </w:p>
    <w:p>
      <w:pPr>
        <w:spacing w:line="360" w:lineRule="auto"/>
        <w:ind w:firstLine="480" w:firstLineChars="200"/>
        <w:rPr>
          <w:rFonts w:ascii="宋体" w:hAnsi="宋体"/>
          <w:sz w:val="24"/>
        </w:rPr>
      </w:pPr>
      <w:r>
        <w:rPr>
          <w:rFonts w:hint="eastAsia" w:ascii="宋体" w:hAnsi="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rPr>
          <w:rFonts w:ascii="宋体" w:hAnsi="宋体"/>
          <w:b/>
          <w:bCs/>
          <w:sz w:val="24"/>
        </w:rPr>
      </w:pPr>
      <w:bookmarkStart w:id="70" w:name="_Toc60748185"/>
      <w:r>
        <w:rPr>
          <w:rFonts w:hint="eastAsia" w:ascii="宋体" w:hAnsi="宋体"/>
          <w:b/>
          <w:bCs/>
          <w:sz w:val="24"/>
        </w:rPr>
        <w:t>十四、合同中止、终止</w:t>
      </w:r>
      <w:bookmarkEnd w:id="70"/>
    </w:p>
    <w:p>
      <w:pPr>
        <w:spacing w:line="360" w:lineRule="auto"/>
        <w:ind w:firstLine="480" w:firstLineChars="200"/>
        <w:rPr>
          <w:rFonts w:ascii="宋体" w:hAnsi="宋体"/>
          <w:sz w:val="24"/>
        </w:rPr>
      </w:pPr>
      <w:r>
        <w:rPr>
          <w:rFonts w:hint="eastAsia" w:ascii="宋体" w:hAnsi="宋体"/>
          <w:sz w:val="24"/>
        </w:rPr>
        <w:t>1.双方当事人不得擅自中止或者终止合同；</w:t>
      </w:r>
    </w:p>
    <w:p>
      <w:pPr>
        <w:spacing w:line="360" w:lineRule="auto"/>
        <w:ind w:firstLine="480" w:firstLineChars="200"/>
        <w:rPr>
          <w:rFonts w:ascii="宋体" w:hAnsi="宋体"/>
          <w:sz w:val="24"/>
        </w:rPr>
      </w:pPr>
      <w:r>
        <w:rPr>
          <w:rFonts w:hint="eastAsia" w:ascii="宋体" w:hAnsi="宋体"/>
          <w:sz w:val="24"/>
        </w:rPr>
        <w:t>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rPr>
          <w:rFonts w:ascii="宋体" w:hAnsi="宋体"/>
          <w:b/>
          <w:bCs/>
          <w:sz w:val="24"/>
        </w:rPr>
      </w:pPr>
      <w:bookmarkStart w:id="71" w:name="_Toc60748186"/>
      <w:r>
        <w:rPr>
          <w:rFonts w:hint="eastAsia" w:ascii="宋体" w:hAnsi="宋体"/>
          <w:b/>
          <w:bCs/>
          <w:sz w:val="24"/>
        </w:rPr>
        <w:t>十五、检验和验收</w:t>
      </w:r>
      <w:bookmarkEnd w:id="71"/>
    </w:p>
    <w:p>
      <w:pPr>
        <w:spacing w:line="360" w:lineRule="auto"/>
        <w:ind w:firstLine="480" w:firstLineChars="200"/>
        <w:rPr>
          <w:rFonts w:ascii="宋体" w:hAnsi="宋体"/>
          <w:sz w:val="24"/>
        </w:rPr>
      </w:pPr>
      <w:r>
        <w:rPr>
          <w:rFonts w:hint="eastAsia" w:ascii="宋体" w:hAnsi="宋体"/>
          <w:sz w:val="24"/>
        </w:rPr>
        <w:t>1.乙方按照</w:t>
      </w:r>
      <w:r>
        <w:rPr>
          <w:rFonts w:hint="eastAsia" w:ascii="宋体" w:hAnsi="宋体"/>
          <w:b/>
          <w:bCs/>
          <w:iCs/>
          <w:sz w:val="24"/>
          <w:u w:val="single"/>
        </w:rPr>
        <w:t>合同专用条款</w:t>
      </w:r>
      <w:r>
        <w:rPr>
          <w:rFonts w:hint="eastAsia" w:ascii="宋体" w:hAnsi="宋体"/>
          <w:sz w:val="24"/>
        </w:rPr>
        <w:t>的约定，定期提交服务报告，甲方按照</w:t>
      </w:r>
      <w:r>
        <w:rPr>
          <w:rFonts w:hint="eastAsia" w:ascii="宋体" w:hAnsi="宋体"/>
          <w:b/>
          <w:bCs/>
          <w:iCs/>
          <w:sz w:val="24"/>
          <w:u w:val="single"/>
        </w:rPr>
        <w:t>合同专用条款</w:t>
      </w:r>
      <w:r>
        <w:rPr>
          <w:rFonts w:hint="eastAsia" w:ascii="宋体" w:hAnsi="宋体"/>
          <w:sz w:val="24"/>
        </w:rPr>
        <w:t>的约定进行定期验收；</w:t>
      </w:r>
    </w:p>
    <w:p>
      <w:pPr>
        <w:spacing w:line="360" w:lineRule="auto"/>
        <w:ind w:firstLine="480" w:firstLineChars="200"/>
        <w:rPr>
          <w:rFonts w:ascii="宋体" w:hAnsi="宋体"/>
          <w:sz w:val="24"/>
        </w:rPr>
      </w:pPr>
      <w:r>
        <w:rPr>
          <w:rFonts w:hint="eastAsia" w:ascii="宋体" w:hAnsi="宋体"/>
          <w:sz w:val="24"/>
        </w:rPr>
        <w:t>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spacing w:line="360" w:lineRule="auto"/>
        <w:ind w:firstLine="480" w:firstLineChars="200"/>
        <w:rPr>
          <w:rFonts w:ascii="宋体" w:hAnsi="宋体"/>
          <w:sz w:val="24"/>
        </w:rPr>
      </w:pPr>
      <w:r>
        <w:rPr>
          <w:rFonts w:hint="eastAsia" w:ascii="宋体" w:hAnsi="宋体"/>
          <w:sz w:val="24"/>
        </w:rPr>
        <w:t>3.检验和验收标准、程序等具体内容以及前述验收书的效力详见</w:t>
      </w:r>
      <w:r>
        <w:rPr>
          <w:rFonts w:hint="eastAsia" w:ascii="宋体" w:hAnsi="宋体"/>
          <w:b/>
          <w:bCs/>
          <w:iCs/>
          <w:sz w:val="24"/>
          <w:u w:val="single"/>
        </w:rPr>
        <w:t>合同专用条款</w:t>
      </w:r>
      <w:r>
        <w:rPr>
          <w:rFonts w:hint="eastAsia" w:ascii="宋体" w:hAnsi="宋体"/>
          <w:iCs/>
          <w:sz w:val="24"/>
        </w:rPr>
        <w:t>。</w:t>
      </w:r>
    </w:p>
    <w:p>
      <w:pPr>
        <w:spacing w:line="360" w:lineRule="auto"/>
        <w:ind w:firstLine="482" w:firstLineChars="200"/>
        <w:rPr>
          <w:rFonts w:ascii="宋体" w:hAnsi="宋体"/>
          <w:b/>
          <w:bCs/>
          <w:sz w:val="24"/>
        </w:rPr>
      </w:pPr>
      <w:bookmarkStart w:id="72" w:name="_Toc60748187"/>
      <w:r>
        <w:rPr>
          <w:rFonts w:hint="eastAsia" w:ascii="宋体" w:hAnsi="宋体"/>
          <w:b/>
          <w:bCs/>
          <w:sz w:val="24"/>
        </w:rPr>
        <w:t>十六、通知和送达</w:t>
      </w:r>
      <w:bookmarkEnd w:id="72"/>
    </w:p>
    <w:p>
      <w:pPr>
        <w:spacing w:line="360" w:lineRule="auto"/>
        <w:ind w:firstLine="480" w:firstLineChars="200"/>
        <w:rPr>
          <w:rFonts w:ascii="宋体" w:hAnsi="宋体"/>
          <w:sz w:val="24"/>
        </w:rPr>
      </w:pPr>
      <w:r>
        <w:rPr>
          <w:rFonts w:hint="eastAsia" w:ascii="宋体" w:hAnsi="宋体"/>
          <w:sz w:val="24"/>
        </w:rPr>
        <w:t>1.任何一方因履行合同而以合同第一部分尾部所列明的</w:t>
      </w:r>
      <w:r>
        <w:rPr>
          <w:rFonts w:hint="eastAsia"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hint="eastAsia" w:ascii="宋体" w:hAnsi="宋体"/>
          <w:sz w:val="24"/>
          <w:u w:val="single"/>
        </w:rPr>
        <w:t xml:space="preserve">   </w:t>
      </w:r>
      <w:r>
        <w:rPr>
          <w:rFonts w:hint="eastAsia" w:ascii="宋体" w:hAnsi="宋体"/>
          <w:sz w:val="24"/>
        </w:rPr>
        <w:t>个工作日内书面通知对方当事人，在对方当事人收到有关变更通知之前，变更前的约定送达方式或者地址仍视为有效。</w:t>
      </w:r>
    </w:p>
    <w:p>
      <w:pPr>
        <w:spacing w:line="360" w:lineRule="auto"/>
        <w:ind w:firstLine="480" w:firstLineChars="200"/>
        <w:rPr>
          <w:rFonts w:ascii="宋体" w:hAnsi="宋体"/>
          <w:sz w:val="24"/>
        </w:rPr>
      </w:pPr>
      <w:r>
        <w:rPr>
          <w:rFonts w:hint="eastAsia" w:ascii="宋体" w:hAnsi="宋体"/>
          <w:sz w:val="24"/>
        </w:rPr>
        <w:t>2.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360" w:lineRule="auto"/>
        <w:ind w:firstLine="482" w:firstLineChars="200"/>
        <w:rPr>
          <w:rFonts w:ascii="宋体" w:hAnsi="宋体"/>
          <w:b/>
          <w:bCs/>
          <w:sz w:val="24"/>
        </w:rPr>
      </w:pPr>
      <w:bookmarkStart w:id="73" w:name="_Toc60748188"/>
      <w:r>
        <w:rPr>
          <w:rFonts w:hint="eastAsia" w:ascii="宋体" w:hAnsi="宋体"/>
          <w:b/>
          <w:bCs/>
          <w:sz w:val="24"/>
        </w:rPr>
        <w:t>十七、合同使用的文字和适用的法律</w:t>
      </w:r>
      <w:bookmarkEnd w:id="73"/>
    </w:p>
    <w:p>
      <w:pPr>
        <w:spacing w:line="360" w:lineRule="auto"/>
        <w:ind w:firstLine="480" w:firstLineChars="200"/>
        <w:rPr>
          <w:rFonts w:ascii="宋体" w:hAnsi="宋体"/>
          <w:sz w:val="24"/>
        </w:rPr>
      </w:pPr>
      <w:r>
        <w:rPr>
          <w:rFonts w:hint="eastAsia" w:ascii="宋体" w:hAnsi="宋体"/>
          <w:sz w:val="24"/>
        </w:rPr>
        <w:t>1.合同使用汉语书就、变更和解释；</w:t>
      </w:r>
    </w:p>
    <w:p>
      <w:pPr>
        <w:spacing w:line="360" w:lineRule="auto"/>
        <w:ind w:firstLine="480" w:firstLineChars="200"/>
        <w:rPr>
          <w:rFonts w:ascii="宋体" w:hAnsi="宋体"/>
          <w:sz w:val="24"/>
        </w:rPr>
      </w:pPr>
      <w:r>
        <w:rPr>
          <w:rFonts w:hint="eastAsia" w:ascii="宋体" w:hAnsi="宋体"/>
          <w:sz w:val="24"/>
        </w:rPr>
        <w:t>2.合同适用中华人民共和国法律。</w:t>
      </w:r>
    </w:p>
    <w:p>
      <w:pPr>
        <w:spacing w:line="360" w:lineRule="auto"/>
        <w:ind w:firstLine="482" w:firstLineChars="200"/>
        <w:rPr>
          <w:rFonts w:ascii="宋体" w:hAnsi="宋体"/>
          <w:b/>
          <w:bCs/>
          <w:sz w:val="24"/>
        </w:rPr>
      </w:pPr>
      <w:bookmarkStart w:id="74" w:name="_Toc60748189"/>
      <w:r>
        <w:rPr>
          <w:rFonts w:hint="eastAsia" w:ascii="宋体" w:hAnsi="宋体"/>
          <w:b/>
          <w:bCs/>
          <w:sz w:val="24"/>
        </w:rPr>
        <w:t>十八、履约保证金</w:t>
      </w:r>
      <w:bookmarkEnd w:id="74"/>
    </w:p>
    <w:p>
      <w:pPr>
        <w:spacing w:line="360" w:lineRule="auto"/>
        <w:ind w:firstLine="480" w:firstLineChars="200"/>
        <w:rPr>
          <w:rFonts w:ascii="宋体" w:hAnsi="宋体"/>
          <w:sz w:val="24"/>
        </w:rPr>
      </w:pPr>
      <w:r>
        <w:rPr>
          <w:rFonts w:hint="eastAsia" w:ascii="宋体" w:hAnsi="宋体"/>
          <w:sz w:val="24"/>
        </w:rPr>
        <w:t>1.采购文件要求乙方提交履约保证金的，乙方应按</w:t>
      </w:r>
      <w:r>
        <w:rPr>
          <w:rFonts w:hint="eastAsia" w:ascii="宋体" w:hAnsi="宋体"/>
          <w:b/>
          <w:bCs/>
          <w:iCs/>
          <w:sz w:val="24"/>
          <w:u w:val="single"/>
        </w:rPr>
        <w:t>合同专用条款</w:t>
      </w:r>
      <w:r>
        <w:rPr>
          <w:rFonts w:hint="eastAsia" w:ascii="宋体" w:hAnsi="宋体"/>
          <w:sz w:val="24"/>
        </w:rPr>
        <w:t>约定的方式，以支票、汇票、本票或者金融机构、担保机构出具的保函等非现金形式，提交不超过合同价10%的履约保证金；</w:t>
      </w:r>
    </w:p>
    <w:p>
      <w:pPr>
        <w:spacing w:line="360" w:lineRule="auto"/>
        <w:ind w:firstLine="480" w:firstLineChars="200"/>
        <w:rPr>
          <w:rFonts w:ascii="宋体" w:hAnsi="宋体"/>
          <w:sz w:val="24"/>
        </w:rPr>
      </w:pPr>
      <w:r>
        <w:rPr>
          <w:rFonts w:hint="eastAsia" w:ascii="宋体" w:hAnsi="宋体"/>
          <w:sz w:val="24"/>
        </w:rPr>
        <w:t>2.履约保证金在</w:t>
      </w:r>
      <w:r>
        <w:rPr>
          <w:rFonts w:hint="eastAsia" w:ascii="宋体" w:hAnsi="宋体"/>
          <w:b/>
          <w:bCs/>
          <w:iCs/>
          <w:sz w:val="24"/>
          <w:u w:val="single"/>
        </w:rPr>
        <w:t>合同专用条款</w:t>
      </w:r>
      <w:r>
        <w:rPr>
          <w:rFonts w:hint="eastAsia" w:ascii="宋体" w:hAnsi="宋体"/>
          <w:sz w:val="24"/>
        </w:rPr>
        <w:t>约定期间内不予退还或者应完全有效，前述约定期间届满之日起</w:t>
      </w:r>
      <w:r>
        <w:rPr>
          <w:rFonts w:hint="eastAsia" w:ascii="宋体" w:hAnsi="宋体"/>
          <w:sz w:val="24"/>
          <w:u w:val="single"/>
        </w:rPr>
        <w:t xml:space="preserve">    </w:t>
      </w:r>
      <w:r>
        <w:rPr>
          <w:rFonts w:hint="eastAsia" w:ascii="宋体" w:hAnsi="宋体"/>
          <w:sz w:val="24"/>
        </w:rPr>
        <w:t>个工作日内，甲方应将履约保证金退还乙方；</w:t>
      </w:r>
    </w:p>
    <w:p>
      <w:pPr>
        <w:spacing w:line="360" w:lineRule="auto"/>
        <w:ind w:firstLine="480" w:firstLineChars="200"/>
        <w:rPr>
          <w:rFonts w:ascii="宋体" w:hAnsi="宋体"/>
          <w:sz w:val="24"/>
        </w:rPr>
      </w:pPr>
      <w:r>
        <w:rPr>
          <w:rFonts w:hint="eastAsia" w:ascii="宋体" w:hAnsi="宋体"/>
          <w:sz w:val="24"/>
        </w:rPr>
        <w:t>3.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2" w:firstLineChars="200"/>
        <w:rPr>
          <w:rFonts w:ascii="宋体" w:hAnsi="宋体"/>
          <w:b/>
          <w:bCs/>
          <w:sz w:val="24"/>
        </w:rPr>
      </w:pPr>
      <w:r>
        <w:rPr>
          <w:rFonts w:hint="eastAsia" w:ascii="宋体" w:hAnsi="宋体"/>
          <w:b/>
          <w:bCs/>
          <w:sz w:val="24"/>
        </w:rPr>
        <w:t>十九、 合同份数</w:t>
      </w:r>
    </w:p>
    <w:p>
      <w:pPr>
        <w:spacing w:line="360" w:lineRule="auto"/>
        <w:ind w:firstLine="480" w:firstLineChars="200"/>
        <w:rPr>
          <w:rFonts w:ascii="宋体" w:hAnsi="宋体"/>
          <w:sz w:val="24"/>
        </w:rPr>
      </w:pPr>
      <w:r>
        <w:rPr>
          <w:rFonts w:hint="eastAsia" w:ascii="宋体" w:hAnsi="宋体"/>
          <w:sz w:val="24"/>
        </w:rPr>
        <w:t>本合同一式叁份，具有同等法律效力，甲方、乙方、代理采购机构各执壹份。</w:t>
      </w:r>
    </w:p>
    <w:p>
      <w:pPr>
        <w:autoSpaceDE w:val="0"/>
        <w:autoSpaceDN w:val="0"/>
        <w:adjustRightInd w:val="0"/>
        <w:spacing w:line="360" w:lineRule="auto"/>
        <w:jc w:val="center"/>
        <w:rPr>
          <w:rFonts w:ascii="宋体" w:hAnsi="宋体"/>
          <w:b/>
          <w:bCs/>
          <w:sz w:val="24"/>
        </w:rPr>
      </w:pPr>
      <w:r>
        <w:rPr>
          <w:rFonts w:hint="eastAsia" w:ascii="宋体" w:hAnsi="宋体"/>
          <w:sz w:val="24"/>
        </w:rPr>
        <w:br w:type="page"/>
      </w:r>
      <w:r>
        <w:rPr>
          <w:rFonts w:hint="eastAsia" w:ascii="宋体" w:hAnsi="宋体"/>
          <w:b/>
          <w:bCs/>
          <w:sz w:val="24"/>
        </w:rPr>
        <w:t>第三部分  合同专用条款</w:t>
      </w:r>
    </w:p>
    <w:p>
      <w:pPr>
        <w:spacing w:line="360" w:lineRule="auto"/>
        <w:ind w:firstLine="480" w:firstLineChars="200"/>
        <w:rPr>
          <w:rFonts w:ascii="宋体" w:hAnsi="宋体"/>
          <w:sz w:val="24"/>
        </w:rPr>
      </w:pPr>
      <w:r>
        <w:rPr>
          <w:rFonts w:hint="eastAsia" w:ascii="宋体" w:hAnsi="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1"/>
        <w:tblW w:w="8648" w:type="dxa"/>
        <w:tblInd w:w="8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44"/>
        <w:gridCol w:w="77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0" w:hRule="atLeast"/>
        </w:trPr>
        <w:tc>
          <w:tcPr>
            <w:tcW w:w="944" w:type="dxa"/>
            <w:tcBorders>
              <w:top w:val="single" w:color="auto" w:sz="6" w:space="0"/>
              <w:left w:val="single" w:color="auto" w:sz="4" w:space="0"/>
              <w:bottom w:val="single" w:color="auto" w:sz="6" w:space="0"/>
              <w:right w:val="single" w:color="auto" w:sz="6" w:space="0"/>
            </w:tcBorders>
            <w:vAlign w:val="center"/>
          </w:tcPr>
          <w:p>
            <w:pPr>
              <w:spacing w:line="560" w:lineRule="exact"/>
              <w:jc w:val="center"/>
              <w:rPr>
                <w:rFonts w:ascii="宋体" w:hAnsi="宋体"/>
                <w:b/>
                <w:bCs/>
                <w:sz w:val="24"/>
              </w:rPr>
            </w:pPr>
            <w:r>
              <w:rPr>
                <w:rFonts w:hint="eastAsia" w:ascii="宋体" w:hAnsi="宋体"/>
                <w:b/>
                <w:bCs/>
                <w:sz w:val="24"/>
              </w:rPr>
              <w:t>条款号</w:t>
            </w:r>
          </w:p>
        </w:tc>
        <w:tc>
          <w:tcPr>
            <w:tcW w:w="7704" w:type="dxa"/>
            <w:tcBorders>
              <w:top w:val="single" w:color="auto" w:sz="6" w:space="0"/>
              <w:left w:val="nil"/>
              <w:bottom w:val="single" w:color="auto" w:sz="6" w:space="0"/>
              <w:right w:val="single" w:color="auto" w:sz="6" w:space="0"/>
            </w:tcBorders>
            <w:vAlign w:val="center"/>
          </w:tcPr>
          <w:p>
            <w:pPr>
              <w:spacing w:line="560" w:lineRule="exact"/>
              <w:jc w:val="center"/>
              <w:rPr>
                <w:rFonts w:ascii="宋体" w:hAnsi="宋体"/>
                <w:b/>
                <w:bCs/>
                <w:sz w:val="24"/>
              </w:rPr>
            </w:pPr>
            <w:r>
              <w:rPr>
                <w:rFonts w:hint="eastAsia" w:ascii="宋体" w:hAnsi="宋体"/>
                <w:b/>
                <w:bCs/>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2" w:hRule="atLeast"/>
        </w:trPr>
        <w:tc>
          <w:tcPr>
            <w:tcW w:w="944"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sz w:val="24"/>
              </w:rPr>
            </w:pPr>
          </w:p>
        </w:tc>
        <w:tc>
          <w:tcPr>
            <w:tcW w:w="7704" w:type="dxa"/>
            <w:tcBorders>
              <w:top w:val="single" w:color="auto" w:sz="6" w:space="0"/>
              <w:left w:val="nil"/>
              <w:bottom w:val="single" w:color="auto" w:sz="6" w:space="0"/>
              <w:right w:val="single" w:color="auto" w:sz="6" w:space="0"/>
            </w:tcBorders>
            <w:vAlign w:val="center"/>
          </w:tcPr>
          <w:p>
            <w:pPr>
              <w:spacing w:line="56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9" w:hRule="atLeast"/>
        </w:trPr>
        <w:tc>
          <w:tcPr>
            <w:tcW w:w="944"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sz w:val="24"/>
              </w:rPr>
            </w:pPr>
          </w:p>
        </w:tc>
        <w:tc>
          <w:tcPr>
            <w:tcW w:w="7704" w:type="dxa"/>
            <w:tcBorders>
              <w:top w:val="single" w:color="auto" w:sz="6" w:space="0"/>
              <w:left w:val="nil"/>
              <w:bottom w:val="single" w:color="auto" w:sz="6" w:space="0"/>
              <w:right w:val="single" w:color="auto" w:sz="6" w:space="0"/>
            </w:tcBorders>
            <w:vAlign w:val="center"/>
          </w:tcPr>
          <w:p>
            <w:pPr>
              <w:spacing w:line="56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9" w:hRule="atLeast"/>
        </w:trPr>
        <w:tc>
          <w:tcPr>
            <w:tcW w:w="944"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sz w:val="24"/>
              </w:rPr>
            </w:pPr>
          </w:p>
        </w:tc>
        <w:tc>
          <w:tcPr>
            <w:tcW w:w="7704" w:type="dxa"/>
            <w:tcBorders>
              <w:top w:val="single" w:color="auto" w:sz="6" w:space="0"/>
              <w:left w:val="nil"/>
              <w:bottom w:val="single" w:color="auto" w:sz="6" w:space="0"/>
              <w:right w:val="single" w:color="auto" w:sz="6" w:space="0"/>
            </w:tcBorders>
            <w:vAlign w:val="center"/>
          </w:tcPr>
          <w:p>
            <w:pPr>
              <w:spacing w:line="56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9" w:hRule="atLeast"/>
        </w:trPr>
        <w:tc>
          <w:tcPr>
            <w:tcW w:w="944"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sz w:val="24"/>
              </w:rPr>
            </w:pPr>
          </w:p>
        </w:tc>
        <w:tc>
          <w:tcPr>
            <w:tcW w:w="7704" w:type="dxa"/>
            <w:tcBorders>
              <w:top w:val="single" w:color="auto" w:sz="6" w:space="0"/>
              <w:left w:val="nil"/>
              <w:bottom w:val="single" w:color="auto" w:sz="6" w:space="0"/>
              <w:right w:val="single" w:color="auto" w:sz="6" w:space="0"/>
            </w:tcBorders>
            <w:vAlign w:val="center"/>
          </w:tcPr>
          <w:p>
            <w:pPr>
              <w:spacing w:line="56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 w:hRule="atLeast"/>
        </w:trPr>
        <w:tc>
          <w:tcPr>
            <w:tcW w:w="944"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sz w:val="24"/>
              </w:rPr>
            </w:pPr>
          </w:p>
        </w:tc>
        <w:tc>
          <w:tcPr>
            <w:tcW w:w="7704" w:type="dxa"/>
            <w:tcBorders>
              <w:top w:val="single" w:color="auto" w:sz="6" w:space="0"/>
              <w:left w:val="nil"/>
              <w:bottom w:val="single" w:color="auto" w:sz="6" w:space="0"/>
              <w:right w:val="single" w:color="auto" w:sz="6" w:space="0"/>
            </w:tcBorders>
            <w:vAlign w:val="center"/>
          </w:tcPr>
          <w:p>
            <w:pPr>
              <w:spacing w:line="560" w:lineRule="exact"/>
              <w:rPr>
                <w:rFonts w:ascii="宋体" w:hAnsi="宋体"/>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 w:hRule="atLeast"/>
        </w:trPr>
        <w:tc>
          <w:tcPr>
            <w:tcW w:w="944"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sz w:val="24"/>
              </w:rPr>
            </w:pPr>
          </w:p>
        </w:tc>
        <w:tc>
          <w:tcPr>
            <w:tcW w:w="7704" w:type="dxa"/>
            <w:tcBorders>
              <w:top w:val="single" w:color="auto" w:sz="6" w:space="0"/>
              <w:left w:val="nil"/>
              <w:bottom w:val="single" w:color="auto" w:sz="6" w:space="0"/>
              <w:right w:val="single" w:color="auto" w:sz="6" w:space="0"/>
            </w:tcBorders>
            <w:vAlign w:val="center"/>
          </w:tcPr>
          <w:p>
            <w:pPr>
              <w:spacing w:line="56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9" w:hRule="atLeast"/>
        </w:trPr>
        <w:tc>
          <w:tcPr>
            <w:tcW w:w="944"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sz w:val="24"/>
              </w:rPr>
            </w:pPr>
          </w:p>
        </w:tc>
        <w:tc>
          <w:tcPr>
            <w:tcW w:w="7704" w:type="dxa"/>
            <w:tcBorders>
              <w:top w:val="single" w:color="auto" w:sz="6" w:space="0"/>
              <w:left w:val="nil"/>
              <w:bottom w:val="single" w:color="auto" w:sz="6" w:space="0"/>
              <w:right w:val="single" w:color="auto" w:sz="6" w:space="0"/>
            </w:tcBorders>
            <w:vAlign w:val="center"/>
          </w:tcPr>
          <w:p>
            <w:pPr>
              <w:spacing w:line="560" w:lineRule="exact"/>
              <w:rPr>
                <w:rFonts w:ascii="宋体" w:hAnsi="宋体"/>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 w:hRule="atLeast"/>
        </w:trPr>
        <w:tc>
          <w:tcPr>
            <w:tcW w:w="944"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sz w:val="24"/>
              </w:rPr>
            </w:pPr>
          </w:p>
        </w:tc>
        <w:tc>
          <w:tcPr>
            <w:tcW w:w="7704" w:type="dxa"/>
            <w:tcBorders>
              <w:top w:val="single" w:color="auto" w:sz="6" w:space="0"/>
              <w:left w:val="nil"/>
              <w:bottom w:val="single" w:color="auto" w:sz="6" w:space="0"/>
              <w:right w:val="single" w:color="auto" w:sz="6" w:space="0"/>
            </w:tcBorders>
            <w:vAlign w:val="center"/>
          </w:tcPr>
          <w:p>
            <w:pPr>
              <w:spacing w:line="56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 w:hRule="atLeast"/>
        </w:trPr>
        <w:tc>
          <w:tcPr>
            <w:tcW w:w="944"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sz w:val="24"/>
              </w:rPr>
            </w:pPr>
          </w:p>
        </w:tc>
        <w:tc>
          <w:tcPr>
            <w:tcW w:w="7704" w:type="dxa"/>
            <w:tcBorders>
              <w:top w:val="single" w:color="auto" w:sz="6" w:space="0"/>
              <w:left w:val="nil"/>
              <w:bottom w:val="single" w:color="auto" w:sz="6" w:space="0"/>
              <w:right w:val="single" w:color="auto" w:sz="6" w:space="0"/>
            </w:tcBorders>
            <w:vAlign w:val="center"/>
          </w:tcPr>
          <w:p>
            <w:pPr>
              <w:spacing w:line="56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 w:hRule="atLeast"/>
        </w:trPr>
        <w:tc>
          <w:tcPr>
            <w:tcW w:w="944"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sz w:val="24"/>
              </w:rPr>
            </w:pPr>
          </w:p>
        </w:tc>
        <w:tc>
          <w:tcPr>
            <w:tcW w:w="7704" w:type="dxa"/>
            <w:tcBorders>
              <w:top w:val="single" w:color="auto" w:sz="6" w:space="0"/>
              <w:left w:val="nil"/>
              <w:bottom w:val="single" w:color="auto" w:sz="6" w:space="0"/>
              <w:right w:val="single" w:color="auto" w:sz="6" w:space="0"/>
            </w:tcBorders>
            <w:vAlign w:val="center"/>
          </w:tcPr>
          <w:p>
            <w:pPr>
              <w:spacing w:line="56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 w:hRule="atLeast"/>
        </w:trPr>
        <w:tc>
          <w:tcPr>
            <w:tcW w:w="944"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sz w:val="24"/>
              </w:rPr>
            </w:pPr>
          </w:p>
        </w:tc>
        <w:tc>
          <w:tcPr>
            <w:tcW w:w="7704" w:type="dxa"/>
            <w:tcBorders>
              <w:top w:val="single" w:color="auto" w:sz="6" w:space="0"/>
              <w:left w:val="nil"/>
              <w:bottom w:val="single" w:color="auto" w:sz="6" w:space="0"/>
              <w:right w:val="single" w:color="auto" w:sz="6" w:space="0"/>
            </w:tcBorders>
            <w:vAlign w:val="center"/>
          </w:tcPr>
          <w:p>
            <w:pPr>
              <w:spacing w:line="56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 w:hRule="atLeast"/>
        </w:trPr>
        <w:tc>
          <w:tcPr>
            <w:tcW w:w="944"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sz w:val="24"/>
              </w:rPr>
            </w:pPr>
          </w:p>
        </w:tc>
        <w:tc>
          <w:tcPr>
            <w:tcW w:w="7704" w:type="dxa"/>
            <w:tcBorders>
              <w:top w:val="single" w:color="auto" w:sz="6" w:space="0"/>
              <w:left w:val="nil"/>
              <w:bottom w:val="single" w:color="auto" w:sz="6" w:space="0"/>
              <w:right w:val="single" w:color="auto" w:sz="6" w:space="0"/>
            </w:tcBorders>
            <w:vAlign w:val="center"/>
          </w:tcPr>
          <w:p>
            <w:pPr>
              <w:spacing w:line="560" w:lineRule="exact"/>
              <w:rPr>
                <w:rFonts w:ascii="宋体" w:hAnsi="宋体"/>
                <w:sz w:val="24"/>
              </w:rPr>
            </w:pPr>
          </w:p>
        </w:tc>
      </w:tr>
    </w:tbl>
    <w:p>
      <w:pPr>
        <w:widowControl/>
        <w:spacing w:line="360" w:lineRule="auto"/>
        <w:jc w:val="left"/>
        <w:rPr>
          <w:rFonts w:ascii="宋体" w:hAnsi="宋体"/>
          <w:sz w:val="24"/>
        </w:rPr>
      </w:pPr>
    </w:p>
    <w:p/>
    <w:p>
      <w:pPr>
        <w:widowControl/>
        <w:jc w:val="center"/>
        <w:rPr>
          <w:rFonts w:ascii="仿宋" w:hAnsi="仿宋" w:eastAsia="仿宋"/>
          <w:sz w:val="32"/>
          <w:szCs w:val="32"/>
        </w:rPr>
        <w:sectPr>
          <w:headerReference r:id="rId8" w:type="default"/>
          <w:footerReference r:id="rId9" w:type="default"/>
          <w:pgSz w:w="11906" w:h="16838"/>
          <w:pgMar w:top="1239" w:right="1474" w:bottom="1276" w:left="1588" w:header="567" w:footer="476" w:gutter="0"/>
          <w:pgNumType w:start="1"/>
          <w:cols w:space="425" w:num="1"/>
          <w:docGrid w:type="lines" w:linePitch="312" w:charSpace="0"/>
        </w:sectPr>
      </w:pPr>
    </w:p>
    <w:bookmarkEnd w:id="49"/>
    <w:p>
      <w:pPr>
        <w:keepNext/>
        <w:spacing w:line="360" w:lineRule="auto"/>
        <w:jc w:val="center"/>
        <w:outlineLvl w:val="0"/>
        <w:rPr>
          <w:rFonts w:ascii="黑体" w:hAnsi="黑体" w:eastAsia="黑体" w:cs="Times New Roman"/>
          <w:bCs/>
          <w:kern w:val="0"/>
          <w:sz w:val="28"/>
          <w:szCs w:val="28"/>
        </w:rPr>
      </w:pPr>
      <w:bookmarkStart w:id="75" w:name="_Toc31110"/>
      <w:bookmarkStart w:id="76" w:name="_Toc55147052"/>
      <w:r>
        <w:rPr>
          <w:rFonts w:hint="eastAsia" w:ascii="黑体" w:hAnsi="黑体" w:eastAsia="黑体" w:cs="Times New Roman"/>
          <w:bCs/>
          <w:kern w:val="0"/>
          <w:sz w:val="28"/>
          <w:szCs w:val="28"/>
        </w:rPr>
        <w:t>五．响应文件格式</w:t>
      </w:r>
      <w:bookmarkEnd w:id="75"/>
      <w:bookmarkEnd w:id="76"/>
    </w:p>
    <w:p>
      <w:pPr>
        <w:rPr>
          <w:rFonts w:ascii="黑体" w:eastAsia="黑体"/>
          <w:bCs/>
          <w:color w:val="000000" w:themeColor="text1"/>
          <w:sz w:val="32"/>
          <w14:textFill>
            <w14:solidFill>
              <w14:schemeClr w14:val="tx1"/>
            </w14:solidFill>
          </w14:textFill>
        </w:rPr>
      </w:pPr>
    </w:p>
    <w:p>
      <w:pPr>
        <w:rPr>
          <w:rFonts w:ascii="黑体" w:eastAsia="黑体"/>
          <w:bCs/>
          <w:color w:val="000000" w:themeColor="text1"/>
          <w:sz w:val="32"/>
          <w14:textFill>
            <w14:solidFill>
              <w14:schemeClr w14:val="tx1"/>
            </w14:solidFill>
          </w14:textFill>
        </w:rPr>
      </w:pPr>
    </w:p>
    <w:p>
      <w:pPr>
        <w:rPr>
          <w:rFonts w:ascii="黑体" w:eastAsia="黑体"/>
          <w:bCs/>
          <w:color w:val="000000" w:themeColor="text1"/>
          <w:sz w:val="32"/>
          <w14:textFill>
            <w14:solidFill>
              <w14:schemeClr w14:val="tx1"/>
            </w14:solidFill>
          </w14:textFill>
        </w:rPr>
      </w:pPr>
    </w:p>
    <w:p>
      <w:pPr>
        <w:rPr>
          <w:rFonts w:ascii="黑体" w:eastAsia="黑体"/>
          <w:bCs/>
          <w:color w:val="000000" w:themeColor="text1"/>
          <w:sz w:val="32"/>
          <w14:textFill>
            <w14:solidFill>
              <w14:schemeClr w14:val="tx1"/>
            </w14:solidFill>
          </w14:textFill>
        </w:rPr>
      </w:pPr>
    </w:p>
    <w:p>
      <w:pPr>
        <w:rPr>
          <w:rFonts w:ascii="黑体" w:eastAsia="黑体"/>
          <w:bCs/>
          <w:color w:val="000000" w:themeColor="text1"/>
          <w:sz w:val="32"/>
          <w14:textFill>
            <w14:solidFill>
              <w14:schemeClr w14:val="tx1"/>
            </w14:solidFill>
          </w14:textFill>
        </w:rPr>
      </w:pPr>
    </w:p>
    <w:p>
      <w:pPr>
        <w:rPr>
          <w:rFonts w:ascii="黑体" w:eastAsia="黑体"/>
          <w:bCs/>
          <w:color w:val="000000" w:themeColor="text1"/>
          <w:sz w:val="32"/>
          <w14:textFill>
            <w14:solidFill>
              <w14:schemeClr w14:val="tx1"/>
            </w14:solidFill>
          </w14:textFill>
        </w:rPr>
      </w:pPr>
    </w:p>
    <w:p>
      <w:pPr>
        <w:jc w:val="center"/>
        <w:rPr>
          <w:rFonts w:ascii="黑体" w:eastAsia="黑体"/>
          <w:bCs/>
          <w:color w:val="000000" w:themeColor="text1"/>
          <w:sz w:val="84"/>
          <w:szCs w:val="84"/>
          <w14:textFill>
            <w14:solidFill>
              <w14:schemeClr w14:val="tx1"/>
            </w14:solidFill>
          </w14:textFill>
        </w:rPr>
      </w:pPr>
      <w:bookmarkStart w:id="77" w:name="_Toc55147053"/>
      <w:r>
        <w:rPr>
          <w:rFonts w:hint="eastAsia" w:ascii="黑体" w:eastAsia="黑体"/>
          <w:bCs/>
          <w:color w:val="000000" w:themeColor="text1"/>
          <w:sz w:val="84"/>
          <w:szCs w:val="84"/>
          <w14:textFill>
            <w14:solidFill>
              <w14:schemeClr w14:val="tx1"/>
            </w14:solidFill>
          </w14:textFill>
        </w:rPr>
        <w:t>响 应 文 件</w:t>
      </w:r>
    </w:p>
    <w:p>
      <w:pPr>
        <w:jc w:val="center"/>
        <w:rPr>
          <w:rFonts w:ascii="黑体" w:eastAsia="黑体"/>
          <w:bCs/>
          <w:color w:val="000000" w:themeColor="text1"/>
          <w:sz w:val="72"/>
          <w14:textFill>
            <w14:solidFill>
              <w14:schemeClr w14:val="tx1"/>
            </w14:solidFill>
          </w14:textFill>
        </w:rPr>
      </w:pPr>
    </w:p>
    <w:p>
      <w:pPr>
        <w:jc w:val="center"/>
        <w:rPr>
          <w:rFonts w:ascii="楷体_GB2312" w:eastAsia="楷体_GB2312"/>
          <w:bCs/>
          <w:color w:val="000000" w:themeColor="text1"/>
          <w:sz w:val="72"/>
          <w14:textFill>
            <w14:solidFill>
              <w14:schemeClr w14:val="tx1"/>
            </w14:solidFill>
          </w14:textFill>
        </w:rPr>
      </w:pPr>
    </w:p>
    <w:p>
      <w:pPr>
        <w:jc w:val="center"/>
        <w:rPr>
          <w:rFonts w:ascii="楷体_GB2312" w:eastAsia="楷体_GB2312"/>
          <w:bCs/>
          <w:color w:val="000000" w:themeColor="text1"/>
          <w:sz w:val="72"/>
          <w14:textFill>
            <w14:solidFill>
              <w14:schemeClr w14:val="tx1"/>
            </w14:solidFill>
          </w14:textFill>
        </w:rPr>
      </w:pPr>
    </w:p>
    <w:p>
      <w:pPr>
        <w:rPr>
          <w:rFonts w:ascii="楷体_GB2312" w:eastAsia="楷体_GB2312"/>
          <w:bCs/>
          <w:color w:val="000000" w:themeColor="text1"/>
          <w:sz w:val="72"/>
          <w14:textFill>
            <w14:solidFill>
              <w14:schemeClr w14:val="tx1"/>
            </w14:solidFill>
          </w14:textFill>
        </w:rPr>
      </w:pPr>
    </w:p>
    <w:p>
      <w:pPr>
        <w:jc w:val="center"/>
        <w:rPr>
          <w:rFonts w:ascii="楷体_GB2312" w:eastAsia="楷体_GB2312"/>
          <w:bCs/>
          <w:color w:val="000000" w:themeColor="text1"/>
          <w:sz w:val="28"/>
          <w14:textFill>
            <w14:solidFill>
              <w14:schemeClr w14:val="tx1"/>
            </w14:solidFill>
          </w14:textFill>
        </w:rPr>
      </w:pPr>
    </w:p>
    <w:p>
      <w:pPr>
        <w:jc w:val="center"/>
        <w:rPr>
          <w:rFonts w:ascii="黑体" w:eastAsia="黑体"/>
          <w:bCs/>
          <w:color w:val="000000" w:themeColor="text1"/>
          <w:sz w:val="36"/>
          <w:szCs w:val="36"/>
          <w14:textFill>
            <w14:solidFill>
              <w14:schemeClr w14:val="tx1"/>
            </w14:solidFill>
          </w14:textFill>
        </w:rPr>
      </w:pPr>
      <w:r>
        <w:rPr>
          <w:rFonts w:hint="eastAsia" w:ascii="黑体" w:eastAsia="黑体"/>
          <w:bCs/>
          <w:color w:val="000000" w:themeColor="text1"/>
          <w:sz w:val="36"/>
          <w:szCs w:val="36"/>
          <w14:textFill>
            <w14:solidFill>
              <w14:schemeClr w14:val="tx1"/>
            </w14:solidFill>
          </w14:textFill>
        </w:rPr>
        <w:t>项 目 编 号：</w:t>
      </w:r>
    </w:p>
    <w:p>
      <w:pPr>
        <w:jc w:val="center"/>
        <w:rPr>
          <w:rFonts w:ascii="黑体" w:eastAsia="黑体"/>
          <w:bCs/>
          <w:color w:val="000000" w:themeColor="text1"/>
          <w:sz w:val="36"/>
          <w:szCs w:val="36"/>
          <w14:textFill>
            <w14:solidFill>
              <w14:schemeClr w14:val="tx1"/>
            </w14:solidFill>
          </w14:textFill>
        </w:rPr>
      </w:pPr>
      <w:r>
        <w:rPr>
          <w:rFonts w:hint="eastAsia" w:ascii="黑体" w:eastAsia="黑体"/>
          <w:bCs/>
          <w:color w:val="000000" w:themeColor="text1"/>
          <w:sz w:val="36"/>
          <w:szCs w:val="36"/>
          <w14:textFill>
            <w14:solidFill>
              <w14:schemeClr w14:val="tx1"/>
            </w14:solidFill>
          </w14:textFill>
        </w:rPr>
        <w:t>项 目 名 称：</w:t>
      </w:r>
    </w:p>
    <w:p>
      <w:pPr>
        <w:jc w:val="center"/>
        <w:rPr>
          <w:rFonts w:ascii="黑体" w:eastAsia="黑体"/>
          <w:bCs/>
          <w:color w:val="000000" w:themeColor="text1"/>
          <w:sz w:val="36"/>
          <w:szCs w:val="36"/>
          <w14:textFill>
            <w14:solidFill>
              <w14:schemeClr w14:val="tx1"/>
            </w14:solidFill>
          </w14:textFill>
        </w:rPr>
      </w:pPr>
      <w:r>
        <w:rPr>
          <w:rFonts w:hint="eastAsia" w:ascii="黑体" w:eastAsia="黑体"/>
          <w:bCs/>
          <w:color w:val="000000" w:themeColor="text1"/>
          <w:sz w:val="36"/>
          <w:szCs w:val="36"/>
          <w14:textFill>
            <w14:solidFill>
              <w14:schemeClr w14:val="tx1"/>
            </w14:solidFill>
          </w14:textFill>
        </w:rPr>
        <w:t xml:space="preserve">报 </w:t>
      </w:r>
      <w:r>
        <w:rPr>
          <w:rFonts w:ascii="黑体" w:eastAsia="黑体"/>
          <w:bCs/>
          <w:color w:val="000000" w:themeColor="text1"/>
          <w:sz w:val="36"/>
          <w:szCs w:val="36"/>
          <w14:textFill>
            <w14:solidFill>
              <w14:schemeClr w14:val="tx1"/>
            </w14:solidFill>
          </w14:textFill>
        </w:rPr>
        <w:t xml:space="preserve">  </w:t>
      </w:r>
      <w:r>
        <w:rPr>
          <w:rFonts w:hint="eastAsia" w:ascii="黑体" w:eastAsia="黑体"/>
          <w:bCs/>
          <w:color w:val="000000" w:themeColor="text1"/>
          <w:sz w:val="36"/>
          <w:szCs w:val="36"/>
          <w14:textFill>
            <w14:solidFill>
              <w14:schemeClr w14:val="tx1"/>
            </w14:solidFill>
          </w14:textFill>
        </w:rPr>
        <w:t xml:space="preserve">价 </w:t>
      </w:r>
      <w:r>
        <w:rPr>
          <w:rFonts w:ascii="黑体" w:eastAsia="黑体"/>
          <w:bCs/>
          <w:color w:val="000000" w:themeColor="text1"/>
          <w:sz w:val="36"/>
          <w:szCs w:val="36"/>
          <w14:textFill>
            <w14:solidFill>
              <w14:schemeClr w14:val="tx1"/>
            </w14:solidFill>
          </w14:textFill>
        </w:rPr>
        <w:t xml:space="preserve"> </w:t>
      </w:r>
      <w:r>
        <w:rPr>
          <w:rFonts w:hint="eastAsia" w:ascii="黑体" w:eastAsia="黑体"/>
          <w:bCs/>
          <w:color w:val="000000" w:themeColor="text1"/>
          <w:sz w:val="36"/>
          <w:szCs w:val="36"/>
          <w14:textFill>
            <w14:solidFill>
              <w14:schemeClr w14:val="tx1"/>
            </w14:solidFill>
          </w14:textFill>
        </w:rPr>
        <w:t>人：</w:t>
      </w:r>
    </w:p>
    <w:p>
      <w:pPr>
        <w:jc w:val="center"/>
        <w:rPr>
          <w:rFonts w:ascii="黑体" w:eastAsia="黑体"/>
          <w:bCs/>
          <w:color w:val="000000" w:themeColor="text1"/>
          <w:sz w:val="36"/>
          <w:szCs w:val="36"/>
          <w14:textFill>
            <w14:solidFill>
              <w14:schemeClr w14:val="tx1"/>
            </w14:solidFill>
          </w14:textFill>
        </w:rPr>
      </w:pPr>
      <w:r>
        <w:rPr>
          <w:rFonts w:hint="eastAsia" w:ascii="黑体" w:eastAsia="黑体"/>
          <w:bCs/>
          <w:color w:val="000000" w:themeColor="text1"/>
          <w:sz w:val="36"/>
          <w:szCs w:val="36"/>
          <w14:textFill>
            <w14:solidFill>
              <w14:schemeClr w14:val="tx1"/>
            </w14:solidFill>
          </w14:textFill>
        </w:rPr>
        <w:t>日       期：</w:t>
      </w:r>
    </w:p>
    <w:p>
      <w:pPr>
        <w:widowControl/>
        <w:jc w:val="left"/>
        <w:rPr>
          <w:rFonts w:ascii="黑体" w:eastAsia="黑体"/>
          <w:bCs/>
          <w:color w:val="000000" w:themeColor="text1"/>
          <w:sz w:val="36"/>
          <w:szCs w:val="36"/>
          <w14:textFill>
            <w14:solidFill>
              <w14:schemeClr w14:val="tx1"/>
            </w14:solidFill>
          </w14:textFill>
        </w:rPr>
      </w:pPr>
    </w:p>
    <w:p>
      <w:pPr>
        <w:widowControl/>
        <w:jc w:val="left"/>
        <w:rPr>
          <w:rFonts w:ascii="黑体" w:hAnsi="黑体" w:eastAsia="黑体"/>
          <w:sz w:val="24"/>
          <w:szCs w:val="24"/>
        </w:rPr>
      </w:pPr>
      <w:r>
        <w:rPr>
          <w:rFonts w:ascii="黑体" w:hAnsi="黑体" w:eastAsia="黑体"/>
          <w:sz w:val="24"/>
          <w:szCs w:val="24"/>
        </w:rPr>
        <w:br w:type="page"/>
      </w:r>
      <w:bookmarkEnd w:id="77"/>
    </w:p>
    <w:p>
      <w:pPr>
        <w:spacing w:line="360" w:lineRule="auto"/>
        <w:rPr>
          <w:rFonts w:ascii="黑体" w:hAnsi="黑体" w:eastAsia="黑体"/>
          <w:sz w:val="28"/>
          <w:szCs w:val="28"/>
        </w:rPr>
      </w:pPr>
      <w:r>
        <w:rPr>
          <w:rFonts w:hint="eastAsia" w:ascii="黑体" w:hAnsi="黑体" w:eastAsia="黑体"/>
          <w:sz w:val="28"/>
          <w:szCs w:val="28"/>
        </w:rPr>
        <w:t>一、供应商情况说明</w:t>
      </w:r>
    </w:p>
    <w:p>
      <w:pPr>
        <w:snapToGrid w:val="0"/>
        <w:spacing w:line="360" w:lineRule="auto"/>
        <w:ind w:firstLine="480" w:firstLineChars="200"/>
        <w:rPr>
          <w:rFonts w:ascii="宋体" w:hAnsi="宋体"/>
          <w:sz w:val="24"/>
          <w:szCs w:val="24"/>
        </w:rPr>
      </w:pPr>
      <w:r>
        <w:rPr>
          <w:rFonts w:hint="eastAsia" w:ascii="宋体" w:hAnsi="宋体"/>
          <w:sz w:val="24"/>
          <w:szCs w:val="24"/>
        </w:rPr>
        <w:t>供应商简要情况介绍，含供应商规模、银行资信、技术能力及装备水平等、人员情况、典型项目等。供应商自行以文字形式说明。</w:t>
      </w:r>
    </w:p>
    <w:p>
      <w:pPr>
        <w:snapToGrid w:val="0"/>
        <w:spacing w:line="360" w:lineRule="auto"/>
        <w:rPr>
          <w:rFonts w:ascii="宋体" w:hAnsi="宋体"/>
          <w:sz w:val="24"/>
          <w:szCs w:val="24"/>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widowControl/>
        <w:jc w:val="left"/>
        <w:rPr>
          <w:rFonts w:ascii="黑体" w:hAnsi="黑体" w:eastAsia="黑体"/>
          <w:sz w:val="28"/>
          <w:szCs w:val="28"/>
        </w:rPr>
      </w:pPr>
      <w:r>
        <w:rPr>
          <w:rFonts w:ascii="黑体" w:hAnsi="黑体" w:eastAsia="黑体"/>
          <w:sz w:val="28"/>
          <w:szCs w:val="28"/>
        </w:rPr>
        <w:br w:type="page"/>
      </w:r>
    </w:p>
    <w:p>
      <w:pPr>
        <w:spacing w:line="360" w:lineRule="auto"/>
        <w:rPr>
          <w:rFonts w:ascii="黑体" w:hAnsi="黑体" w:eastAsia="黑体"/>
          <w:sz w:val="28"/>
          <w:szCs w:val="28"/>
        </w:rPr>
      </w:pPr>
      <w:r>
        <w:rPr>
          <w:rFonts w:hint="eastAsia" w:ascii="黑体" w:hAnsi="黑体" w:eastAsia="黑体"/>
          <w:sz w:val="28"/>
          <w:szCs w:val="28"/>
        </w:rPr>
        <w:t>二、资格审查响应对照表</w:t>
      </w:r>
    </w:p>
    <w:tbl>
      <w:tblPr>
        <w:tblStyle w:val="31"/>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953"/>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序号</w:t>
            </w:r>
          </w:p>
        </w:tc>
        <w:tc>
          <w:tcPr>
            <w:tcW w:w="5447" w:type="dxa"/>
            <w:vAlign w:val="center"/>
          </w:tcPr>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资格审查响应内容</w:t>
            </w:r>
          </w:p>
        </w:tc>
        <w:tc>
          <w:tcPr>
            <w:tcW w:w="1953" w:type="dxa"/>
            <w:vAlign w:val="center"/>
          </w:tcPr>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是否响应</w:t>
            </w:r>
          </w:p>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（填是或者否）</w:t>
            </w:r>
          </w:p>
        </w:tc>
        <w:tc>
          <w:tcPr>
            <w:tcW w:w="1785" w:type="dxa"/>
            <w:vAlign w:val="center"/>
          </w:tcPr>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响应文件中</w:t>
            </w:r>
          </w:p>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831" w:type="dxa"/>
            <w:gridSpan w:val="4"/>
            <w:vAlign w:val="center"/>
          </w:tcPr>
          <w:p>
            <w:pPr>
              <w:rPr>
                <w:rFonts w:asciiTheme="minorEastAsia" w:hAnsiTheme="minorEastAsia"/>
                <w:b/>
                <w:sz w:val="24"/>
                <w:szCs w:val="24"/>
              </w:rPr>
            </w:pPr>
            <w:r>
              <w:rPr>
                <w:rFonts w:hint="eastAsia" w:asciiTheme="minorEastAsia" w:hAnsiTheme="minorEastAsia"/>
                <w:b/>
                <w:sz w:val="24"/>
                <w:szCs w:val="24"/>
              </w:rPr>
              <w:t>通用资格条件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1</w:t>
            </w:r>
          </w:p>
        </w:tc>
        <w:tc>
          <w:tcPr>
            <w:tcW w:w="5447" w:type="dxa"/>
            <w:vAlign w:val="center"/>
          </w:tcPr>
          <w:p>
            <w:pPr>
              <w:spacing w:line="0" w:lineRule="atLeast"/>
              <w:rPr>
                <w:rFonts w:asciiTheme="minorEastAsia" w:hAnsiTheme="minorEastAsia"/>
                <w:iCs/>
                <w:sz w:val="24"/>
                <w:szCs w:val="24"/>
              </w:rPr>
            </w:pPr>
            <w:r>
              <w:rPr>
                <w:rFonts w:hint="eastAsia" w:asciiTheme="minorEastAsia" w:hAnsiTheme="minorEastAsia"/>
                <w:iCs/>
                <w:sz w:val="24"/>
                <w:szCs w:val="24"/>
              </w:rPr>
              <w:t>法定代表人资格证明书/法定代表人授权委托书</w:t>
            </w:r>
          </w:p>
        </w:tc>
        <w:tc>
          <w:tcPr>
            <w:tcW w:w="1953" w:type="dxa"/>
            <w:vAlign w:val="center"/>
          </w:tcPr>
          <w:p>
            <w:pPr>
              <w:rPr>
                <w:rFonts w:asciiTheme="minorEastAsia" w:hAnsiTheme="minorEastAsia"/>
                <w:b/>
                <w:sz w:val="24"/>
                <w:szCs w:val="24"/>
              </w:rPr>
            </w:pPr>
          </w:p>
        </w:tc>
        <w:tc>
          <w:tcPr>
            <w:tcW w:w="1785" w:type="dxa"/>
            <w:vAlign w:val="center"/>
          </w:tcPr>
          <w:p>
            <w:pPr>
              <w:rPr>
                <w:rFonts w:asciiTheme="minorEastAsia" w:hAnsi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2</w:t>
            </w:r>
          </w:p>
        </w:tc>
        <w:tc>
          <w:tcPr>
            <w:tcW w:w="5447" w:type="dxa"/>
            <w:vAlign w:val="center"/>
          </w:tcPr>
          <w:p>
            <w:pPr>
              <w:spacing w:line="0" w:lineRule="atLeast"/>
              <w:rPr>
                <w:rFonts w:asciiTheme="minorEastAsia" w:hAnsiTheme="minorEastAsia"/>
                <w:iCs/>
                <w:sz w:val="24"/>
                <w:szCs w:val="24"/>
              </w:rPr>
            </w:pPr>
            <w:r>
              <w:rPr>
                <w:rFonts w:hint="eastAsia" w:asciiTheme="minorEastAsia" w:hAnsiTheme="minorEastAsia"/>
                <w:iCs/>
                <w:sz w:val="24"/>
                <w:szCs w:val="24"/>
              </w:rPr>
              <w:t>具有独立承担民事责任能力的供应商营业执照或相关部门的登记证明文件复印件</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3</w:t>
            </w:r>
          </w:p>
        </w:tc>
        <w:tc>
          <w:tcPr>
            <w:tcW w:w="5447" w:type="dxa"/>
            <w:vAlign w:val="center"/>
          </w:tcPr>
          <w:p>
            <w:pPr>
              <w:snapToGrid w:val="0"/>
              <w:spacing w:line="0" w:lineRule="atLeast"/>
              <w:rPr>
                <w:rFonts w:asciiTheme="minorEastAsia" w:hAnsiTheme="minorEastAsia"/>
                <w:iCs/>
                <w:sz w:val="24"/>
                <w:szCs w:val="24"/>
              </w:rPr>
            </w:pPr>
            <w:r>
              <w:rPr>
                <w:rFonts w:hint="eastAsia" w:ascii="宋体" w:hAnsi="宋体"/>
                <w:sz w:val="24"/>
              </w:rPr>
              <w:t>具备履行合同所必需的设备和专业技术能力的书面声明</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4</w:t>
            </w:r>
          </w:p>
        </w:tc>
        <w:tc>
          <w:tcPr>
            <w:tcW w:w="5447" w:type="dxa"/>
            <w:vAlign w:val="center"/>
          </w:tcPr>
          <w:p>
            <w:pPr>
              <w:snapToGrid w:val="0"/>
              <w:spacing w:line="0" w:lineRule="atLeast"/>
              <w:rPr>
                <w:rFonts w:asciiTheme="minorEastAsia" w:hAnsiTheme="minorEastAsia"/>
                <w:iCs/>
                <w:sz w:val="24"/>
                <w:szCs w:val="24"/>
              </w:rPr>
            </w:pPr>
            <w:r>
              <w:rPr>
                <w:rFonts w:hint="eastAsia" w:ascii="宋体" w:hAnsi="宋体"/>
                <w:sz w:val="24"/>
              </w:rPr>
              <w:t>参加采购活动前 3 年内在经营活动中没有重大违法记录的书面声明</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pPr>
              <w:jc w:val="center"/>
              <w:rPr>
                <w:rFonts w:asciiTheme="minorEastAsia" w:hAnsiTheme="minorEastAsia"/>
                <w:sz w:val="24"/>
                <w:szCs w:val="24"/>
              </w:rPr>
            </w:pPr>
            <w:r>
              <w:rPr>
                <w:rFonts w:asciiTheme="minorEastAsia" w:hAnsiTheme="minorEastAsia"/>
                <w:sz w:val="24"/>
                <w:szCs w:val="24"/>
              </w:rPr>
              <w:t>…</w:t>
            </w:r>
          </w:p>
        </w:tc>
        <w:tc>
          <w:tcPr>
            <w:tcW w:w="5447" w:type="dxa"/>
            <w:vAlign w:val="center"/>
          </w:tcPr>
          <w:p>
            <w:pPr>
              <w:snapToGrid w:val="0"/>
              <w:spacing w:line="0" w:lineRule="atLeast"/>
              <w:rPr>
                <w:rFonts w:asciiTheme="minorEastAsia" w:hAnsiTheme="minorEastAsia"/>
                <w:iCs/>
                <w:sz w:val="24"/>
                <w:szCs w:val="24"/>
              </w:rPr>
            </w:pPr>
            <w:r>
              <w:rPr>
                <w:rFonts w:asciiTheme="minorEastAsia" w:hAnsiTheme="minorEastAsia"/>
                <w:iCs/>
                <w:sz w:val="24"/>
                <w:szCs w:val="24"/>
              </w:rPr>
              <w:t>……</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31" w:type="dxa"/>
            <w:gridSpan w:val="4"/>
            <w:vAlign w:val="center"/>
          </w:tcPr>
          <w:p>
            <w:pPr>
              <w:rPr>
                <w:rFonts w:asciiTheme="minorEastAsia" w:hAnsiTheme="minorEastAsia"/>
                <w:sz w:val="24"/>
                <w:szCs w:val="24"/>
              </w:rPr>
            </w:pPr>
            <w:r>
              <w:rPr>
                <w:rFonts w:hint="eastAsia" w:asciiTheme="minorEastAsia" w:hAnsiTheme="minorEastAsia"/>
                <w:b/>
                <w:sz w:val="24"/>
                <w:szCs w:val="24"/>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5</w:t>
            </w:r>
          </w:p>
        </w:tc>
        <w:tc>
          <w:tcPr>
            <w:tcW w:w="5447" w:type="dxa"/>
            <w:vAlign w:val="center"/>
          </w:tcPr>
          <w:p>
            <w:pPr>
              <w:snapToGrid w:val="0"/>
              <w:spacing w:line="0" w:lineRule="atLeast"/>
              <w:jc w:val="left"/>
              <w:rPr>
                <w:rFonts w:asciiTheme="minorEastAsia" w:hAnsiTheme="minorEastAsia"/>
                <w:iCs/>
                <w:sz w:val="24"/>
                <w:szCs w:val="24"/>
              </w:rPr>
            </w:pPr>
            <w:r>
              <w:rPr>
                <w:rFonts w:hint="eastAsia" w:asciiTheme="minorEastAsia" w:hAnsiTheme="minorEastAsia"/>
                <w:iCs/>
                <w:sz w:val="24"/>
                <w:szCs w:val="24"/>
              </w:rPr>
              <w:t>未被“信用中国”网站（www.creditchina.gov.cn）列入失信被执行人、重大税收违法案件当事人名单、政府采购严重失信行为记录名单（提供网页截图）</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jc w:val="center"/>
              <w:rPr>
                <w:rFonts w:ascii="宋体" w:hAnsi="宋体"/>
              </w:rPr>
            </w:pPr>
            <w:r>
              <w:rPr>
                <w:rFonts w:hint="eastAsia" w:ascii="宋体" w:hAnsi="宋体"/>
              </w:rPr>
              <w:t>6</w:t>
            </w:r>
          </w:p>
        </w:tc>
        <w:tc>
          <w:tcPr>
            <w:tcW w:w="5447" w:type="dxa"/>
            <w:vAlign w:val="center"/>
          </w:tcPr>
          <w:p>
            <w:pPr>
              <w:snapToGrid w:val="0"/>
              <w:spacing w:line="0" w:lineRule="atLeast"/>
              <w:jc w:val="left"/>
              <w:rPr>
                <w:rFonts w:hint="eastAsia" w:ascii="宋体" w:hAnsi="宋体" w:eastAsiaTheme="minorEastAsia"/>
                <w:sz w:val="24"/>
                <w:lang w:val="en-US" w:eastAsia="zh-CN"/>
              </w:rPr>
            </w:pPr>
            <w:r>
              <w:rPr>
                <w:rFonts w:hint="eastAsia" w:ascii="宋体" w:hAnsi="宋体"/>
                <w:sz w:val="24"/>
                <w:lang w:val="en-US" w:eastAsia="zh-CN"/>
              </w:rPr>
              <w:t>采购人要求的特定资质证明（详见“谈判邀请函”-“申请人的资格要求”）</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831" w:type="dxa"/>
            <w:gridSpan w:val="4"/>
            <w:vAlign w:val="center"/>
          </w:tcPr>
          <w:p>
            <w:pPr>
              <w:rPr>
                <w:rFonts w:asciiTheme="minorEastAsia" w:hAnsiTheme="minorEastAsia"/>
                <w:sz w:val="24"/>
                <w:szCs w:val="24"/>
              </w:rPr>
            </w:pPr>
            <w:r>
              <w:rPr>
                <w:rFonts w:hint="eastAsia" w:asciiTheme="minorEastAsia" w:hAnsiTheme="minorEastAsia"/>
                <w:b/>
                <w:sz w:val="24"/>
                <w:szCs w:val="24"/>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7</w:t>
            </w:r>
          </w:p>
        </w:tc>
        <w:tc>
          <w:tcPr>
            <w:tcW w:w="5447" w:type="dxa"/>
            <w:vAlign w:val="center"/>
          </w:tcPr>
          <w:p>
            <w:pPr>
              <w:snapToGrid w:val="0"/>
              <w:spacing w:line="0" w:lineRule="atLeast"/>
              <w:jc w:val="left"/>
              <w:rPr>
                <w:rFonts w:asciiTheme="minorEastAsia" w:hAnsiTheme="minorEastAsia"/>
                <w:iCs/>
                <w:sz w:val="24"/>
                <w:szCs w:val="24"/>
              </w:rPr>
            </w:pPr>
            <w:r>
              <w:rPr>
                <w:rFonts w:asciiTheme="minorEastAsia" w:hAnsiTheme="minorEastAsia"/>
                <w:iCs/>
                <w:sz w:val="24"/>
                <w:szCs w:val="24"/>
              </w:rPr>
              <w:t>关于</w:t>
            </w:r>
            <w:r>
              <w:rPr>
                <w:rFonts w:hint="eastAsia" w:asciiTheme="minorEastAsia" w:hAnsiTheme="minorEastAsia"/>
                <w:iCs/>
                <w:sz w:val="24"/>
                <w:szCs w:val="24"/>
              </w:rPr>
              <w:t>资格的声明函</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8</w:t>
            </w:r>
          </w:p>
        </w:tc>
        <w:tc>
          <w:tcPr>
            <w:tcW w:w="5447" w:type="dxa"/>
            <w:vAlign w:val="center"/>
          </w:tcPr>
          <w:p>
            <w:pPr>
              <w:snapToGrid w:val="0"/>
              <w:spacing w:line="0" w:lineRule="atLeast"/>
              <w:jc w:val="left"/>
              <w:rPr>
                <w:rFonts w:asciiTheme="minorEastAsia" w:hAnsiTheme="minorEastAsia"/>
                <w:iCs/>
                <w:sz w:val="24"/>
                <w:szCs w:val="24"/>
              </w:rPr>
            </w:pPr>
            <w:r>
              <w:rPr>
                <w:rFonts w:hint="eastAsia" w:asciiTheme="minorEastAsia" w:hAnsiTheme="minorEastAsia"/>
                <w:iCs/>
                <w:sz w:val="24"/>
                <w:szCs w:val="24"/>
              </w:rPr>
              <w:t>响应函</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jc w:val="center"/>
              <w:rPr>
                <w:rFonts w:asciiTheme="minorEastAsia" w:hAnsiTheme="minorEastAsia"/>
                <w:sz w:val="24"/>
                <w:szCs w:val="24"/>
              </w:rPr>
            </w:pPr>
          </w:p>
        </w:tc>
        <w:tc>
          <w:tcPr>
            <w:tcW w:w="5447" w:type="dxa"/>
            <w:vAlign w:val="center"/>
          </w:tcPr>
          <w:p>
            <w:pPr>
              <w:snapToGrid w:val="0"/>
              <w:spacing w:line="0" w:lineRule="atLeast"/>
              <w:jc w:val="left"/>
              <w:rPr>
                <w:rFonts w:asciiTheme="minorEastAsia" w:hAnsiTheme="minorEastAsia"/>
                <w:iCs/>
                <w:sz w:val="24"/>
                <w:szCs w:val="24"/>
              </w:rPr>
            </w:pPr>
            <w:r>
              <w:rPr>
                <w:rFonts w:asciiTheme="minorEastAsia" w:hAnsiTheme="minorEastAsia"/>
                <w:iCs/>
                <w:sz w:val="24"/>
                <w:szCs w:val="24"/>
              </w:rPr>
              <w:t>……</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bl>
    <w:p>
      <w:pPr>
        <w:spacing w:line="360" w:lineRule="auto"/>
        <w:rPr>
          <w:rFonts w:ascii="宋体" w:hAnsi="宋体"/>
          <w:b/>
          <w:sz w:val="30"/>
          <w:szCs w:val="30"/>
          <w:u w:val="single"/>
        </w:rPr>
      </w:pPr>
    </w:p>
    <w:p>
      <w:pPr>
        <w:spacing w:line="360" w:lineRule="auto"/>
        <w:rPr>
          <w:rFonts w:ascii="宋体" w:hAnsi="宋体"/>
          <w:b/>
          <w:sz w:val="30"/>
          <w:szCs w:val="30"/>
          <w:u w:val="single"/>
        </w:rPr>
      </w:pPr>
    </w:p>
    <w:p>
      <w:pPr>
        <w:spacing w:line="360" w:lineRule="auto"/>
        <w:rPr>
          <w:rFonts w:ascii="宋体" w:hAnsi="宋体"/>
          <w:b/>
          <w:sz w:val="30"/>
          <w:szCs w:val="30"/>
          <w:u w:val="single"/>
        </w:rPr>
      </w:pPr>
    </w:p>
    <w:p>
      <w:pPr>
        <w:jc w:val="center"/>
        <w:rPr>
          <w:rFonts w:ascii="宋体" w:hAnsi="宋体"/>
          <w:b/>
          <w:sz w:val="24"/>
          <w:szCs w:val="24"/>
        </w:rPr>
      </w:pPr>
    </w:p>
    <w:p>
      <w:pPr>
        <w:jc w:val="center"/>
        <w:rPr>
          <w:rFonts w:ascii="宋体" w:hAnsi="宋体"/>
          <w:b/>
          <w:sz w:val="24"/>
          <w:szCs w:val="24"/>
        </w:rPr>
      </w:pPr>
    </w:p>
    <w:p>
      <w:pPr>
        <w:jc w:val="center"/>
        <w:rPr>
          <w:rFonts w:ascii="宋体" w:hAnsi="宋体"/>
          <w:b/>
          <w:sz w:val="24"/>
          <w:szCs w:val="24"/>
        </w:rPr>
      </w:pPr>
    </w:p>
    <w:p>
      <w:pPr>
        <w:rPr>
          <w:rFonts w:ascii="宋体" w:hAnsi="宋体"/>
          <w:b/>
          <w:sz w:val="24"/>
          <w:szCs w:val="24"/>
        </w:rPr>
      </w:pPr>
    </w:p>
    <w:p>
      <w:pPr>
        <w:widowControl/>
        <w:jc w:val="left"/>
        <w:rPr>
          <w:rFonts w:ascii="宋体" w:hAnsi="宋体"/>
          <w:b/>
          <w:sz w:val="24"/>
          <w:szCs w:val="24"/>
        </w:rPr>
      </w:pPr>
    </w:p>
    <w:p>
      <w:pPr>
        <w:widowControl/>
        <w:jc w:val="left"/>
        <w:rPr>
          <w:rFonts w:ascii="宋体" w:hAnsi="宋体"/>
          <w:b/>
          <w:sz w:val="24"/>
          <w:szCs w:val="24"/>
        </w:rPr>
      </w:pPr>
      <w:r>
        <w:rPr>
          <w:rFonts w:ascii="宋体" w:hAnsi="宋体"/>
          <w:b/>
          <w:sz w:val="24"/>
          <w:szCs w:val="24"/>
        </w:rPr>
        <w:br w:type="page"/>
      </w:r>
    </w:p>
    <w:p>
      <w:pPr>
        <w:spacing w:line="360" w:lineRule="auto"/>
        <w:rPr>
          <w:rFonts w:ascii="黑体" w:hAnsi="黑体" w:eastAsia="黑体"/>
          <w:bCs/>
          <w:color w:val="000000" w:themeColor="text1"/>
          <w:sz w:val="28"/>
          <w:szCs w:val="28"/>
          <w14:textFill>
            <w14:solidFill>
              <w14:schemeClr w14:val="tx1"/>
            </w14:solidFill>
          </w14:textFill>
        </w:rPr>
      </w:pPr>
      <w:r>
        <w:rPr>
          <w:rFonts w:hint="eastAsia" w:ascii="黑体" w:hAnsi="黑体" w:eastAsia="黑体"/>
          <w:sz w:val="28"/>
          <w:szCs w:val="28"/>
        </w:rPr>
        <w:t>三、</w:t>
      </w:r>
      <w:r>
        <w:rPr>
          <w:rFonts w:hint="eastAsia" w:ascii="黑体" w:hAnsi="黑体" w:eastAsia="黑体"/>
          <w:bCs/>
          <w:color w:val="000000" w:themeColor="text1"/>
          <w:sz w:val="28"/>
          <w:szCs w:val="28"/>
          <w14:textFill>
            <w14:solidFill>
              <w14:schemeClr w14:val="tx1"/>
            </w14:solidFill>
          </w14:textFill>
        </w:rPr>
        <w:t>报价一览表</w:t>
      </w:r>
    </w:p>
    <w:p>
      <w:pPr>
        <w:spacing w:line="360" w:lineRule="auto"/>
        <w:rPr>
          <w:rFonts w:ascii="黑体" w:eastAsia="黑体"/>
          <w:bCs/>
          <w:color w:val="000000" w:themeColor="text1"/>
          <w:sz w:val="24"/>
          <w:szCs w:val="24"/>
          <w14:textFill>
            <w14:solidFill>
              <w14:schemeClr w14:val="tx1"/>
            </w14:solidFill>
          </w14:textFill>
        </w:rPr>
      </w:pPr>
    </w:p>
    <w:p>
      <w:pPr>
        <w:spacing w:line="360" w:lineRule="auto"/>
        <w:rPr>
          <w:rFonts w:ascii="黑体" w:eastAsia="黑体"/>
          <w:bCs/>
          <w:color w:val="000000" w:themeColor="text1"/>
          <w:sz w:val="24"/>
          <w:szCs w:val="24"/>
          <w14:textFill>
            <w14:solidFill>
              <w14:schemeClr w14:val="tx1"/>
            </w14:solidFill>
          </w14:textFill>
        </w:rPr>
      </w:pPr>
      <w:r>
        <w:rPr>
          <w:rFonts w:hint="eastAsia" w:ascii="黑体" w:eastAsia="黑体"/>
          <w:bCs/>
          <w:color w:val="000000" w:themeColor="text1"/>
          <w:sz w:val="24"/>
          <w:szCs w:val="24"/>
          <w14:textFill>
            <w14:solidFill>
              <w14:schemeClr w14:val="tx1"/>
            </w14:solidFill>
          </w14:textFill>
        </w:rPr>
        <w:t>供应商名称（盖章）：</w:t>
      </w:r>
      <w:r>
        <w:rPr>
          <w:rFonts w:hint="eastAsia" w:ascii="黑体" w:eastAsia="黑体"/>
          <w:bCs/>
          <w:color w:val="000000" w:themeColor="text1"/>
          <w:sz w:val="24"/>
          <w:szCs w:val="24"/>
          <w:u w:val="single"/>
          <w14:textFill>
            <w14:solidFill>
              <w14:schemeClr w14:val="tx1"/>
            </w14:solidFill>
          </w14:textFill>
        </w:rPr>
        <w:t xml:space="preserve">              </w:t>
      </w:r>
    </w:p>
    <w:p>
      <w:pPr>
        <w:spacing w:line="360" w:lineRule="auto"/>
        <w:rPr>
          <w:rFonts w:ascii="黑体" w:eastAsia="黑体"/>
          <w:bCs/>
          <w:color w:val="000000" w:themeColor="text1"/>
          <w:sz w:val="24"/>
          <w:szCs w:val="24"/>
          <w:u w:val="single"/>
          <w14:textFill>
            <w14:solidFill>
              <w14:schemeClr w14:val="tx1"/>
            </w14:solidFill>
          </w14:textFill>
        </w:rPr>
      </w:pPr>
      <w:r>
        <w:rPr>
          <w:rFonts w:hint="eastAsia" w:ascii="黑体" w:eastAsia="黑体"/>
          <w:bCs/>
          <w:color w:val="000000" w:themeColor="text1"/>
          <w:sz w:val="24"/>
          <w:szCs w:val="24"/>
          <w14:textFill>
            <w14:solidFill>
              <w14:schemeClr w14:val="tx1"/>
            </w14:solidFill>
          </w14:textFill>
        </w:rPr>
        <w:t>采购项目编号：</w:t>
      </w:r>
      <w:r>
        <w:rPr>
          <w:rFonts w:hint="eastAsia" w:ascii="黑体" w:eastAsia="黑体"/>
          <w:bCs/>
          <w:color w:val="000000" w:themeColor="text1"/>
          <w:sz w:val="24"/>
          <w:szCs w:val="24"/>
          <w:u w:val="single"/>
          <w14:textFill>
            <w14:solidFill>
              <w14:schemeClr w14:val="tx1"/>
            </w14:solidFill>
          </w14:textFill>
        </w:rPr>
        <w:t xml:space="preserve">                   </w:t>
      </w:r>
    </w:p>
    <w:p>
      <w:pPr>
        <w:spacing w:line="360" w:lineRule="auto"/>
        <w:rPr>
          <w:rFonts w:ascii="黑体" w:eastAsia="黑体"/>
          <w:bCs/>
          <w:color w:val="000000" w:themeColor="text1"/>
          <w:sz w:val="24"/>
          <w:szCs w:val="24"/>
          <w14:textFill>
            <w14:solidFill>
              <w14:schemeClr w14:val="tx1"/>
            </w14:solidFill>
          </w14:textFill>
        </w:rPr>
      </w:pPr>
    </w:p>
    <w:tbl>
      <w:tblPr>
        <w:tblStyle w:val="31"/>
        <w:tblW w:w="1008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5"/>
        <w:gridCol w:w="4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65" w:type="dxa"/>
            <w:vAlign w:val="center"/>
          </w:tcPr>
          <w:p>
            <w:pPr>
              <w:autoSpaceDE w:val="0"/>
              <w:autoSpaceDN w:val="0"/>
              <w:adjustRightInd w:val="0"/>
              <w:jc w:val="center"/>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项目名称</w:t>
            </w:r>
          </w:p>
        </w:tc>
        <w:tc>
          <w:tcPr>
            <w:tcW w:w="4515" w:type="dxa"/>
            <w:vAlign w:val="center"/>
          </w:tcPr>
          <w:p>
            <w:pPr>
              <w:autoSpaceDE w:val="0"/>
              <w:autoSpaceDN w:val="0"/>
              <w:adjustRightInd w:val="0"/>
              <w:jc w:val="center"/>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总报价</w:t>
            </w:r>
            <w:r>
              <w:rPr>
                <w:rFonts w:ascii="宋体" w:hAnsi="宋体"/>
                <w:b/>
                <w:bCs/>
                <w:color w:val="000000" w:themeColor="text1"/>
                <w:sz w:val="24"/>
                <w:szCs w:val="24"/>
                <w14:textFill>
                  <w14:solidFill>
                    <w14:schemeClr w14:val="tx1"/>
                  </w14:solidFill>
                </w14:textFill>
              </w:rPr>
              <w:t>(</w:t>
            </w:r>
            <w:r>
              <w:rPr>
                <w:rFonts w:hint="eastAsia" w:ascii="宋体" w:hAnsi="宋体"/>
                <w:b/>
                <w:bCs/>
                <w:color w:val="000000" w:themeColor="text1"/>
                <w:sz w:val="24"/>
                <w:szCs w:val="24"/>
                <w14:textFill>
                  <w14:solidFill>
                    <w14:schemeClr w14:val="tx1"/>
                  </w14:solidFill>
                </w14:textFill>
              </w:rPr>
              <w:t>小写</w:t>
            </w:r>
            <w:r>
              <w:rPr>
                <w:rFonts w:ascii="宋体" w:hAnsi="宋体"/>
                <w:b/>
                <w:bCs/>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trPr>
        <w:tc>
          <w:tcPr>
            <w:tcW w:w="5565" w:type="dxa"/>
            <w:vAlign w:val="center"/>
          </w:tcPr>
          <w:p>
            <w:pPr>
              <w:spacing w:line="400" w:lineRule="exact"/>
              <w:jc w:val="center"/>
              <w:rPr>
                <w:rFonts w:ascii="宋体" w:hAnsi="宋体" w:eastAsia="宋体" w:cs="Times New Roman"/>
                <w:bCs/>
                <w:color w:val="000000" w:themeColor="text1"/>
                <w:kern w:val="0"/>
                <w:sz w:val="24"/>
                <w:szCs w:val="24"/>
                <w:u w:color="000000"/>
                <w14:textFill>
                  <w14:solidFill>
                    <w14:schemeClr w14:val="tx1"/>
                  </w14:solidFill>
                </w14:textFill>
              </w:rPr>
            </w:pPr>
          </w:p>
        </w:tc>
        <w:tc>
          <w:tcPr>
            <w:tcW w:w="4515" w:type="dxa"/>
            <w:vAlign w:val="center"/>
          </w:tcPr>
          <w:p>
            <w:pPr>
              <w:rPr>
                <w:rFonts w:ascii="宋体" w:hAnsi="宋体" w:eastAsia="宋体" w:cs="Times New Roman"/>
                <w:b/>
                <w:color w:val="000000" w:themeColor="text1"/>
                <w:kern w:val="0"/>
                <w:sz w:val="24"/>
                <w:szCs w:val="24"/>
                <w:u w:color="00000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0080" w:type="dxa"/>
            <w:gridSpan w:val="2"/>
            <w:vAlign w:val="center"/>
          </w:tcPr>
          <w:p>
            <w:pPr>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总报价（大写）</w:t>
            </w:r>
            <w:r>
              <w:rPr>
                <w:rFonts w:hint="eastAsia" w:asciiTheme="minorEastAsia" w:hAnsiTheme="minorEastAsia"/>
                <w:bCs/>
                <w:color w:val="000000" w:themeColor="text1"/>
                <w:kern w:val="0"/>
                <w:sz w:val="24"/>
                <w:szCs w:val="24"/>
                <w:u w:color="000000"/>
                <w14:textFill>
                  <w14:solidFill>
                    <w14:schemeClr w14:val="tx1"/>
                  </w14:solidFill>
                </w14:textFill>
              </w:rPr>
              <w:t>：　　　</w:t>
            </w:r>
          </w:p>
        </w:tc>
      </w:tr>
    </w:tbl>
    <w:p>
      <w:pPr>
        <w:spacing w:before="5"/>
        <w:rPr>
          <w:b/>
          <w:bCs/>
          <w:color w:val="000000" w:themeColor="text1"/>
          <w:sz w:val="24"/>
          <w:szCs w:val="24"/>
          <w14:textFill>
            <w14:solidFill>
              <w14:schemeClr w14:val="tx1"/>
            </w14:solidFill>
          </w14:textFill>
        </w:rPr>
      </w:pPr>
    </w:p>
    <w:p>
      <w:pPr>
        <w:spacing w:before="5"/>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法定代表人或被授权代表（签字或盖章）：</w:t>
      </w:r>
      <w:r>
        <w:rPr>
          <w:rFonts w:hint="eastAsia"/>
          <w:b/>
          <w:bCs/>
          <w:color w:val="000000" w:themeColor="text1"/>
          <w:sz w:val="24"/>
          <w:szCs w:val="24"/>
          <w:u w:val="single"/>
          <w14:textFill>
            <w14:solidFill>
              <w14:schemeClr w14:val="tx1"/>
            </w14:solidFill>
          </w14:textFill>
        </w:rPr>
        <w:t xml:space="preserve">                               </w:t>
      </w:r>
      <w:r>
        <w:rPr>
          <w:rFonts w:hint="eastAsia"/>
          <w:b/>
          <w:bCs/>
          <w:color w:val="000000" w:themeColor="text1"/>
          <w:sz w:val="24"/>
          <w:szCs w:val="24"/>
          <w14:textFill>
            <w14:solidFill>
              <w14:schemeClr w14:val="tx1"/>
            </w14:solidFill>
          </w14:textFill>
        </w:rPr>
        <w:t xml:space="preserve"> </w:t>
      </w:r>
    </w:p>
    <w:p>
      <w:pPr>
        <w:spacing w:line="400" w:lineRule="exact"/>
        <w:rPr>
          <w:rFonts w:ascii="黑体" w:eastAsia="黑体"/>
          <w:bCs/>
          <w:color w:val="000000" w:themeColor="text1"/>
          <w:sz w:val="32"/>
          <w14:textFill>
            <w14:solidFill>
              <w14:schemeClr w14:val="tx1"/>
            </w14:solidFill>
          </w14:textFill>
        </w:rPr>
      </w:pPr>
    </w:p>
    <w:p>
      <w:pPr>
        <w:rPr>
          <w:rFonts w:ascii="黑体" w:hAnsi="黑体" w:eastAsia="黑体"/>
          <w:sz w:val="28"/>
          <w:szCs w:val="28"/>
        </w:rPr>
      </w:pPr>
      <w:r>
        <w:rPr>
          <w:rFonts w:ascii="宋体" w:hAnsi="宋体"/>
          <w:b/>
          <w:sz w:val="44"/>
        </w:rPr>
        <w:br w:type="page"/>
      </w:r>
      <w:r>
        <w:rPr>
          <w:rFonts w:hint="eastAsia" w:ascii="黑体" w:hAnsi="黑体" w:eastAsia="黑体"/>
          <w:sz w:val="28"/>
          <w:szCs w:val="28"/>
        </w:rPr>
        <w:t>四、明细报价表</w:t>
      </w:r>
    </w:p>
    <w:p>
      <w:pPr>
        <w:spacing w:line="400" w:lineRule="exact"/>
        <w:rPr>
          <w:rFonts w:asciiTheme="minorEastAsia" w:hAnsiTheme="minorEastAsia"/>
          <w:bCs/>
          <w:color w:val="000000" w:themeColor="text1"/>
          <w:sz w:val="24"/>
          <w:szCs w:val="24"/>
          <w:u w:val="single"/>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供应商名称（盖章）：</w:t>
      </w:r>
      <w:r>
        <w:rPr>
          <w:rFonts w:hint="eastAsia" w:asciiTheme="minorEastAsia" w:hAnsiTheme="minorEastAsia"/>
          <w:bCs/>
          <w:color w:val="000000" w:themeColor="text1"/>
          <w:sz w:val="24"/>
          <w:szCs w:val="24"/>
          <w:u w:val="single"/>
          <w14:textFill>
            <w14:solidFill>
              <w14:schemeClr w14:val="tx1"/>
            </w14:solidFill>
          </w14:textFill>
        </w:rPr>
        <w:t xml:space="preserve">                         </w:t>
      </w:r>
      <w:r>
        <w:rPr>
          <w:rFonts w:hint="eastAsia" w:asciiTheme="minorEastAsia" w:hAnsiTheme="minorEastAsia"/>
          <w:bCs/>
          <w:color w:val="000000" w:themeColor="text1"/>
          <w:sz w:val="24"/>
          <w:szCs w:val="24"/>
          <w14:textFill>
            <w14:solidFill>
              <w14:schemeClr w14:val="tx1"/>
            </w14:solidFill>
          </w14:textFill>
        </w:rPr>
        <w:t xml:space="preserve">     采购项目编号：</w:t>
      </w:r>
      <w:r>
        <w:rPr>
          <w:rFonts w:hint="eastAsia" w:asciiTheme="minorEastAsia" w:hAnsiTheme="minorEastAsia"/>
          <w:bCs/>
          <w:color w:val="000000" w:themeColor="text1"/>
          <w:sz w:val="24"/>
          <w:szCs w:val="24"/>
          <w:u w:val="single"/>
          <w14:textFill>
            <w14:solidFill>
              <w14:schemeClr w14:val="tx1"/>
            </w14:solidFill>
          </w14:textFill>
        </w:rPr>
        <w:t xml:space="preserve">              </w:t>
      </w:r>
    </w:p>
    <w:p>
      <w:pPr>
        <w:spacing w:line="400" w:lineRule="exact"/>
        <w:rPr>
          <w:rFonts w:ascii="黑体" w:eastAsia="黑体"/>
          <w:bCs/>
          <w:color w:val="000000" w:themeColor="text1"/>
          <w:sz w:val="24"/>
          <w:szCs w:val="24"/>
          <w14:textFill>
            <w14:solidFill>
              <w14:schemeClr w14:val="tx1"/>
            </w14:solidFill>
          </w14:textFill>
        </w:rPr>
      </w:pP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25"/>
        <w:gridCol w:w="1573"/>
        <w:gridCol w:w="4995"/>
        <w:gridCol w:w="1124"/>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5" w:hRule="atLeast"/>
        </w:trPr>
        <w:tc>
          <w:tcPr>
            <w:tcW w:w="566" w:type="pct"/>
            <w:noWrap/>
            <w:tcMar>
              <w:top w:w="15" w:type="dxa"/>
              <w:left w:w="15" w:type="dxa"/>
              <w:bottom w:w="0" w:type="dxa"/>
              <w:right w:w="15" w:type="dxa"/>
            </w:tcMar>
            <w:vAlign w:val="center"/>
          </w:tcPr>
          <w:p>
            <w:pPr>
              <w:spacing w:before="5"/>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序号</w:t>
            </w:r>
          </w:p>
        </w:tc>
        <w:tc>
          <w:tcPr>
            <w:tcW w:w="791" w:type="pct"/>
            <w:noWrap/>
            <w:tcMar>
              <w:top w:w="15" w:type="dxa"/>
              <w:left w:w="15" w:type="dxa"/>
              <w:bottom w:w="0" w:type="dxa"/>
              <w:right w:w="15" w:type="dxa"/>
            </w:tcMar>
            <w:vAlign w:val="center"/>
          </w:tcPr>
          <w:p>
            <w:pPr>
              <w:spacing w:before="5"/>
              <w:jc w:val="center"/>
              <w:rPr>
                <w:color w:val="000000" w:themeColor="text1"/>
                <w:sz w:val="24"/>
                <w:szCs w:val="24"/>
                <w:u w:color="FF0000"/>
                <w14:textFill>
                  <w14:solidFill>
                    <w14:schemeClr w14:val="tx1"/>
                  </w14:solidFill>
                </w14:textFill>
              </w:rPr>
            </w:pPr>
            <w:r>
              <w:rPr>
                <w:rFonts w:hint="eastAsia"/>
                <w:color w:val="000000" w:themeColor="text1"/>
                <w:sz w:val="24"/>
                <w:szCs w:val="24"/>
                <w14:textFill>
                  <w14:solidFill>
                    <w14:schemeClr w14:val="tx1"/>
                  </w14:solidFill>
                </w14:textFill>
              </w:rPr>
              <w:t>项目名称</w:t>
            </w:r>
          </w:p>
        </w:tc>
        <w:tc>
          <w:tcPr>
            <w:tcW w:w="2512" w:type="pct"/>
            <w:tcMar>
              <w:top w:w="15" w:type="dxa"/>
              <w:left w:w="15" w:type="dxa"/>
              <w:bottom w:w="0" w:type="dxa"/>
              <w:right w:w="15" w:type="dxa"/>
            </w:tcMar>
            <w:vAlign w:val="center"/>
          </w:tcPr>
          <w:p>
            <w:pPr>
              <w:spacing w:before="5"/>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数量</w:t>
            </w:r>
          </w:p>
        </w:tc>
        <w:tc>
          <w:tcPr>
            <w:tcW w:w="565" w:type="pct"/>
            <w:vAlign w:val="center"/>
          </w:tcPr>
          <w:p>
            <w:pPr>
              <w:spacing w:before="5"/>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单价</w:t>
            </w:r>
          </w:p>
        </w:tc>
        <w:tc>
          <w:tcPr>
            <w:tcW w:w="565" w:type="pct"/>
            <w:vAlign w:val="center"/>
          </w:tcPr>
          <w:p>
            <w:pPr>
              <w:spacing w:before="5"/>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2" w:hRule="atLeast"/>
        </w:trPr>
        <w:tc>
          <w:tcPr>
            <w:tcW w:w="566" w:type="pct"/>
            <w:noWrap/>
            <w:tcMar>
              <w:top w:w="15" w:type="dxa"/>
              <w:left w:w="15" w:type="dxa"/>
              <w:bottom w:w="0" w:type="dxa"/>
              <w:right w:w="15" w:type="dxa"/>
            </w:tcMar>
            <w:vAlign w:val="center"/>
          </w:tcPr>
          <w:p>
            <w:pPr>
              <w:spacing w:before="5"/>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w:t>
            </w:r>
          </w:p>
        </w:tc>
        <w:tc>
          <w:tcPr>
            <w:tcW w:w="791" w:type="pct"/>
            <w:noWrap/>
            <w:tcMar>
              <w:top w:w="15" w:type="dxa"/>
              <w:left w:w="15" w:type="dxa"/>
              <w:bottom w:w="0" w:type="dxa"/>
              <w:right w:w="15" w:type="dxa"/>
            </w:tcMar>
            <w:vAlign w:val="center"/>
          </w:tcPr>
          <w:p>
            <w:pPr>
              <w:jc w:val="center"/>
              <w:rPr>
                <w:rFonts w:cs="Times New Roman" w:asciiTheme="minorEastAsia" w:hAnsiTheme="minorEastAsia"/>
                <w:bCs/>
                <w:color w:val="000000" w:themeColor="text1"/>
                <w:szCs w:val="21"/>
                <w14:textFill>
                  <w14:solidFill>
                    <w14:schemeClr w14:val="tx1"/>
                  </w14:solidFill>
                </w14:textFill>
              </w:rPr>
            </w:pPr>
          </w:p>
        </w:tc>
        <w:tc>
          <w:tcPr>
            <w:tcW w:w="2512" w:type="pct"/>
            <w:tcMar>
              <w:top w:w="15" w:type="dxa"/>
              <w:left w:w="15" w:type="dxa"/>
              <w:bottom w:w="0" w:type="dxa"/>
              <w:right w:w="15" w:type="dxa"/>
            </w:tcMar>
            <w:vAlign w:val="center"/>
          </w:tcPr>
          <w:p>
            <w:pPr>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　</w:t>
            </w:r>
          </w:p>
        </w:tc>
        <w:tc>
          <w:tcPr>
            <w:tcW w:w="565" w:type="pct"/>
            <w:vAlign w:val="center"/>
          </w:tcPr>
          <w:p>
            <w:pPr>
              <w:jc w:val="center"/>
              <w:rPr>
                <w:rFonts w:asciiTheme="minorEastAsia" w:hAnsiTheme="minorEastAsia"/>
                <w:b/>
                <w:bCs/>
                <w:color w:val="000000" w:themeColor="text1"/>
                <w:szCs w:val="21"/>
                <w14:textFill>
                  <w14:solidFill>
                    <w14:schemeClr w14:val="tx1"/>
                  </w14:solidFill>
                </w14:textFill>
              </w:rPr>
            </w:pPr>
          </w:p>
        </w:tc>
        <w:tc>
          <w:tcPr>
            <w:tcW w:w="565" w:type="pct"/>
            <w:vAlign w:val="center"/>
          </w:tcPr>
          <w:p>
            <w:pPr>
              <w:jc w:val="center"/>
              <w:rPr>
                <w:rFonts w:asciiTheme="minorEastAsia" w:hAnsiTheme="minorEastAsia"/>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4" w:hRule="atLeast"/>
        </w:trPr>
        <w:tc>
          <w:tcPr>
            <w:tcW w:w="566" w:type="pct"/>
            <w:noWrap/>
            <w:tcMar>
              <w:top w:w="15" w:type="dxa"/>
              <w:left w:w="15" w:type="dxa"/>
              <w:bottom w:w="0" w:type="dxa"/>
              <w:right w:w="15" w:type="dxa"/>
            </w:tcMar>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w:t>
            </w:r>
          </w:p>
        </w:tc>
        <w:tc>
          <w:tcPr>
            <w:tcW w:w="791" w:type="pct"/>
            <w:noWrap/>
            <w:tcMar>
              <w:top w:w="15" w:type="dxa"/>
              <w:left w:w="15" w:type="dxa"/>
              <w:bottom w:w="0" w:type="dxa"/>
              <w:right w:w="15" w:type="dxa"/>
            </w:tcMar>
            <w:vAlign w:val="center"/>
          </w:tcPr>
          <w:p>
            <w:pPr>
              <w:jc w:val="center"/>
              <w:rPr>
                <w:rFonts w:asciiTheme="minorEastAsia" w:hAnsiTheme="minorEastAsia"/>
                <w:color w:val="000000" w:themeColor="text1"/>
                <w:szCs w:val="21"/>
                <w14:textFill>
                  <w14:solidFill>
                    <w14:schemeClr w14:val="tx1"/>
                  </w14:solidFill>
                </w14:textFill>
              </w:rPr>
            </w:pPr>
          </w:p>
        </w:tc>
        <w:tc>
          <w:tcPr>
            <w:tcW w:w="2512" w:type="pct"/>
            <w:tcMar>
              <w:top w:w="15" w:type="dxa"/>
              <w:left w:w="15" w:type="dxa"/>
              <w:bottom w:w="0" w:type="dxa"/>
              <w:right w:w="15" w:type="dxa"/>
            </w:tcMar>
            <w:vAlign w:val="center"/>
          </w:tcPr>
          <w:p>
            <w:pPr>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　</w:t>
            </w:r>
          </w:p>
        </w:tc>
        <w:tc>
          <w:tcPr>
            <w:tcW w:w="565" w:type="pct"/>
            <w:vAlign w:val="center"/>
          </w:tcPr>
          <w:p>
            <w:pPr>
              <w:jc w:val="center"/>
              <w:rPr>
                <w:rFonts w:asciiTheme="minorEastAsia" w:hAnsiTheme="minorEastAsia"/>
                <w:b/>
                <w:bCs/>
                <w:color w:val="000000" w:themeColor="text1"/>
                <w:szCs w:val="21"/>
                <w14:textFill>
                  <w14:solidFill>
                    <w14:schemeClr w14:val="tx1"/>
                  </w14:solidFill>
                </w14:textFill>
              </w:rPr>
            </w:pPr>
          </w:p>
        </w:tc>
        <w:tc>
          <w:tcPr>
            <w:tcW w:w="565" w:type="pct"/>
            <w:vAlign w:val="center"/>
          </w:tcPr>
          <w:p>
            <w:pPr>
              <w:jc w:val="center"/>
              <w:rPr>
                <w:rFonts w:asciiTheme="minorEastAsia" w:hAnsiTheme="minorEastAsia"/>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4" w:hRule="atLeast"/>
        </w:trPr>
        <w:tc>
          <w:tcPr>
            <w:tcW w:w="566" w:type="pct"/>
            <w:noWrap/>
            <w:tcMar>
              <w:top w:w="15" w:type="dxa"/>
              <w:left w:w="15" w:type="dxa"/>
              <w:bottom w:w="0" w:type="dxa"/>
              <w:right w:w="15" w:type="dxa"/>
            </w:tcMar>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w:t>
            </w:r>
          </w:p>
        </w:tc>
        <w:tc>
          <w:tcPr>
            <w:tcW w:w="791" w:type="pct"/>
            <w:noWrap/>
            <w:tcMar>
              <w:top w:w="15" w:type="dxa"/>
              <w:left w:w="15" w:type="dxa"/>
              <w:bottom w:w="0" w:type="dxa"/>
              <w:right w:w="15" w:type="dxa"/>
            </w:tcMar>
            <w:vAlign w:val="center"/>
          </w:tcPr>
          <w:p>
            <w:pPr>
              <w:jc w:val="center"/>
              <w:rPr>
                <w:rFonts w:asciiTheme="minorEastAsia" w:hAnsiTheme="minorEastAsia"/>
                <w:color w:val="000000" w:themeColor="text1"/>
                <w:szCs w:val="21"/>
                <w14:textFill>
                  <w14:solidFill>
                    <w14:schemeClr w14:val="tx1"/>
                  </w14:solidFill>
                </w14:textFill>
              </w:rPr>
            </w:pPr>
          </w:p>
        </w:tc>
        <w:tc>
          <w:tcPr>
            <w:tcW w:w="2512" w:type="pct"/>
            <w:tcMar>
              <w:top w:w="15" w:type="dxa"/>
              <w:left w:w="15" w:type="dxa"/>
              <w:bottom w:w="0" w:type="dxa"/>
              <w:right w:w="15" w:type="dxa"/>
            </w:tcMar>
            <w:vAlign w:val="center"/>
          </w:tcPr>
          <w:p>
            <w:pPr>
              <w:jc w:val="center"/>
              <w:rPr>
                <w:rFonts w:asciiTheme="minorEastAsia" w:hAnsiTheme="minorEastAsia"/>
                <w:b/>
                <w:bCs/>
                <w:color w:val="000000" w:themeColor="text1"/>
                <w:szCs w:val="21"/>
                <w14:textFill>
                  <w14:solidFill>
                    <w14:schemeClr w14:val="tx1"/>
                  </w14:solidFill>
                </w14:textFill>
              </w:rPr>
            </w:pPr>
          </w:p>
        </w:tc>
        <w:tc>
          <w:tcPr>
            <w:tcW w:w="565" w:type="pct"/>
            <w:vAlign w:val="center"/>
          </w:tcPr>
          <w:p>
            <w:pPr>
              <w:jc w:val="center"/>
              <w:rPr>
                <w:rFonts w:asciiTheme="minorEastAsia" w:hAnsiTheme="minorEastAsia"/>
                <w:b/>
                <w:bCs/>
                <w:color w:val="000000" w:themeColor="text1"/>
                <w:szCs w:val="21"/>
                <w14:textFill>
                  <w14:solidFill>
                    <w14:schemeClr w14:val="tx1"/>
                  </w14:solidFill>
                </w14:textFill>
              </w:rPr>
            </w:pPr>
          </w:p>
        </w:tc>
        <w:tc>
          <w:tcPr>
            <w:tcW w:w="565" w:type="pct"/>
            <w:vAlign w:val="center"/>
          </w:tcPr>
          <w:p>
            <w:pPr>
              <w:jc w:val="center"/>
              <w:rPr>
                <w:rFonts w:asciiTheme="minorEastAsia" w:hAnsiTheme="minorEastAsia"/>
                <w:b/>
                <w:bCs/>
                <w:color w:val="000000" w:themeColor="text1"/>
                <w:szCs w:val="21"/>
                <w14:textFill>
                  <w14:solidFill>
                    <w14:schemeClr w14:val="tx1"/>
                  </w14:solidFill>
                </w14:textFill>
              </w:rPr>
            </w:pPr>
          </w:p>
        </w:tc>
      </w:tr>
    </w:tbl>
    <w:p>
      <w:pPr>
        <w:spacing w:before="5"/>
        <w:rPr>
          <w:b/>
          <w:bCs/>
          <w:color w:val="000000" w:themeColor="text1"/>
          <w:sz w:val="24"/>
          <w:szCs w:val="24"/>
          <w14:textFill>
            <w14:solidFill>
              <w14:schemeClr w14:val="tx1"/>
            </w14:solidFill>
          </w14:textFill>
        </w:rPr>
      </w:pPr>
    </w:p>
    <w:p>
      <w:pPr>
        <w:spacing w:before="5"/>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法定代表人或被授权代表（签字或盖章）：</w:t>
      </w:r>
      <w:r>
        <w:rPr>
          <w:rFonts w:hint="eastAsia"/>
          <w:b/>
          <w:bCs/>
          <w:color w:val="000000" w:themeColor="text1"/>
          <w:sz w:val="24"/>
          <w:szCs w:val="24"/>
          <w:u w:val="single"/>
          <w14:textFill>
            <w14:solidFill>
              <w14:schemeClr w14:val="tx1"/>
            </w14:solidFill>
          </w14:textFill>
        </w:rPr>
        <w:t xml:space="preserve">                               </w:t>
      </w:r>
      <w:r>
        <w:rPr>
          <w:rFonts w:hint="eastAsia"/>
          <w:b/>
          <w:bCs/>
          <w:color w:val="000000" w:themeColor="text1"/>
          <w:sz w:val="24"/>
          <w:szCs w:val="24"/>
          <w14:textFill>
            <w14:solidFill>
              <w14:schemeClr w14:val="tx1"/>
            </w14:solidFill>
          </w14:textFill>
        </w:rPr>
        <w:t xml:space="preserve"> </w:t>
      </w:r>
    </w:p>
    <w:p>
      <w:pPr>
        <w:rPr>
          <w:rFonts w:ascii="宋体" w:hAnsi="宋体" w:eastAsia="宋体"/>
          <w:b/>
          <w:sz w:val="24"/>
          <w:szCs w:val="24"/>
        </w:rPr>
      </w:pPr>
    </w:p>
    <w:p>
      <w:pPr>
        <w:rPr>
          <w:rFonts w:ascii="宋体" w:hAnsi="宋体" w:eastAsia="宋体"/>
          <w:bCs/>
          <w:sz w:val="24"/>
          <w:szCs w:val="24"/>
        </w:rPr>
      </w:pPr>
      <w:r>
        <w:rPr>
          <w:rFonts w:hint="eastAsia" w:ascii="宋体" w:hAnsi="宋体" w:eastAsia="宋体"/>
          <w:b/>
          <w:sz w:val="24"/>
          <w:szCs w:val="24"/>
        </w:rPr>
        <w:t>注：</w:t>
      </w:r>
      <w:r>
        <w:rPr>
          <w:rFonts w:hint="eastAsia" w:ascii="宋体" w:hAnsi="宋体" w:eastAsia="宋体"/>
          <w:bCs/>
          <w:sz w:val="24"/>
          <w:szCs w:val="24"/>
        </w:rPr>
        <w:t>（</w:t>
      </w:r>
      <w:r>
        <w:rPr>
          <w:rFonts w:ascii="宋体" w:hAnsi="宋体" w:eastAsia="宋体"/>
          <w:bCs/>
          <w:sz w:val="24"/>
          <w:szCs w:val="24"/>
        </w:rPr>
        <w:t>1</w:t>
      </w:r>
      <w:r>
        <w:rPr>
          <w:rFonts w:hint="eastAsia" w:ascii="宋体" w:hAnsi="宋体" w:eastAsia="宋体"/>
          <w:bCs/>
          <w:sz w:val="24"/>
          <w:szCs w:val="24"/>
        </w:rPr>
        <w:t>）供应商应当根据“项目技术要求和有关说明”的内容在上表中详细填写；</w:t>
      </w:r>
    </w:p>
    <w:p>
      <w:pPr>
        <w:ind w:firstLine="360" w:firstLineChars="150"/>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2</w:t>
      </w:r>
      <w:r>
        <w:rPr>
          <w:rFonts w:hint="eastAsia" w:ascii="宋体" w:hAnsi="宋体" w:eastAsia="宋体"/>
          <w:bCs/>
          <w:sz w:val="24"/>
          <w:szCs w:val="24"/>
        </w:rPr>
        <w:t>）表格不够可自行延长。</w:t>
      </w:r>
    </w:p>
    <w:p>
      <w:pPr>
        <w:widowControl/>
        <w:jc w:val="left"/>
        <w:rPr>
          <w:rFonts w:ascii="黑体" w:hAnsi="宋体" w:eastAsia="黑体"/>
          <w:bCs/>
          <w:sz w:val="24"/>
          <w:szCs w:val="24"/>
        </w:rPr>
      </w:pPr>
      <w:r>
        <w:rPr>
          <w:rFonts w:ascii="黑体" w:hAnsi="宋体" w:eastAsia="黑体"/>
          <w:bCs/>
          <w:sz w:val="24"/>
          <w:szCs w:val="24"/>
        </w:rPr>
        <w:br w:type="page"/>
      </w:r>
    </w:p>
    <w:p>
      <w:pPr>
        <w:spacing w:line="360" w:lineRule="auto"/>
        <w:rPr>
          <w:rFonts w:ascii="黑体" w:hAnsi="黑体" w:eastAsia="黑体"/>
          <w:sz w:val="28"/>
          <w:szCs w:val="28"/>
        </w:rPr>
      </w:pPr>
      <w:r>
        <w:rPr>
          <w:rFonts w:hint="eastAsia" w:ascii="黑体" w:hAnsi="黑体" w:eastAsia="黑体"/>
          <w:sz w:val="28"/>
          <w:szCs w:val="28"/>
        </w:rPr>
        <w:t>五、技术参数响应及偏离表</w:t>
      </w:r>
    </w:p>
    <w:p>
      <w:pPr>
        <w:jc w:val="center"/>
        <w:rPr>
          <w:rFonts w:ascii="宋体"/>
          <w:bCs/>
          <w:color w:val="000000" w:themeColor="text1"/>
          <w14:textFill>
            <w14:solidFill>
              <w14:schemeClr w14:val="tx1"/>
            </w14:solidFill>
          </w14:textFill>
        </w:rPr>
      </w:pPr>
    </w:p>
    <w:p>
      <w:pPr>
        <w:jc w:val="center"/>
        <w:rPr>
          <w:rFonts w:ascii="宋体"/>
          <w:bCs/>
          <w:color w:val="000000" w:themeColor="text1"/>
          <w14:textFill>
            <w14:solidFill>
              <w14:schemeClr w14:val="tx1"/>
            </w14:solidFill>
          </w14:textFill>
        </w:rPr>
      </w:pPr>
    </w:p>
    <w:p>
      <w:pPr>
        <w:spacing w:line="400" w:lineRule="exact"/>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供应商名称（盖章）：</w:t>
      </w:r>
      <w:r>
        <w:rPr>
          <w:rFonts w:hint="eastAsia" w:asciiTheme="minorEastAsia" w:hAnsiTheme="minorEastAsia"/>
          <w:bCs/>
          <w:color w:val="000000" w:themeColor="text1"/>
          <w:sz w:val="24"/>
          <w:szCs w:val="24"/>
          <w:u w:val="single"/>
          <w14:textFill>
            <w14:solidFill>
              <w14:schemeClr w14:val="tx1"/>
            </w14:solidFill>
          </w14:textFill>
        </w:rPr>
        <w:t xml:space="preserve">                        </w:t>
      </w:r>
      <w:r>
        <w:rPr>
          <w:rFonts w:hint="eastAsia" w:asciiTheme="minorEastAsia" w:hAnsiTheme="minorEastAsia"/>
          <w:bCs/>
          <w:color w:val="000000" w:themeColor="text1"/>
          <w:sz w:val="24"/>
          <w:szCs w:val="24"/>
          <w14:textFill>
            <w14:solidFill>
              <w14:schemeClr w14:val="tx1"/>
            </w14:solidFill>
          </w14:textFill>
        </w:rPr>
        <w:t xml:space="preserve">          采购项目编号：</w:t>
      </w:r>
      <w:r>
        <w:rPr>
          <w:rFonts w:hint="eastAsia" w:asciiTheme="minorEastAsia" w:hAnsiTheme="minorEastAsia"/>
          <w:bCs/>
          <w:color w:val="000000" w:themeColor="text1"/>
          <w:sz w:val="24"/>
          <w:szCs w:val="24"/>
          <w:u w:val="single"/>
          <w14:textFill>
            <w14:solidFill>
              <w14:schemeClr w14:val="tx1"/>
            </w14:solidFill>
          </w14:textFill>
        </w:rPr>
        <w:t xml:space="preserve">           </w:t>
      </w:r>
    </w:p>
    <w:p>
      <w:pPr>
        <w:spacing w:line="400" w:lineRule="exact"/>
        <w:rPr>
          <w:rFonts w:ascii="黑体" w:eastAsia="黑体"/>
          <w:bCs/>
          <w:color w:val="000000" w:themeColor="text1"/>
          <w:sz w:val="24"/>
          <w:szCs w:val="24"/>
          <w14:textFill>
            <w14:solidFill>
              <w14:schemeClr w14:val="tx1"/>
            </w14:solidFill>
          </w14:textFill>
        </w:rPr>
      </w:pPr>
    </w:p>
    <w:tbl>
      <w:tblPr>
        <w:tblStyle w:val="31"/>
        <w:tblW w:w="9885" w:type="dxa"/>
        <w:tblInd w:w="0" w:type="dxa"/>
        <w:tblLayout w:type="fixed"/>
        <w:tblCellMar>
          <w:top w:w="0" w:type="dxa"/>
          <w:left w:w="0" w:type="dxa"/>
          <w:bottom w:w="0" w:type="dxa"/>
          <w:right w:w="0" w:type="dxa"/>
        </w:tblCellMar>
      </w:tblPr>
      <w:tblGrid>
        <w:gridCol w:w="1905"/>
        <w:gridCol w:w="2835"/>
        <w:gridCol w:w="2835"/>
        <w:gridCol w:w="2310"/>
      </w:tblGrid>
      <w:tr>
        <w:tblPrEx>
          <w:tblCellMar>
            <w:top w:w="0" w:type="dxa"/>
            <w:left w:w="0" w:type="dxa"/>
            <w:bottom w:w="0" w:type="dxa"/>
            <w:right w:w="0" w:type="dxa"/>
          </w:tblCellMar>
        </w:tblPrEx>
        <w:trPr>
          <w:cantSplit/>
          <w:trHeight w:val="555"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名称</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采购要求</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实报内容</w:t>
            </w: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偏离说明</w:t>
            </w: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Theme="minorEastAsia" w:hAnsiTheme="minorEastAsia"/>
                <w:bCs/>
                <w:color w:val="000000" w:themeColor="text1"/>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bCs/>
                <w:color w:val="000000" w:themeColor="text1"/>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bCs/>
                <w:color w:val="000000" w:themeColor="text1"/>
                <w14:textFill>
                  <w14:solidFill>
                    <w14:schemeClr w14:val="tx1"/>
                  </w14:solidFill>
                </w14:textFill>
              </w:rPr>
            </w:pP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bCs/>
                <w:color w:val="000000" w:themeColor="text1"/>
                <w14:textFill>
                  <w14:solidFill>
                    <w14:schemeClr w14:val="tx1"/>
                  </w14:solidFill>
                </w14:textFill>
              </w:rPr>
            </w:pPr>
          </w:p>
        </w:tc>
      </w:tr>
    </w:tbl>
    <w:p>
      <w:pPr>
        <w:rPr>
          <w:rFonts w:asciiTheme="minorEastAsia" w:hAnsiTheme="minorEastAsia"/>
          <w:b/>
          <w:color w:val="000000" w:themeColor="text1"/>
          <w:sz w:val="24"/>
          <w:szCs w:val="24"/>
          <w14:textFill>
            <w14:solidFill>
              <w14:schemeClr w14:val="tx1"/>
            </w14:solidFill>
          </w14:textFill>
        </w:rPr>
      </w:pPr>
    </w:p>
    <w:p>
      <w:pPr>
        <w:spacing w:before="5"/>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法定代表人或被授权代表（签字或盖章）：</w:t>
      </w:r>
      <w:r>
        <w:rPr>
          <w:rFonts w:hint="eastAsia" w:asciiTheme="minorEastAsia" w:hAnsiTheme="minorEastAsia"/>
          <w:b/>
          <w:bCs/>
          <w:color w:val="000000" w:themeColor="text1"/>
          <w:sz w:val="24"/>
          <w:szCs w:val="24"/>
          <w:u w:val="single"/>
          <w14:textFill>
            <w14:solidFill>
              <w14:schemeClr w14:val="tx1"/>
            </w14:solidFill>
          </w14:textFill>
        </w:rPr>
        <w:t xml:space="preserve">                               </w:t>
      </w:r>
      <w:r>
        <w:rPr>
          <w:rFonts w:hint="eastAsia" w:asciiTheme="minorEastAsia" w:hAnsiTheme="minorEastAsia"/>
          <w:b/>
          <w:bCs/>
          <w:color w:val="000000" w:themeColor="text1"/>
          <w:sz w:val="24"/>
          <w:szCs w:val="24"/>
          <w14:textFill>
            <w14:solidFill>
              <w14:schemeClr w14:val="tx1"/>
            </w14:solidFill>
          </w14:textFill>
        </w:rPr>
        <w:t xml:space="preserve"> </w:t>
      </w:r>
    </w:p>
    <w:p>
      <w:pPr>
        <w:rPr>
          <w:rFonts w:asciiTheme="minorEastAsia" w:hAnsiTheme="minorEastAsia"/>
          <w:bCs/>
          <w:color w:val="000000" w:themeColor="text1"/>
          <w:sz w:val="30"/>
          <w14:textFill>
            <w14:solidFill>
              <w14:schemeClr w14:val="tx1"/>
            </w14:solidFill>
          </w14:textFill>
        </w:rPr>
      </w:pP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注：</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w:t>
      </w:r>
      <w:r>
        <w:rPr>
          <w:rFonts w:asciiTheme="minorEastAsia" w:hAnsiTheme="minorEastAsia"/>
          <w:color w:val="000000" w:themeColor="text1"/>
          <w:sz w:val="24"/>
          <w:szCs w:val="24"/>
          <w14:textFill>
            <w14:solidFill>
              <w14:schemeClr w14:val="tx1"/>
            </w14:solidFill>
          </w14:textFill>
        </w:rPr>
        <w:t>1</w:t>
      </w:r>
      <w:r>
        <w:rPr>
          <w:rFonts w:hint="eastAsia" w:asciiTheme="minorEastAsia" w:hAnsiTheme="minorEastAsia"/>
          <w:color w:val="000000" w:themeColor="text1"/>
          <w:sz w:val="24"/>
          <w:szCs w:val="24"/>
          <w14:textFill>
            <w14:solidFill>
              <w14:schemeClr w14:val="tx1"/>
            </w14:solidFill>
          </w14:textFill>
        </w:rPr>
        <w:t>）本表不得删除；</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w:t>
      </w:r>
      <w:r>
        <w:rPr>
          <w:rFonts w:asciiTheme="minorEastAsia" w:hAnsiTheme="minorEastAsia"/>
          <w:color w:val="000000" w:themeColor="text1"/>
          <w:sz w:val="24"/>
          <w:szCs w:val="24"/>
          <w14:textFill>
            <w14:solidFill>
              <w14:schemeClr w14:val="tx1"/>
            </w14:solidFill>
          </w14:textFill>
        </w:rPr>
        <w:t>2</w:t>
      </w:r>
      <w:r>
        <w:rPr>
          <w:rFonts w:hint="eastAsia" w:asciiTheme="minorEastAsia" w:hAnsiTheme="minorEastAsia"/>
          <w:color w:val="000000" w:themeColor="text1"/>
          <w:sz w:val="24"/>
          <w:szCs w:val="24"/>
          <w14:textFill>
            <w14:solidFill>
              <w14:schemeClr w14:val="tx1"/>
            </w14:solidFill>
          </w14:textFill>
        </w:rPr>
        <w:t>）如无任何技术偏离，请于本表 “偏离说明”中注明“无偏离”；</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（3）如有技术偏离项，请于本表中列明偏离内容，如需要可自行延长，其余无偏离内容不须赘述。</w:t>
      </w: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rPr>
          <w:rFonts w:ascii="宋体" w:hAnsi="宋体"/>
          <w:sz w:val="24"/>
        </w:rPr>
      </w:pPr>
    </w:p>
    <w:p>
      <w:pPr>
        <w:widowControl/>
        <w:jc w:val="left"/>
        <w:rPr>
          <w:rFonts w:ascii="宋体" w:hAnsi="宋体"/>
          <w:sz w:val="24"/>
        </w:rPr>
      </w:pPr>
      <w:r>
        <w:rPr>
          <w:rFonts w:ascii="宋体" w:hAnsi="宋体"/>
          <w:sz w:val="24"/>
        </w:rPr>
        <w:br w:type="page"/>
      </w:r>
    </w:p>
    <w:p>
      <w:pPr>
        <w:spacing w:line="360" w:lineRule="auto"/>
        <w:rPr>
          <w:rFonts w:ascii="黑体" w:hAnsi="黑体" w:eastAsia="黑体"/>
          <w:bCs/>
          <w:sz w:val="28"/>
          <w:szCs w:val="28"/>
        </w:rPr>
      </w:pPr>
      <w:bookmarkStart w:id="78" w:name="_Toc55147061"/>
      <w:r>
        <w:rPr>
          <w:rFonts w:hint="eastAsia" w:ascii="黑体" w:hAnsi="黑体" w:eastAsia="黑体"/>
          <w:sz w:val="28"/>
          <w:szCs w:val="28"/>
        </w:rPr>
        <w:t>六、其他格式附件</w:t>
      </w:r>
    </w:p>
    <w:p>
      <w:pPr>
        <w:rPr>
          <w:rFonts w:ascii="黑体" w:hAnsi="黑体" w:eastAsia="黑体"/>
          <w:sz w:val="24"/>
          <w:szCs w:val="24"/>
        </w:rPr>
      </w:pPr>
      <w:r>
        <w:rPr>
          <w:rFonts w:hint="eastAsia" w:ascii="黑体" w:hAnsi="黑体" w:eastAsia="黑体"/>
          <w:sz w:val="24"/>
          <w:szCs w:val="24"/>
        </w:rPr>
        <w:t>（一）响应函（格式）</w:t>
      </w:r>
    </w:p>
    <w:p>
      <w:pPr>
        <w:spacing w:line="360" w:lineRule="auto"/>
        <w:jc w:val="center"/>
        <w:rPr>
          <w:rFonts w:ascii="宋体"/>
          <w:bCs/>
          <w:color w:val="000000" w:themeColor="text1"/>
          <w:sz w:val="24"/>
          <w:szCs w:val="24"/>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响应函</w:t>
      </w:r>
    </w:p>
    <w:p>
      <w:pPr>
        <w:spacing w:line="360" w:lineRule="auto"/>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致常州中采招投标有限公司：</w:t>
      </w:r>
    </w:p>
    <w:p>
      <w:pPr>
        <w:spacing w:line="360" w:lineRule="auto"/>
        <w:ind w:firstLine="480" w:firstLineChars="200"/>
        <w:rPr>
          <w:rFonts w:ascii="宋体"/>
          <w:bCs/>
          <w:color w:val="000000" w:themeColor="text1"/>
          <w:sz w:val="24"/>
          <w:szCs w:val="24"/>
          <w14:textFill>
            <w14:solidFill>
              <w14:schemeClr w14:val="tx1"/>
            </w14:solidFill>
          </w14:textFill>
        </w:rPr>
      </w:pPr>
    </w:p>
    <w:p>
      <w:pPr>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我方收到贵方编号</w:t>
      </w:r>
      <w:r>
        <w:rPr>
          <w:rFonts w:hint="eastAsia" w:ascii="宋体" w:hAnsi="宋体"/>
          <w:bCs/>
          <w:color w:val="000000" w:themeColor="text1"/>
          <w:sz w:val="24"/>
          <w:szCs w:val="24"/>
          <w:u w:val="single"/>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采购文件，经仔细阅读和研究，我方决定参加此项目的报价。</w:t>
      </w:r>
    </w:p>
    <w:p>
      <w:pPr>
        <w:numPr>
          <w:ilvl w:val="0"/>
          <w:numId w:val="8"/>
        </w:numPr>
        <w:tabs>
          <w:tab w:val="left" w:pos="315"/>
          <w:tab w:val="left" w:pos="840"/>
          <w:tab w:val="left" w:pos="945"/>
          <w:tab w:val="left" w:pos="1050"/>
          <w:tab w:val="left" w:pos="1260"/>
          <w:tab w:val="clear" w:pos="552"/>
        </w:tabs>
        <w:spacing w:line="360" w:lineRule="auto"/>
        <w:ind w:left="0" w:firstLine="525"/>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我方愿意按照采购文件的一切要求，提供本项目的报价，总价见《报价一览表》。</w:t>
      </w:r>
    </w:p>
    <w:p>
      <w:pPr>
        <w:numPr>
          <w:ilvl w:val="0"/>
          <w:numId w:val="8"/>
        </w:numPr>
        <w:tabs>
          <w:tab w:val="left" w:pos="0"/>
          <w:tab w:val="left" w:pos="315"/>
          <w:tab w:val="left" w:pos="525"/>
          <w:tab w:val="left" w:pos="840"/>
          <w:tab w:val="left" w:pos="945"/>
          <w:tab w:val="left" w:pos="1050"/>
          <w:tab w:val="clear" w:pos="552"/>
        </w:tabs>
        <w:spacing w:line="360" w:lineRule="auto"/>
        <w:ind w:left="0" w:firstLine="523" w:firstLineChars="218"/>
        <w:rPr>
          <w:rFonts w:ascii="宋体" w:hAnsi="Times New Roman" w:eastAsia="宋体" w:cs="Times New Roman"/>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我方愿意提供采购文件中要求的文件、资料。</w:t>
      </w:r>
    </w:p>
    <w:p>
      <w:pPr>
        <w:numPr>
          <w:ilvl w:val="0"/>
          <w:numId w:val="8"/>
        </w:numPr>
        <w:tabs>
          <w:tab w:val="left" w:pos="0"/>
          <w:tab w:val="left" w:pos="315"/>
          <w:tab w:val="left" w:pos="525"/>
          <w:tab w:val="left" w:pos="945"/>
          <w:tab w:val="left" w:pos="1050"/>
          <w:tab w:val="clear" w:pos="552"/>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我方同意按采购文件中的规定，本响应文件报价的有效期限为报价截止之日起</w:t>
      </w:r>
      <w:r>
        <w:rPr>
          <w:rFonts w:ascii="宋体" w:hAnsi="宋体"/>
          <w:bCs/>
          <w:color w:val="000000" w:themeColor="text1"/>
          <w:sz w:val="24"/>
          <w:szCs w:val="24"/>
          <w14:textFill>
            <w14:solidFill>
              <w14:schemeClr w14:val="tx1"/>
            </w14:solidFill>
          </w14:textFill>
        </w:rPr>
        <w:t>90</w:t>
      </w:r>
      <w:r>
        <w:rPr>
          <w:rFonts w:hint="eastAsia" w:ascii="宋体" w:hAnsi="宋体"/>
          <w:bCs/>
          <w:color w:val="000000" w:themeColor="text1"/>
          <w:sz w:val="24"/>
          <w:szCs w:val="24"/>
          <w14:textFill>
            <w14:solidFill>
              <w14:schemeClr w14:val="tx1"/>
            </w14:solidFill>
          </w14:textFill>
        </w:rPr>
        <w:t>天。</w:t>
      </w:r>
    </w:p>
    <w:p>
      <w:pPr>
        <w:numPr>
          <w:ilvl w:val="0"/>
          <w:numId w:val="8"/>
        </w:numPr>
        <w:tabs>
          <w:tab w:val="left" w:pos="0"/>
          <w:tab w:val="left" w:pos="315"/>
          <w:tab w:val="left" w:pos="525"/>
          <w:tab w:val="left" w:pos="945"/>
          <w:tab w:val="left" w:pos="1050"/>
          <w:tab w:val="clear" w:pos="552"/>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如果我方的响应文件被接受，我方将履行采购文件中规定的每一项要求，按期、按质、按量，完成交货任务。</w:t>
      </w:r>
    </w:p>
    <w:p>
      <w:pPr>
        <w:numPr>
          <w:ilvl w:val="0"/>
          <w:numId w:val="8"/>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color w:val="000000" w:themeColor="text1"/>
          <w:sz w:val="24"/>
          <w:szCs w:val="24"/>
          <w14:textFill>
            <w14:solidFill>
              <w14:schemeClr w14:val="tx1"/>
            </w14:solidFill>
          </w14:textFill>
        </w:rPr>
        <w:t>我方愿意遵守《中华人民共</w:t>
      </w:r>
      <w:r>
        <w:rPr>
          <w:rFonts w:hint="eastAsia" w:ascii="宋体" w:hAnsi="宋体"/>
          <w:bCs/>
          <w:sz w:val="24"/>
          <w:szCs w:val="24"/>
        </w:rPr>
        <w:t>和国政府采购法》，并按《中华人民共和国民法典》、财政部《采购货物和服务招标投标管理办法》</w:t>
      </w:r>
      <w:r>
        <w:rPr>
          <w:rFonts w:hint="eastAsia" w:ascii="宋体" w:hAnsi="宋体"/>
          <w:sz w:val="24"/>
          <w:szCs w:val="24"/>
        </w:rPr>
        <w:t>和</w:t>
      </w:r>
      <w:r>
        <w:rPr>
          <w:rFonts w:hint="eastAsia" w:ascii="宋体" w:hAnsi="宋体"/>
          <w:bCs/>
          <w:sz w:val="24"/>
          <w:szCs w:val="24"/>
        </w:rPr>
        <w:t>合同条款履行自己的全部责任。</w:t>
      </w:r>
    </w:p>
    <w:p>
      <w:pPr>
        <w:numPr>
          <w:ilvl w:val="0"/>
          <w:numId w:val="8"/>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我方认可并遵守</w:t>
      </w:r>
      <w:r>
        <w:rPr>
          <w:rFonts w:hint="eastAsia" w:ascii="宋体" w:hAnsi="宋体"/>
          <w:bCs/>
          <w:color w:val="000000" w:themeColor="text1"/>
          <w:sz w:val="24"/>
          <w:szCs w:val="24"/>
          <w14:textFill>
            <w14:solidFill>
              <w14:schemeClr w14:val="tx1"/>
            </w14:solidFill>
          </w14:textFill>
        </w:rPr>
        <w:t>采购</w:t>
      </w:r>
      <w:r>
        <w:rPr>
          <w:rFonts w:hint="eastAsia" w:ascii="宋体" w:hAnsi="宋体"/>
          <w:bCs/>
          <w:sz w:val="24"/>
          <w:szCs w:val="24"/>
        </w:rPr>
        <w:t>文件所有的规定。</w:t>
      </w:r>
    </w:p>
    <w:p>
      <w:pPr>
        <w:numPr>
          <w:ilvl w:val="0"/>
          <w:numId w:val="8"/>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我方愿意按</w:t>
      </w:r>
      <w:r>
        <w:rPr>
          <w:rFonts w:hint="eastAsia" w:ascii="宋体" w:hAnsi="宋体"/>
          <w:bCs/>
          <w:color w:val="000000" w:themeColor="text1"/>
          <w:sz w:val="24"/>
          <w:szCs w:val="24"/>
          <w14:textFill>
            <w14:solidFill>
              <w14:schemeClr w14:val="tx1"/>
            </w14:solidFill>
          </w14:textFill>
        </w:rPr>
        <w:t>采购</w:t>
      </w:r>
      <w:r>
        <w:rPr>
          <w:rFonts w:hint="eastAsia" w:ascii="宋体" w:hAnsi="宋体"/>
          <w:bCs/>
          <w:sz w:val="24"/>
          <w:szCs w:val="24"/>
        </w:rPr>
        <w:t>文件的规定填写《投标（报价）承诺函》。如我方在报价截止期后撤回响应及成交后拒绝遵守报价承诺或拒绝在规定的时间内与采购人签订合同，则接受采购监督管理部门的处理。</w:t>
      </w:r>
    </w:p>
    <w:p>
      <w:pPr>
        <w:numPr>
          <w:ilvl w:val="0"/>
          <w:numId w:val="8"/>
        </w:numPr>
        <w:tabs>
          <w:tab w:val="left" w:pos="0"/>
          <w:tab w:val="left" w:pos="315"/>
          <w:tab w:val="left" w:pos="525"/>
          <w:tab w:val="left" w:pos="945"/>
          <w:tab w:val="left" w:pos="1050"/>
          <w:tab w:val="clear" w:pos="552"/>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sz w:val="24"/>
          <w:szCs w:val="24"/>
        </w:rPr>
        <w:t>我方决不提供虚假材料谋取成交、决不采取不正当手段诋毁、排挤其他供应商、决不与采购人、其它供应商或者采购代理机构恶意串通</w:t>
      </w:r>
      <w:r>
        <w:rPr>
          <w:rFonts w:hint="eastAsia" w:ascii="宋体" w:hAnsi="宋体"/>
          <w:bCs/>
          <w:color w:val="000000" w:themeColor="text1"/>
          <w:sz w:val="24"/>
          <w:szCs w:val="24"/>
          <w14:textFill>
            <w14:solidFill>
              <w14:schemeClr w14:val="tx1"/>
            </w14:solidFill>
          </w14:textFill>
        </w:rPr>
        <w:t>、决不向采购人、</w:t>
      </w:r>
      <w:r>
        <w:rPr>
          <w:rFonts w:hint="eastAsia" w:ascii="宋体" w:hAnsi="宋体"/>
          <w:bCs/>
          <w:sz w:val="24"/>
          <w:szCs w:val="24"/>
        </w:rPr>
        <w:t>采购代理机构</w:t>
      </w:r>
      <w:r>
        <w:rPr>
          <w:rFonts w:hint="eastAsia" w:ascii="宋体" w:hAnsi="宋体"/>
          <w:bCs/>
          <w:color w:val="000000" w:themeColor="text1"/>
          <w:sz w:val="24"/>
          <w:szCs w:val="24"/>
          <w14:textFill>
            <w14:solidFill>
              <w14:schemeClr w14:val="tx1"/>
            </w14:solidFill>
          </w14:textFill>
        </w:rPr>
        <w:t>工作人员和评委进行商业贿赂、决不在采购过程中与采购人进行协商谈判、决不拒绝有关部门监督检查或提供虚假情况，如有违反，无条件接受贵方及相关管理部门的处罚。</w:t>
      </w:r>
    </w:p>
    <w:p>
      <w:pPr>
        <w:numPr>
          <w:ilvl w:val="0"/>
          <w:numId w:val="8"/>
        </w:numPr>
        <w:tabs>
          <w:tab w:val="left" w:pos="0"/>
          <w:tab w:val="left" w:pos="315"/>
          <w:tab w:val="left" w:pos="525"/>
          <w:tab w:val="left" w:pos="945"/>
          <w:tab w:val="left" w:pos="1050"/>
          <w:tab w:val="clear" w:pos="552"/>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sz w:val="24"/>
          <w:szCs w:val="24"/>
        </w:rPr>
        <w:t>如果我们中标，我们将按照采购文件的规定向贵公司支付采购代理服务费；为执行合同，我们将按供应商须知有关要求提供必要的履约保证。</w:t>
      </w:r>
    </w:p>
    <w:p>
      <w:pPr>
        <w:spacing w:line="40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供应商（盖章）：</w:t>
      </w:r>
    </w:p>
    <w:p>
      <w:pPr>
        <w:spacing w:line="40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法定代表人或法定代表人授权代表签字或盖章：</w:t>
      </w:r>
    </w:p>
    <w:p>
      <w:pPr>
        <w:spacing w:line="40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xml:space="preserve">电话： </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传真：</w:t>
      </w:r>
    </w:p>
    <w:p>
      <w:pPr>
        <w:spacing w:line="400" w:lineRule="exact"/>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xml:space="preserve">通讯地址： </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邮编：</w:t>
      </w:r>
      <w:bookmarkStart w:id="79" w:name="_Toc55147054"/>
    </w:p>
    <w:p>
      <w:pPr>
        <w:widowControl/>
        <w:jc w:val="left"/>
        <w:rPr>
          <w:rFonts w:ascii="黑体" w:hAnsi="黑体" w:eastAsia="黑体"/>
          <w:sz w:val="24"/>
          <w:szCs w:val="24"/>
        </w:rPr>
      </w:pPr>
      <w:r>
        <w:rPr>
          <w:rFonts w:ascii="黑体" w:hAnsi="黑体" w:eastAsia="黑体"/>
          <w:sz w:val="24"/>
          <w:szCs w:val="24"/>
        </w:rPr>
        <w:br w:type="page"/>
      </w:r>
    </w:p>
    <w:p>
      <w:pPr>
        <w:rPr>
          <w:rFonts w:ascii="黑体" w:hAnsi="黑体" w:eastAsia="黑体"/>
          <w:sz w:val="24"/>
          <w:szCs w:val="24"/>
        </w:rPr>
      </w:pPr>
      <w:r>
        <w:rPr>
          <w:rFonts w:hint="eastAsia" w:ascii="黑体" w:hAnsi="黑体" w:eastAsia="黑体"/>
          <w:sz w:val="24"/>
          <w:szCs w:val="24"/>
        </w:rPr>
        <w:t>（二）</w:t>
      </w:r>
      <w:bookmarkEnd w:id="79"/>
      <w:r>
        <w:rPr>
          <w:rFonts w:hint="eastAsia" w:ascii="黑体" w:hAnsi="黑体" w:eastAsia="黑体"/>
          <w:sz w:val="24"/>
          <w:szCs w:val="24"/>
        </w:rPr>
        <w:t>关于资格的声明函（格式）</w:t>
      </w:r>
    </w:p>
    <w:p>
      <w:pPr>
        <w:spacing w:line="360" w:lineRule="auto"/>
        <w:rPr>
          <w:rFonts w:ascii="黑体" w:eastAsia="黑体"/>
          <w:bCs/>
          <w:color w:val="000000" w:themeColor="text1"/>
          <w:sz w:val="36"/>
          <w14:textFill>
            <w14:solidFill>
              <w14:schemeClr w14:val="tx1"/>
            </w14:solidFill>
          </w14:textFill>
        </w:rPr>
      </w:pPr>
    </w:p>
    <w:p>
      <w:pPr>
        <w:spacing w:line="480" w:lineRule="auto"/>
        <w:ind w:firstLine="560" w:firstLineChars="200"/>
        <w:jc w:val="center"/>
        <w:rPr>
          <w:rFonts w:ascii="黑体" w:hAnsi="黑体" w:eastAsia="黑体"/>
          <w:bCs/>
          <w:color w:val="000000" w:themeColor="text1"/>
          <w:sz w:val="28"/>
          <w:szCs w:val="28"/>
          <w14:textFill>
            <w14:solidFill>
              <w14:schemeClr w14:val="tx1"/>
            </w14:solidFill>
          </w14:textFill>
        </w:rPr>
      </w:pPr>
      <w:bookmarkStart w:id="80" w:name="报价方关于资格的声明函（格式）"/>
      <w:bookmarkEnd w:id="80"/>
      <w:r>
        <w:rPr>
          <w:rFonts w:hint="eastAsia" w:ascii="黑体" w:hAnsi="黑体" w:eastAsia="黑体"/>
          <w:bCs/>
          <w:color w:val="000000" w:themeColor="text1"/>
          <w:sz w:val="28"/>
          <w:szCs w:val="28"/>
          <w14:textFill>
            <w14:solidFill>
              <w14:schemeClr w14:val="tx1"/>
            </w14:solidFill>
          </w14:textFill>
        </w:rPr>
        <w:t>关于资格的声明函</w:t>
      </w:r>
    </w:p>
    <w:p>
      <w:pPr>
        <w:spacing w:line="480" w:lineRule="auto"/>
        <w:jc w:val="center"/>
        <w:rPr>
          <w:rFonts w:ascii="宋体"/>
          <w:bCs/>
          <w:color w:val="000000" w:themeColor="text1"/>
          <w:sz w:val="24"/>
          <w:szCs w:val="24"/>
          <w14:textFill>
            <w14:solidFill>
              <w14:schemeClr w14:val="tx1"/>
            </w14:solidFill>
          </w14:textFill>
        </w:rPr>
      </w:pPr>
    </w:p>
    <w:p>
      <w:pPr>
        <w:spacing w:line="36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常州中采招投标有限公司：</w:t>
      </w:r>
    </w:p>
    <w:p>
      <w:pPr>
        <w:spacing w:line="360" w:lineRule="auto"/>
        <w:rPr>
          <w:rFonts w:asciiTheme="minorEastAsia" w:hAnsiTheme="minorEastAsia"/>
          <w:bCs/>
          <w:color w:val="000000" w:themeColor="text1"/>
          <w:sz w:val="24"/>
          <w:szCs w:val="24"/>
          <w14:textFill>
            <w14:solidFill>
              <w14:schemeClr w14:val="tx1"/>
            </w14:solidFill>
          </w14:textFill>
        </w:rPr>
      </w:pPr>
    </w:p>
    <w:p>
      <w:pPr>
        <w:spacing w:line="360" w:lineRule="auto"/>
        <w:ind w:firstLine="480" w:firstLineChars="200"/>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我公司（单位）参加本次项目（项目编号：</w:t>
      </w:r>
      <w:r>
        <w:rPr>
          <w:rFonts w:hint="eastAsia" w:asciiTheme="minorEastAsia" w:hAnsiTheme="minorEastAsia"/>
          <w:bCs/>
          <w:color w:val="000000" w:themeColor="text1"/>
          <w:sz w:val="24"/>
          <w:szCs w:val="24"/>
          <w:u w:val="single"/>
          <w14:textFill>
            <w14:solidFill>
              <w14:schemeClr w14:val="tx1"/>
            </w14:solidFill>
          </w14:textFill>
        </w:rPr>
        <w:t xml:space="preserve">                   </w:t>
      </w:r>
      <w:r>
        <w:rPr>
          <w:rFonts w:hint="eastAsia" w:asciiTheme="minorEastAsia" w:hAnsiTheme="minorEastAsia"/>
          <w:bCs/>
          <w:color w:val="000000" w:themeColor="text1"/>
          <w:sz w:val="24"/>
          <w:szCs w:val="24"/>
          <w14:textFill>
            <w14:solidFill>
              <w14:schemeClr w14:val="tx1"/>
            </w14:solidFill>
          </w14:textFill>
        </w:rPr>
        <w:t>）采购活动前三年内，在经营活动中没有重大违法记录，我公司（单位）愿针对本次项目进行报价，响应文件中所有关于报价资格的文件、证明、陈述均是真实的、准确的。若有违背，我公司（单位）愿意承担由此而产生的一切后果。</w:t>
      </w:r>
    </w:p>
    <w:p>
      <w:pPr>
        <w:spacing w:line="360" w:lineRule="auto"/>
        <w:rPr>
          <w:rFonts w:asciiTheme="minorEastAsia" w:hAnsiTheme="minorEastAsia"/>
          <w:bCs/>
          <w:color w:val="000000" w:themeColor="text1"/>
          <w:sz w:val="24"/>
          <w:szCs w:val="24"/>
          <w14:textFill>
            <w14:solidFill>
              <w14:schemeClr w14:val="tx1"/>
            </w14:solidFill>
          </w14:textFill>
        </w:rPr>
      </w:pPr>
    </w:p>
    <w:p>
      <w:pPr>
        <w:spacing w:line="36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供应商（盖章）：</w:t>
      </w:r>
    </w:p>
    <w:p>
      <w:pPr>
        <w:spacing w:line="36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法定代表人或法定代表人授权代表（签字或盖章）：</w:t>
      </w:r>
    </w:p>
    <w:p>
      <w:pPr>
        <w:spacing w:line="360" w:lineRule="auto"/>
        <w:rPr>
          <w:rFonts w:asciiTheme="minorEastAsia" w:hAnsiTheme="minorEastAsia"/>
          <w:bCs/>
          <w:color w:val="000000" w:themeColor="text1"/>
          <w:sz w:val="24"/>
          <w:szCs w:val="24"/>
          <w14:textFill>
            <w14:solidFill>
              <w14:schemeClr w14:val="tx1"/>
            </w14:solidFill>
          </w14:textFill>
        </w:rPr>
      </w:pPr>
      <w:r>
        <w:rPr>
          <w:rFonts w:asciiTheme="minorEastAsia" w:hAnsiTheme="minorEastAsia"/>
          <w:sz w:val="24"/>
          <w:szCs w:val="24"/>
        </w:rPr>
        <w:t>日期:</w:t>
      </w:r>
      <w:r>
        <w:rPr>
          <w:rFonts w:hint="eastAsia" w:asciiTheme="minorEastAsia" w:hAnsiTheme="minorEastAsia"/>
          <w:bCs/>
          <w:sz w:val="24"/>
          <w:u w:val="single"/>
        </w:rPr>
        <w:t xml:space="preserve"> ______</w:t>
      </w:r>
      <w:r>
        <w:rPr>
          <w:rFonts w:hint="eastAsia" w:asciiTheme="minorEastAsia" w:hAnsiTheme="minorEastAsia"/>
          <w:bCs/>
          <w:sz w:val="24"/>
        </w:rPr>
        <w:t>年</w:t>
      </w:r>
      <w:r>
        <w:rPr>
          <w:rFonts w:hint="eastAsia" w:asciiTheme="minorEastAsia" w:hAnsiTheme="minorEastAsia"/>
          <w:bCs/>
          <w:sz w:val="24"/>
          <w:u w:val="single"/>
        </w:rPr>
        <w:t xml:space="preserve">    </w:t>
      </w:r>
      <w:r>
        <w:rPr>
          <w:rFonts w:hint="eastAsia" w:asciiTheme="minorEastAsia" w:hAnsiTheme="minorEastAsia"/>
          <w:bCs/>
          <w:sz w:val="24"/>
        </w:rPr>
        <w:t>月</w:t>
      </w:r>
      <w:r>
        <w:rPr>
          <w:rFonts w:hint="eastAsia" w:asciiTheme="minorEastAsia" w:hAnsiTheme="minorEastAsia"/>
          <w:bCs/>
          <w:sz w:val="24"/>
          <w:u w:val="single"/>
        </w:rPr>
        <w:t xml:space="preserve">    </w:t>
      </w:r>
      <w:r>
        <w:rPr>
          <w:rFonts w:hint="eastAsia" w:asciiTheme="minorEastAsia" w:hAnsiTheme="minorEastAsia"/>
          <w:bCs/>
          <w:sz w:val="24"/>
        </w:rPr>
        <w:t>日</w:t>
      </w:r>
    </w:p>
    <w:p>
      <w:pPr>
        <w:spacing w:line="360" w:lineRule="auto"/>
        <w:ind w:firstLine="480" w:firstLineChars="200"/>
        <w:rPr>
          <w:rFonts w:asciiTheme="minorEastAsia" w:hAnsiTheme="minorEastAsia"/>
          <w:bCs/>
          <w:color w:val="000000" w:themeColor="text1"/>
          <w:sz w:val="24"/>
          <w:szCs w:val="24"/>
          <w14:textFill>
            <w14:solidFill>
              <w14:schemeClr w14:val="tx1"/>
            </w14:solidFill>
          </w14:textFill>
        </w:rPr>
      </w:pPr>
    </w:p>
    <w:p>
      <w:pPr>
        <w:spacing w:line="360" w:lineRule="auto"/>
        <w:ind w:firstLine="480" w:firstLineChars="200"/>
        <w:rPr>
          <w:rFonts w:asciiTheme="minorEastAsia" w:hAnsiTheme="minorEastAsia"/>
          <w:bCs/>
          <w:color w:val="000000" w:themeColor="text1"/>
          <w:sz w:val="24"/>
          <w:szCs w:val="24"/>
          <w14:textFill>
            <w14:solidFill>
              <w14:schemeClr w14:val="tx1"/>
            </w14:solidFill>
          </w14:textFill>
        </w:rPr>
      </w:pPr>
    </w:p>
    <w:p>
      <w:pPr>
        <w:spacing w:line="360" w:lineRule="auto"/>
        <w:ind w:firstLine="480" w:firstLineChars="200"/>
        <w:rPr>
          <w:rFonts w:asciiTheme="minorEastAsia" w:hAnsiTheme="minorEastAsia"/>
          <w:bCs/>
          <w:color w:val="000000" w:themeColor="text1"/>
          <w:sz w:val="24"/>
          <w:szCs w:val="24"/>
          <w14:textFill>
            <w14:solidFill>
              <w14:schemeClr w14:val="tx1"/>
            </w14:solidFill>
          </w14:textFill>
        </w:rPr>
      </w:pPr>
    </w:p>
    <w:p>
      <w:pPr>
        <w:spacing w:line="360" w:lineRule="auto"/>
        <w:ind w:firstLine="480" w:firstLineChars="200"/>
        <w:rPr>
          <w:rFonts w:asciiTheme="minorEastAsia" w:hAnsiTheme="minorEastAsia"/>
          <w:bCs/>
          <w:color w:val="000000" w:themeColor="text1"/>
          <w:sz w:val="24"/>
          <w:szCs w:val="24"/>
          <w14:textFill>
            <w14:solidFill>
              <w14:schemeClr w14:val="tx1"/>
            </w14:solidFill>
          </w14:textFill>
        </w:rPr>
      </w:pPr>
    </w:p>
    <w:p>
      <w:pPr>
        <w:spacing w:line="360" w:lineRule="auto"/>
        <w:ind w:firstLine="480" w:firstLineChars="200"/>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备注：上述所称“重大违法记录”,是指供应商因违法经营受到刑事处罚或者责令停产停业、吊销许可证或者执照、较大数额罚款等行政处罚。</w:t>
      </w:r>
    </w:p>
    <w:p>
      <w:pPr>
        <w:widowControl/>
        <w:jc w:val="left"/>
        <w:rPr>
          <w:rFonts w:ascii="黑体" w:hAnsi="宋体" w:eastAsia="黑体"/>
          <w:bCs/>
          <w:color w:val="000000" w:themeColor="text1"/>
          <w:sz w:val="24"/>
          <w:szCs w:val="24"/>
          <w14:textFill>
            <w14:solidFill>
              <w14:schemeClr w14:val="tx1"/>
            </w14:solidFill>
          </w14:textFill>
        </w:rPr>
      </w:pPr>
      <w:r>
        <w:rPr>
          <w:rFonts w:ascii="黑体" w:hAnsi="宋体" w:eastAsia="黑体"/>
          <w:bCs/>
          <w:color w:val="000000" w:themeColor="text1"/>
          <w:sz w:val="24"/>
          <w:szCs w:val="24"/>
          <w14:textFill>
            <w14:solidFill>
              <w14:schemeClr w14:val="tx1"/>
            </w14:solidFill>
          </w14:textFill>
        </w:rPr>
        <w:br w:type="page"/>
      </w:r>
    </w:p>
    <w:p>
      <w:pPr>
        <w:widowControl/>
        <w:jc w:val="left"/>
        <w:rPr>
          <w:rFonts w:ascii="黑体" w:hAnsi="宋体" w:eastAsia="黑体"/>
          <w:bCs/>
          <w:color w:val="000000" w:themeColor="text1"/>
          <w:sz w:val="24"/>
          <w:szCs w:val="24"/>
          <w14:textFill>
            <w14:solidFill>
              <w14:schemeClr w14:val="tx1"/>
            </w14:solidFill>
          </w14:textFill>
        </w:rPr>
      </w:pPr>
      <w:bookmarkStart w:id="81" w:name="_Toc55147055"/>
      <w:r>
        <w:rPr>
          <w:rFonts w:hint="eastAsia" w:ascii="黑体" w:hAnsi="宋体" w:eastAsia="黑体"/>
          <w:bCs/>
          <w:color w:val="000000" w:themeColor="text1"/>
          <w:sz w:val="24"/>
          <w:szCs w:val="24"/>
          <w14:textFill>
            <w14:solidFill>
              <w14:schemeClr w14:val="tx1"/>
            </w14:solidFill>
          </w14:textFill>
        </w:rPr>
        <w:t>（三）法定代表人资格证明书/法定代表人授权委托书</w:t>
      </w:r>
      <w:bookmarkEnd w:id="81"/>
      <w:r>
        <w:rPr>
          <w:rFonts w:hint="eastAsia" w:ascii="黑体" w:hAnsi="黑体" w:eastAsia="黑体"/>
          <w:sz w:val="24"/>
          <w:szCs w:val="24"/>
        </w:rPr>
        <w:t>（格式）</w:t>
      </w:r>
    </w:p>
    <w:p>
      <w:pPr>
        <w:spacing w:line="580" w:lineRule="exact"/>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法定代表人资格证明书</w:t>
      </w:r>
    </w:p>
    <w:p>
      <w:pPr>
        <w:spacing w:line="580" w:lineRule="exact"/>
        <w:jc w:val="center"/>
        <w:rPr>
          <w:rFonts w:ascii="黑体" w:hAnsi="黑体" w:eastAsia="黑体"/>
          <w:bCs/>
          <w:color w:val="000000" w:themeColor="text1"/>
          <w:sz w:val="28"/>
          <w:szCs w:val="28"/>
          <w14:textFill>
            <w14:solidFill>
              <w14:schemeClr w14:val="tx1"/>
            </w14:solidFill>
          </w14:textFill>
        </w:rPr>
      </w:pPr>
    </w:p>
    <w:p>
      <w:pPr>
        <w:spacing w:line="560" w:lineRule="exact"/>
        <w:rPr>
          <w:rFonts w:ascii="宋体" w:hAnsi="宋体"/>
          <w:sz w:val="24"/>
        </w:rPr>
      </w:pPr>
      <w:r>
        <w:rPr>
          <w:rFonts w:hint="eastAsia" w:ascii="宋体" w:hAnsi="宋体"/>
          <w:sz w:val="24"/>
        </w:rPr>
        <w:t>姓名</w:t>
      </w:r>
      <w:r>
        <w:rPr>
          <w:rFonts w:ascii="宋体" w:hAnsi="宋体"/>
          <w:sz w:val="24"/>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性别</w:t>
      </w:r>
      <w:r>
        <w:rPr>
          <w:rFonts w:ascii="宋体" w:hAnsi="宋体"/>
          <w:sz w:val="24"/>
        </w:rPr>
        <w:t>:</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年龄</w:t>
      </w:r>
      <w:r>
        <w:rPr>
          <w:rFonts w:ascii="宋体" w:hAnsi="宋体"/>
          <w:sz w:val="24"/>
        </w:rPr>
        <w:t>:</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职务</w:t>
      </w:r>
      <w:r>
        <w:rPr>
          <w:rFonts w:ascii="宋体" w:hAnsi="宋体"/>
          <w:sz w:val="24"/>
        </w:rPr>
        <w:t>:</w:t>
      </w:r>
    </w:p>
    <w:p>
      <w:pPr>
        <w:spacing w:line="360" w:lineRule="auto"/>
        <w:rPr>
          <w:rFonts w:asciiTheme="minorEastAsia" w:hAnsiTheme="minorEastAsia"/>
          <w:sz w:val="24"/>
        </w:rPr>
      </w:pPr>
      <w:r>
        <w:rPr>
          <w:rFonts w:hint="eastAsia" w:asciiTheme="minorEastAsia" w:hAnsiTheme="minorEastAsia"/>
          <w:sz w:val="24"/>
        </w:rPr>
        <w:t>系</w:t>
      </w:r>
      <w:r>
        <w:rPr>
          <w:rFonts w:asciiTheme="minorEastAsia" w:hAnsiTheme="minorEastAsia"/>
          <w:sz w:val="24"/>
          <w:u w:val="single"/>
        </w:rPr>
        <w:t xml:space="preserve">            </w:t>
      </w:r>
      <w:r>
        <w:rPr>
          <w:rFonts w:hint="eastAsia" w:asciiTheme="minorEastAsia" w:hAnsiTheme="minorEastAsia"/>
          <w:sz w:val="24"/>
        </w:rPr>
        <w:t>（供应商名称）的法定代表人。为实施</w:t>
      </w:r>
      <w:r>
        <w:rPr>
          <w:rFonts w:asciiTheme="minorEastAsia" w:hAnsiTheme="minorEastAsia"/>
          <w:sz w:val="24"/>
        </w:rPr>
        <w:t xml:space="preserve"> </w:t>
      </w:r>
      <w:r>
        <w:rPr>
          <w:rFonts w:hint="eastAsia" w:asciiTheme="minorEastAsia" w:hAnsiTheme="minorEastAsia"/>
          <w:sz w:val="24"/>
          <w:u w:val="single"/>
        </w:rPr>
        <w:t xml:space="preserve">                 </w:t>
      </w:r>
      <w:r>
        <w:rPr>
          <w:rFonts w:hint="eastAsia" w:asciiTheme="minorEastAsia" w:hAnsiTheme="minorEastAsia"/>
          <w:sz w:val="24"/>
        </w:rPr>
        <w:t>项目（</w:t>
      </w:r>
      <w:r>
        <w:rPr>
          <w:rFonts w:hint="eastAsia" w:asciiTheme="minorEastAsia" w:hAnsiTheme="minorEastAsia"/>
          <w:bCs/>
          <w:color w:val="000000" w:themeColor="text1"/>
          <w:sz w:val="24"/>
          <w:szCs w:val="24"/>
          <w14:textFill>
            <w14:solidFill>
              <w14:schemeClr w14:val="tx1"/>
            </w14:solidFill>
          </w14:textFill>
        </w:rPr>
        <w:t>项目编号：</w:t>
      </w:r>
      <w:r>
        <w:rPr>
          <w:rFonts w:hint="eastAsia" w:asciiTheme="minorEastAsia" w:hAnsiTheme="minorEastAsia"/>
          <w:bCs/>
          <w:color w:val="000000" w:themeColor="text1"/>
          <w:sz w:val="24"/>
          <w:szCs w:val="24"/>
          <w:u w:val="single"/>
          <w14:textFill>
            <w14:solidFill>
              <w14:schemeClr w14:val="tx1"/>
            </w14:solidFill>
          </w14:textFill>
        </w:rPr>
        <w:t xml:space="preserve">                     </w:t>
      </w:r>
      <w:r>
        <w:rPr>
          <w:rFonts w:hint="eastAsia" w:asciiTheme="minorEastAsia" w:hAnsiTheme="minorEastAsia"/>
          <w:sz w:val="24"/>
        </w:rPr>
        <w:t>）的工作，签署上述项目的响应文件、进行合同谈判、签署合同和处理与之有关的一切事务。</w:t>
      </w:r>
    </w:p>
    <w:p>
      <w:pPr>
        <w:spacing w:line="360" w:lineRule="auto"/>
        <w:rPr>
          <w:rFonts w:asciiTheme="minorEastAsia" w:hAnsiTheme="minorEastAsia"/>
          <w:sz w:val="24"/>
        </w:rPr>
      </w:pPr>
      <w:r>
        <w:rPr>
          <w:rFonts w:hint="eastAsia" w:asciiTheme="minorEastAsia" w:hAnsiTheme="minorEastAsia"/>
          <w:sz w:val="24"/>
        </w:rPr>
        <w:t>特此证明。</w:t>
      </w:r>
    </w:p>
    <w:p>
      <w:pPr>
        <w:spacing w:line="560" w:lineRule="exact"/>
        <w:rPr>
          <w:rFonts w:ascii="宋体" w:hAnsi="宋体"/>
          <w:sz w:val="24"/>
        </w:rPr>
      </w:pPr>
    </w:p>
    <w:p>
      <w:pPr>
        <w:spacing w:line="560" w:lineRule="exact"/>
        <w:rPr>
          <w:rFonts w:ascii="宋体" w:hAnsi="宋体"/>
          <w:sz w:val="24"/>
        </w:rPr>
      </w:pPr>
    </w:p>
    <w:p>
      <w:pPr>
        <w:spacing w:line="360" w:lineRule="auto"/>
        <w:rPr>
          <w:rFonts w:ascii="宋体" w:hAnsi="宋体"/>
          <w:sz w:val="24"/>
        </w:rPr>
      </w:pPr>
      <w:r>
        <w:rPr>
          <w:rFonts w:ascii="宋体" w:hAnsi="宋体"/>
          <w:sz w:val="24"/>
        </w:rPr>
        <w:t xml:space="preserve">                   </w:t>
      </w:r>
      <w:r>
        <w:rPr>
          <w:rFonts w:hint="eastAsia" w:ascii="宋体" w:hAnsi="宋体"/>
          <w:sz w:val="24"/>
        </w:rPr>
        <w:t>供应商：（公章）</w:t>
      </w:r>
    </w:p>
    <w:p>
      <w:pPr>
        <w:spacing w:line="360" w:lineRule="auto"/>
        <w:rPr>
          <w:rFonts w:ascii="宋体" w:hAnsi="宋体"/>
          <w:sz w:val="24"/>
        </w:rPr>
      </w:pPr>
      <w:r>
        <w:rPr>
          <w:rFonts w:ascii="宋体" w:hAnsi="宋体"/>
          <w:sz w:val="24"/>
        </w:rPr>
        <w:t xml:space="preserve">                       </w:t>
      </w:r>
      <w:r>
        <w:rPr>
          <w:rFonts w:hint="eastAsia" w:ascii="宋体" w:hAnsi="宋体"/>
          <w:sz w:val="24"/>
        </w:rPr>
        <w:t>法定代表人签字或盖章：</w:t>
      </w:r>
    </w:p>
    <w:p>
      <w:pPr>
        <w:spacing w:line="360" w:lineRule="auto"/>
        <w:ind w:firstLine="4320" w:firstLineChars="1800"/>
        <w:rPr>
          <w:rFonts w:ascii="宋体" w:hAnsi="宋体"/>
          <w:sz w:val="24"/>
        </w:rPr>
      </w:pPr>
      <w:r>
        <w:rPr>
          <w:rFonts w:asciiTheme="minorEastAsia" w:hAnsiTheme="minorEastAsia"/>
          <w:sz w:val="24"/>
          <w:szCs w:val="24"/>
        </w:rPr>
        <w:t>日期:</w:t>
      </w:r>
      <w:r>
        <w:rPr>
          <w:rFonts w:hint="eastAsia" w:ascii="宋体" w:hAnsi="宋体"/>
          <w:bCs/>
          <w:sz w:val="24"/>
          <w:u w:val="single"/>
        </w:rPr>
        <w:t xml:space="preserve"> ______</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pPr>
        <w:snapToGrid w:val="0"/>
        <w:spacing w:line="560" w:lineRule="exact"/>
        <w:rPr>
          <w:rFonts w:ascii="宋体" w:hAnsi="宋体"/>
          <w:sz w:val="24"/>
        </w:rPr>
      </w:pPr>
    </w:p>
    <w:p>
      <w:pPr>
        <w:snapToGrid w:val="0"/>
        <w:spacing w:line="560" w:lineRule="exact"/>
        <w:rPr>
          <w:rFonts w:ascii="宋体" w:hAnsi="宋体"/>
          <w:b/>
          <w:sz w:val="24"/>
        </w:rPr>
      </w:pPr>
    </w:p>
    <w:p>
      <w:pPr>
        <w:autoSpaceDE w:val="0"/>
        <w:autoSpaceDN w:val="0"/>
        <w:adjustRightInd w:val="0"/>
        <w:rPr>
          <w:rFonts w:ascii="宋体" w:hAnsi="宋体" w:cs="宋体"/>
          <w:sz w:val="24"/>
        </w:rPr>
      </w:pPr>
    </w:p>
    <w:p>
      <w:pPr>
        <w:autoSpaceDE w:val="0"/>
        <w:autoSpaceDN w:val="0"/>
        <w:adjustRightInd w:val="0"/>
        <w:rPr>
          <w:rFonts w:ascii="宋体" w:hAnsi="宋体" w:cs="宋体"/>
          <w:sz w:val="24"/>
        </w:rPr>
      </w:pPr>
    </w:p>
    <w:p>
      <w:pPr>
        <w:autoSpaceDE w:val="0"/>
        <w:autoSpaceDN w:val="0"/>
        <w:adjustRightInd w:val="0"/>
        <w:rPr>
          <w:rFonts w:ascii="宋体" w:hAnsi="宋体"/>
          <w:sz w:val="24"/>
        </w:rPr>
      </w:pPr>
      <w:r>
        <w:rPr>
          <w:rFonts w:hint="eastAsia" w:ascii="宋体" w:hAnsi="宋体"/>
          <w:sz w:val="24"/>
        </w:rPr>
        <w:t>法定代表人身份证</w:t>
      </w:r>
    </w:p>
    <w:p>
      <w:pPr>
        <w:autoSpaceDE w:val="0"/>
        <w:autoSpaceDN w:val="0"/>
        <w:adjustRightInd w:val="0"/>
        <w:rPr>
          <w:rFonts w:ascii="宋体" w:hAnsi="宋体"/>
          <w:sz w:val="24"/>
        </w:rPr>
      </w:pPr>
      <w:r>
        <w:rPr>
          <w:rFonts w:hint="eastAsia" w:ascii="宋体" w:hAnsi="宋体"/>
          <w:sz w:val="24"/>
        </w:rPr>
        <w:t>（双面复印件）粘贴处</w:t>
      </w:r>
    </w:p>
    <w:p>
      <w:pPr>
        <w:autoSpaceDE w:val="0"/>
        <w:autoSpaceDN w:val="0"/>
        <w:adjustRightInd w:val="0"/>
        <w:rPr>
          <w:rFonts w:ascii="宋体" w:hAnsi="宋体" w:cs="宋体"/>
          <w:sz w:val="24"/>
        </w:rPr>
      </w:pPr>
    </w:p>
    <w:p>
      <w:pPr>
        <w:autoSpaceDE w:val="0"/>
        <w:autoSpaceDN w:val="0"/>
        <w:adjustRightInd w:val="0"/>
        <w:rPr>
          <w:rFonts w:ascii="宋体" w:hAnsi="宋体" w:cs="宋体"/>
          <w:sz w:val="24"/>
        </w:rPr>
      </w:pPr>
    </w:p>
    <w:p>
      <w:pPr>
        <w:autoSpaceDE w:val="0"/>
        <w:autoSpaceDN w:val="0"/>
        <w:adjustRightInd w:val="0"/>
        <w:rPr>
          <w:rFonts w:ascii="宋体" w:hAnsi="宋体" w:cs="宋体"/>
          <w:sz w:val="24"/>
        </w:rPr>
      </w:pPr>
    </w:p>
    <w:p>
      <w:pPr>
        <w:autoSpaceDE w:val="0"/>
        <w:autoSpaceDN w:val="0"/>
        <w:adjustRightInd w:val="0"/>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widowControl/>
        <w:jc w:val="left"/>
        <w:rPr>
          <w:rFonts w:ascii="黑体" w:hAnsi="黑体" w:eastAsia="黑体"/>
          <w:bCs/>
          <w:color w:val="000000" w:themeColor="text1"/>
          <w:sz w:val="28"/>
          <w:szCs w:val="28"/>
          <w14:textFill>
            <w14:solidFill>
              <w14:schemeClr w14:val="tx1"/>
            </w14:solidFill>
          </w14:textFill>
        </w:rPr>
      </w:pPr>
      <w:r>
        <w:rPr>
          <w:rFonts w:ascii="黑体" w:hAnsi="黑体" w:eastAsia="黑体"/>
          <w:bCs/>
          <w:color w:val="000000" w:themeColor="text1"/>
          <w:sz w:val="28"/>
          <w:szCs w:val="28"/>
          <w14:textFill>
            <w14:solidFill>
              <w14:schemeClr w14:val="tx1"/>
            </w14:solidFill>
          </w14:textFill>
        </w:rPr>
        <w:br w:type="page"/>
      </w:r>
    </w:p>
    <w:p>
      <w:pPr>
        <w:spacing w:line="580" w:lineRule="exact"/>
        <w:jc w:val="center"/>
        <w:rPr>
          <w:rFonts w:ascii="黑体" w:hAnsi="黑体" w:eastAsia="黑体"/>
          <w:bCs/>
          <w:color w:val="000000" w:themeColor="text1"/>
          <w:sz w:val="28"/>
          <w:szCs w:val="28"/>
          <w14:textFill>
            <w14:solidFill>
              <w14:schemeClr w14:val="tx1"/>
            </w14:solidFill>
          </w14:textFill>
        </w:rPr>
      </w:pPr>
      <w:bookmarkStart w:id="82" w:name="_Toc55147056"/>
      <w:r>
        <w:rPr>
          <w:rFonts w:hint="eastAsia" w:ascii="黑体" w:hAnsi="黑体" w:eastAsia="黑体"/>
          <w:bCs/>
          <w:color w:val="000000" w:themeColor="text1"/>
          <w:sz w:val="28"/>
          <w:szCs w:val="28"/>
          <w14:textFill>
            <w14:solidFill>
              <w14:schemeClr w14:val="tx1"/>
            </w14:solidFill>
          </w14:textFill>
        </w:rPr>
        <w:t>法定代表人授权委托书</w:t>
      </w:r>
    </w:p>
    <w:p>
      <w:pPr>
        <w:spacing w:line="360" w:lineRule="auto"/>
        <w:jc w:val="center"/>
        <w:rPr>
          <w:rFonts w:ascii="楷体_GB2312" w:eastAsia="楷体_GB2312"/>
          <w:bCs/>
          <w:color w:val="000000" w:themeColor="text1"/>
          <w:sz w:val="36"/>
          <w14:textFill>
            <w14:solidFill>
              <w14:schemeClr w14:val="tx1"/>
            </w14:solidFill>
          </w14:textFill>
        </w:rPr>
      </w:pPr>
    </w:p>
    <w:p>
      <w:pPr>
        <w:spacing w:line="360" w:lineRule="auto"/>
        <w:ind w:firstLine="480" w:firstLineChars="200"/>
        <w:rPr>
          <w:rFonts w:ascii="宋体" w:hAnsi="宋体"/>
          <w:sz w:val="24"/>
        </w:rPr>
      </w:pPr>
      <w:r>
        <w:rPr>
          <w:rFonts w:hint="eastAsia" w:ascii="宋体" w:hAnsi="宋体"/>
          <w:sz w:val="24"/>
        </w:rPr>
        <w:t>本授权委托书声明：</w:t>
      </w:r>
    </w:p>
    <w:p>
      <w:pPr>
        <w:spacing w:line="360" w:lineRule="auto"/>
        <w:ind w:firstLine="480" w:firstLineChars="200"/>
        <w:rPr>
          <w:rFonts w:ascii="宋体" w:hAnsi="宋体"/>
          <w:sz w:val="24"/>
        </w:rPr>
      </w:pPr>
      <w:r>
        <w:rPr>
          <w:rFonts w:ascii="宋体" w:hAnsi="宋体"/>
          <w:sz w:val="24"/>
          <w:u w:val="single"/>
        </w:rPr>
        <w:t>______________________</w:t>
      </w:r>
      <w:r>
        <w:rPr>
          <w:rFonts w:hint="eastAsia" w:ascii="宋体" w:hAnsi="宋体"/>
          <w:sz w:val="24"/>
        </w:rPr>
        <w:t>（供应商名称）的</w:t>
      </w:r>
      <w:r>
        <w:rPr>
          <w:rFonts w:ascii="宋体" w:hAnsi="宋体"/>
          <w:sz w:val="24"/>
          <w:u w:val="single"/>
        </w:rPr>
        <w:t>____________</w:t>
      </w:r>
      <w:r>
        <w:rPr>
          <w:rFonts w:hint="eastAsia" w:ascii="宋体" w:hAnsi="宋体"/>
          <w:sz w:val="24"/>
        </w:rPr>
        <w:t>（法定代表人姓名、职务）代表供应商授权</w:t>
      </w:r>
      <w:r>
        <w:rPr>
          <w:rFonts w:ascii="宋体" w:hAnsi="宋体"/>
          <w:sz w:val="24"/>
          <w:u w:val="single"/>
        </w:rPr>
        <w:t>_____________</w:t>
      </w:r>
      <w:r>
        <w:rPr>
          <w:rFonts w:hint="eastAsia" w:ascii="宋体" w:hAnsi="宋体"/>
          <w:sz w:val="24"/>
        </w:rPr>
        <w:t>（被授权代表姓名）为</w:t>
      </w:r>
      <w:r>
        <w:rPr>
          <w:rFonts w:hint="eastAsia" w:ascii="宋体" w:hAnsi="宋体"/>
          <w:sz w:val="24"/>
          <w:u w:val="single"/>
        </w:rPr>
        <w:t xml:space="preserve">                  项目</w:t>
      </w:r>
      <w:r>
        <w:rPr>
          <w:rFonts w:hint="eastAsia" w:ascii="宋体" w:hAnsi="宋体"/>
          <w:sz w:val="24"/>
        </w:rPr>
        <w:t>（</w:t>
      </w:r>
      <w:r>
        <w:rPr>
          <w:rFonts w:hint="eastAsia" w:ascii="黑体" w:eastAsia="黑体"/>
          <w:bCs/>
          <w:color w:val="000000" w:themeColor="text1"/>
          <w:sz w:val="24"/>
          <w:szCs w:val="24"/>
          <w14:textFill>
            <w14:solidFill>
              <w14:schemeClr w14:val="tx1"/>
            </w14:solidFill>
          </w14:textFill>
        </w:rPr>
        <w:t>项目编号：</w:t>
      </w:r>
      <w:r>
        <w:rPr>
          <w:rFonts w:hint="eastAsia" w:ascii="黑体" w:eastAsia="黑体"/>
          <w:bCs/>
          <w:color w:val="000000" w:themeColor="text1"/>
          <w:sz w:val="24"/>
          <w:szCs w:val="24"/>
          <w:u w:val="single"/>
          <w14:textFill>
            <w14:solidFill>
              <w14:schemeClr w14:val="tx1"/>
            </w14:solidFill>
          </w14:textFill>
        </w:rPr>
        <w:t xml:space="preserve">               </w:t>
      </w:r>
      <w:r>
        <w:rPr>
          <w:rFonts w:hint="eastAsia" w:ascii="宋体" w:hAnsi="宋体"/>
          <w:sz w:val="24"/>
        </w:rPr>
        <w:t>）报价的合法代理人，全权负责参加本次采购项目的报价、</w:t>
      </w:r>
      <w:r>
        <w:rPr>
          <w:rFonts w:hint="eastAsia" w:ascii="宋体" w:hAnsi="宋体"/>
          <w:bCs/>
          <w:color w:val="000000" w:themeColor="text1"/>
          <w:sz w:val="24"/>
          <w:szCs w:val="24"/>
          <w14:textFill>
            <w14:solidFill>
              <w14:schemeClr w14:val="tx1"/>
            </w14:solidFill>
          </w14:textFill>
        </w:rPr>
        <w:t>参与协商、签约</w:t>
      </w:r>
      <w:r>
        <w:rPr>
          <w:rFonts w:hint="eastAsia" w:ascii="宋体" w:hAnsi="宋体"/>
          <w:sz w:val="24"/>
        </w:rPr>
        <w:t>以及与之相关的各项工作。本供应商对代理人的</w:t>
      </w:r>
      <w:r>
        <w:rPr>
          <w:rFonts w:ascii="宋体" w:hAnsi="宋体"/>
          <w:sz w:val="24"/>
        </w:rPr>
        <w:t>所有</w:t>
      </w:r>
      <w:r>
        <w:rPr>
          <w:rFonts w:hint="eastAsia" w:ascii="宋体" w:hAnsi="宋体"/>
          <w:sz w:val="24"/>
        </w:rPr>
        <w:t>签字负全部责任。</w:t>
      </w:r>
    </w:p>
    <w:p>
      <w:pPr>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我公司（单位）对被授权代表的签名负全部责任。</w:t>
      </w:r>
    </w:p>
    <w:p>
      <w:pPr>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在撤销授权的书面通知送达贵公司以前，本授权书一直有效，被授权代表签署的所有文件（在授权书有效期内签署的）不因授权的撤销而失效。</w:t>
      </w:r>
    </w:p>
    <w:p>
      <w:pPr>
        <w:spacing w:line="360" w:lineRule="auto"/>
        <w:ind w:firstLine="480" w:firstLineChars="200"/>
        <w:rPr>
          <w:rFonts w:ascii="宋体" w:hAnsi="宋体"/>
          <w:bCs/>
          <w:color w:val="000000" w:themeColor="text1"/>
          <w:sz w:val="24"/>
          <w:szCs w:val="24"/>
          <w14:textFill>
            <w14:solidFill>
              <w14:schemeClr w14:val="tx1"/>
            </w14:solidFill>
          </w14:textFill>
        </w:rPr>
      </w:pPr>
    </w:p>
    <w:p>
      <w:pPr>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被授权代表情况：</w:t>
      </w:r>
    </w:p>
    <w:p>
      <w:pPr>
        <w:spacing w:line="360" w:lineRule="auto"/>
        <w:ind w:firstLine="676" w:firstLineChars="282"/>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姓名：</w:t>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性别：</w:t>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电话：</w:t>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职务：</w:t>
      </w:r>
    </w:p>
    <w:p>
      <w:pPr>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单位名称（盖章）：</w:t>
      </w:r>
    </w:p>
    <w:p>
      <w:pPr>
        <w:spacing w:line="360" w:lineRule="auto"/>
        <w:ind w:firstLine="480" w:firstLineChars="200"/>
        <w:rPr>
          <w:rFonts w:ascii="宋体" w:hAnsi="宋体"/>
          <w:bCs/>
          <w:color w:val="000000" w:themeColor="text1"/>
          <w:sz w:val="24"/>
          <w:szCs w:val="24"/>
          <w14:textFill>
            <w14:solidFill>
              <w14:schemeClr w14:val="tx1"/>
            </w14:solidFill>
          </w14:textFill>
        </w:rPr>
      </w:pPr>
      <w:r>
        <w:rPr>
          <w:rFonts w:asciiTheme="minorEastAsia" w:hAnsiTheme="minorEastAsia"/>
          <w:sz w:val="24"/>
          <w:szCs w:val="24"/>
        </w:rPr>
        <w:t>日期:</w:t>
      </w:r>
      <w:r>
        <w:rPr>
          <w:rFonts w:hint="eastAsia" w:ascii="宋体" w:hAnsi="宋体"/>
          <w:bCs/>
          <w:sz w:val="24"/>
          <w:u w:val="single"/>
        </w:rPr>
        <w:t xml:space="preserve"> ______</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pPr>
        <w:spacing w:line="360" w:lineRule="auto"/>
        <w:ind w:firstLine="480" w:firstLineChars="200"/>
        <w:rPr>
          <w:rFonts w:ascii="宋体" w:hAnsi="宋体"/>
          <w:bCs/>
          <w:color w:val="000000" w:themeColor="text1"/>
          <w:sz w:val="24"/>
          <w:szCs w:val="24"/>
          <w14:textFill>
            <w14:solidFill>
              <w14:schemeClr w14:val="tx1"/>
            </w14:solidFill>
          </w14:textFill>
        </w:rPr>
      </w:pPr>
    </w:p>
    <w:p>
      <w:pPr>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法定代表人（签字或盖章）：</w:t>
      </w:r>
      <w:r>
        <w:rPr>
          <w:rFonts w:hint="eastAsia" w:ascii="宋体" w:hAnsi="宋体"/>
          <w:bCs/>
          <w:sz w:val="24"/>
          <w:u w:val="single"/>
        </w:rPr>
        <w:t>_____________</w:t>
      </w:r>
    </w:p>
    <w:p>
      <w:pPr>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sz w:val="24"/>
        </w:rPr>
        <w:t>代理人（签字或盖章）：</w:t>
      </w:r>
      <w:r>
        <w:rPr>
          <w:rFonts w:hint="eastAsia" w:ascii="宋体" w:hAnsi="宋体"/>
          <w:bCs/>
          <w:sz w:val="24"/>
          <w:u w:val="single"/>
        </w:rPr>
        <w:t>_____________</w:t>
      </w:r>
    </w:p>
    <w:p>
      <w:pPr>
        <w:spacing w:line="360" w:lineRule="auto"/>
        <w:ind w:firstLine="480" w:firstLineChars="200"/>
        <w:rPr>
          <w:rFonts w:ascii="宋体" w:hAnsi="宋体"/>
          <w:sz w:val="24"/>
        </w:rPr>
      </w:pPr>
    </w:p>
    <w:p>
      <w:pPr>
        <w:autoSpaceDE w:val="0"/>
        <w:autoSpaceDN w:val="0"/>
        <w:adjustRightInd w:val="0"/>
        <w:spacing w:line="360" w:lineRule="auto"/>
        <w:ind w:firstLine="480" w:firstLineChars="200"/>
        <w:rPr>
          <w:rFonts w:ascii="宋体" w:hAnsi="宋体"/>
          <w:sz w:val="24"/>
        </w:rPr>
      </w:pPr>
      <w:r>
        <w:rPr>
          <w:rFonts w:hint="eastAsia" w:ascii="宋体" w:hAnsi="宋体"/>
          <w:sz w:val="24"/>
        </w:rPr>
        <w:t>法定代表人身份证</w:t>
      </w:r>
    </w:p>
    <w:p>
      <w:pPr>
        <w:autoSpaceDE w:val="0"/>
        <w:autoSpaceDN w:val="0"/>
        <w:adjustRightInd w:val="0"/>
        <w:spacing w:line="360" w:lineRule="auto"/>
        <w:ind w:firstLine="240" w:firstLineChars="100"/>
        <w:rPr>
          <w:rFonts w:ascii="宋体" w:hAnsi="宋体"/>
          <w:sz w:val="24"/>
        </w:rPr>
      </w:pPr>
      <w:r>
        <w:rPr>
          <w:rFonts w:hint="eastAsia" w:ascii="宋体" w:hAnsi="宋体"/>
          <w:sz w:val="24"/>
        </w:rPr>
        <w:t>（双面复印件）粘贴处</w:t>
      </w:r>
    </w:p>
    <w:p>
      <w:pPr>
        <w:autoSpaceDE w:val="0"/>
        <w:autoSpaceDN w:val="0"/>
        <w:adjustRightInd w:val="0"/>
        <w:spacing w:line="360" w:lineRule="auto"/>
        <w:rPr>
          <w:rFonts w:ascii="宋体" w:hAnsi="宋体"/>
          <w:sz w:val="24"/>
        </w:rPr>
      </w:pPr>
    </w:p>
    <w:p>
      <w:pPr>
        <w:autoSpaceDE w:val="0"/>
        <w:autoSpaceDN w:val="0"/>
        <w:adjustRightInd w:val="0"/>
        <w:spacing w:line="360" w:lineRule="auto"/>
        <w:ind w:firstLine="480" w:firstLineChars="200"/>
        <w:rPr>
          <w:rFonts w:ascii="宋体" w:hAnsi="宋体"/>
          <w:sz w:val="24"/>
        </w:rPr>
      </w:pPr>
      <w:r>
        <w:rPr>
          <w:rFonts w:hint="eastAsia" w:ascii="宋体" w:hAnsi="宋体"/>
          <w:sz w:val="24"/>
        </w:rPr>
        <w:t>代理人身份证：</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（双面复印件）粘贴处</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备注：</w:t>
      </w:r>
    </w:p>
    <w:p>
      <w:pPr>
        <w:snapToGrid w:val="0"/>
        <w:spacing w:line="360" w:lineRule="auto"/>
        <w:ind w:firstLine="480" w:firstLineChars="200"/>
        <w:rPr>
          <w:rFonts w:ascii="宋体" w:hAnsi="宋体" w:cs="宋体"/>
          <w:sz w:val="24"/>
        </w:rPr>
      </w:pPr>
      <w:r>
        <w:rPr>
          <w:rFonts w:hint="eastAsia" w:ascii="宋体" w:hAnsi="宋体" w:cs="宋体"/>
          <w:sz w:val="24"/>
        </w:rPr>
        <w:t>1.法定代表人参加报价时，需携带法定代表人资格证明书和本人身份证原件。</w:t>
      </w:r>
    </w:p>
    <w:p>
      <w:pPr>
        <w:snapToGrid w:val="0"/>
        <w:spacing w:line="360" w:lineRule="auto"/>
        <w:ind w:firstLine="480" w:firstLineChars="200"/>
        <w:rPr>
          <w:rFonts w:ascii="宋体" w:hAnsi="宋体" w:cs="宋体"/>
          <w:sz w:val="24"/>
        </w:rPr>
      </w:pPr>
      <w:r>
        <w:rPr>
          <w:rFonts w:hint="eastAsia" w:ascii="宋体" w:hAnsi="宋体" w:cs="宋体"/>
          <w:sz w:val="24"/>
        </w:rPr>
        <w:t>2.代理人参加报价时，需携带法定代表人授权委托书和本人身份证原件。</w:t>
      </w:r>
    </w:p>
    <w:p>
      <w:pPr>
        <w:snapToGrid w:val="0"/>
        <w:spacing w:line="360" w:lineRule="auto"/>
        <w:ind w:firstLine="480" w:firstLineChars="200"/>
        <w:rPr>
          <w:rFonts w:ascii="宋体" w:hAnsi="宋体" w:cs="宋体"/>
          <w:sz w:val="24"/>
        </w:rPr>
      </w:pPr>
    </w:p>
    <w:bookmarkEnd w:id="82"/>
    <w:p>
      <w:pPr>
        <w:widowControl/>
        <w:jc w:val="left"/>
        <w:rPr>
          <w:rFonts w:ascii="黑体" w:hAnsi="宋体" w:eastAsia="黑体"/>
          <w:bCs/>
          <w:color w:val="000000" w:themeColor="text1"/>
          <w:sz w:val="24"/>
          <w:szCs w:val="24"/>
          <w14:textFill>
            <w14:solidFill>
              <w14:schemeClr w14:val="tx1"/>
            </w14:solidFill>
          </w14:textFill>
        </w:rPr>
      </w:pPr>
      <w:r>
        <w:br w:type="page"/>
      </w:r>
      <w:bookmarkStart w:id="83" w:name="_Toc59000743"/>
      <w:r>
        <w:rPr>
          <w:rFonts w:hint="eastAsia" w:ascii="黑体" w:hAnsi="宋体" w:eastAsia="黑体"/>
          <w:bCs/>
          <w:color w:val="000000" w:themeColor="text1"/>
          <w:sz w:val="24"/>
          <w:szCs w:val="24"/>
          <w14:textFill>
            <w14:solidFill>
              <w14:schemeClr w14:val="tx1"/>
            </w14:solidFill>
          </w14:textFill>
        </w:rPr>
        <w:t>（四）具备履行合同所必需的设备和专业技术能力的书面声明（格式）</w:t>
      </w:r>
    </w:p>
    <w:p>
      <w:pPr>
        <w:widowControl/>
        <w:jc w:val="left"/>
        <w:rPr>
          <w:rFonts w:ascii="黑体" w:hAnsi="宋体" w:eastAsia="黑体"/>
          <w:bCs/>
          <w:sz w:val="24"/>
          <w:szCs w:val="24"/>
        </w:rPr>
      </w:pPr>
    </w:p>
    <w:p>
      <w:pPr>
        <w:widowControl/>
        <w:jc w:val="left"/>
        <w:rPr>
          <w:rFonts w:ascii="黑体" w:hAnsi="宋体" w:eastAsia="黑体"/>
          <w:bCs/>
          <w:sz w:val="24"/>
          <w:szCs w:val="24"/>
        </w:rPr>
      </w:pPr>
    </w:p>
    <w:p>
      <w:pPr>
        <w:tabs>
          <w:tab w:val="left" w:pos="360"/>
        </w:tabs>
        <w:ind w:firstLine="561"/>
        <w:jc w:val="center"/>
        <w:rPr>
          <w:rFonts w:ascii="黑体" w:hAnsi="黑体" w:eastAsia="黑体" w:cs="Times New Roman"/>
          <w:sz w:val="28"/>
          <w:szCs w:val="28"/>
        </w:rPr>
      </w:pPr>
      <w:r>
        <w:rPr>
          <w:rFonts w:hint="eastAsia" w:ascii="黑体" w:hAnsi="黑体" w:eastAsia="黑体" w:cs="Times New Roman"/>
          <w:sz w:val="28"/>
          <w:szCs w:val="28"/>
        </w:rPr>
        <w:t>具备履行合同所必需的设备和专业技术能力的书面声明</w:t>
      </w:r>
      <w:bookmarkEnd w:id="83"/>
    </w:p>
    <w:p/>
    <w:p>
      <w:pPr>
        <w:spacing w:line="360" w:lineRule="auto"/>
        <w:ind w:firstLine="480" w:firstLineChars="200"/>
        <w:rPr>
          <w:rFonts w:ascii="宋体" w:hAnsi="宋体"/>
          <w:bCs/>
          <w:sz w:val="24"/>
        </w:rPr>
      </w:pPr>
      <w:r>
        <w:rPr>
          <w:rFonts w:hint="eastAsia" w:ascii="宋体" w:hAnsi="宋体"/>
          <w:bCs/>
          <w:sz w:val="24"/>
        </w:rPr>
        <w:t>我单位郑重声明：我单位具备履行本项采购合同所必需的设备和专业技术能力，为履行本项采购合同我单位具备如下主要设备和主要专业技术能力：</w:t>
      </w:r>
    </w:p>
    <w:p>
      <w:pPr>
        <w:spacing w:line="360" w:lineRule="auto"/>
        <w:ind w:firstLine="480" w:firstLineChars="200"/>
        <w:rPr>
          <w:rFonts w:ascii="宋体" w:hAnsi="宋体"/>
          <w:bCs/>
          <w:sz w:val="24"/>
        </w:rPr>
      </w:pPr>
      <w:r>
        <w:rPr>
          <w:rFonts w:hint="eastAsia" w:ascii="宋体" w:hAnsi="宋体"/>
          <w:bCs/>
          <w:sz w:val="24"/>
        </w:rPr>
        <w:t xml:space="preserve">主要设备有：            </w:t>
      </w:r>
    </w:p>
    <w:p>
      <w:pPr>
        <w:spacing w:line="360" w:lineRule="auto"/>
        <w:ind w:firstLine="480" w:firstLineChars="200"/>
        <w:rPr>
          <w:rFonts w:ascii="宋体" w:hAnsi="宋体"/>
          <w:bCs/>
          <w:sz w:val="24"/>
        </w:rPr>
      </w:pPr>
      <w:r>
        <w:rPr>
          <w:rFonts w:hint="eastAsia" w:ascii="宋体" w:hAnsi="宋体"/>
          <w:bCs/>
          <w:sz w:val="24"/>
        </w:rPr>
        <w:t xml:space="preserve">主要专业技术能力有：  </w:t>
      </w:r>
    </w:p>
    <w:p>
      <w:pPr>
        <w:spacing w:line="460" w:lineRule="exact"/>
        <w:rPr>
          <w:rFonts w:ascii="宋体" w:hAnsi="宋体"/>
          <w:bCs/>
          <w:sz w:val="24"/>
        </w:rPr>
      </w:pPr>
    </w:p>
    <w:p>
      <w:pPr>
        <w:spacing w:line="460" w:lineRule="exact"/>
        <w:rPr>
          <w:rFonts w:ascii="宋体" w:hAnsi="宋体"/>
          <w:bCs/>
          <w:sz w:val="24"/>
        </w:rPr>
      </w:pPr>
    </w:p>
    <w:p>
      <w:pPr>
        <w:spacing w:line="460" w:lineRule="exact"/>
        <w:ind w:firstLine="3120" w:firstLineChars="1300"/>
        <w:jc w:val="left"/>
        <w:rPr>
          <w:rFonts w:ascii="宋体" w:hAnsi="宋体"/>
          <w:bCs/>
          <w:sz w:val="24"/>
        </w:rPr>
      </w:pPr>
      <w:r>
        <w:rPr>
          <w:rFonts w:hint="eastAsia" w:ascii="宋体" w:hAnsi="宋体"/>
          <w:bCs/>
          <w:sz w:val="24"/>
        </w:rPr>
        <w:t>单位名称（公章）：</w:t>
      </w:r>
    </w:p>
    <w:p>
      <w:pPr>
        <w:spacing w:line="460" w:lineRule="exact"/>
        <w:ind w:firstLine="3120" w:firstLineChars="1300"/>
        <w:jc w:val="left"/>
        <w:rPr>
          <w:rFonts w:ascii="宋体" w:hAnsi="宋体"/>
          <w:bCs/>
          <w:sz w:val="24"/>
        </w:rPr>
      </w:pPr>
      <w:r>
        <w:rPr>
          <w:rFonts w:hint="eastAsia" w:ascii="宋体" w:hAnsi="宋体"/>
          <w:bCs/>
          <w:sz w:val="24"/>
        </w:rPr>
        <w:t>法定代表人或代理人（签字或盖章）：</w:t>
      </w:r>
      <w:r>
        <w:rPr>
          <w:rFonts w:hint="eastAsia" w:ascii="宋体" w:hAnsi="宋体"/>
          <w:bCs/>
          <w:sz w:val="24"/>
          <w:u w:val="single"/>
        </w:rPr>
        <w:t>_____________</w:t>
      </w:r>
    </w:p>
    <w:p>
      <w:pPr>
        <w:spacing w:line="460" w:lineRule="exact"/>
        <w:ind w:firstLine="3120" w:firstLineChars="1300"/>
        <w:jc w:val="left"/>
        <w:rPr>
          <w:rFonts w:ascii="宋体" w:hAnsi="宋体"/>
          <w:bCs/>
          <w:sz w:val="24"/>
        </w:rPr>
      </w:pPr>
      <w:r>
        <w:rPr>
          <w:rFonts w:hint="eastAsia" w:ascii="宋体" w:hAnsi="宋体"/>
          <w:bCs/>
          <w:sz w:val="24"/>
        </w:rPr>
        <w:t>日期：</w:t>
      </w:r>
      <w:r>
        <w:rPr>
          <w:rFonts w:hint="eastAsia" w:ascii="宋体" w:hAnsi="宋体"/>
          <w:bCs/>
          <w:sz w:val="24"/>
          <w:u w:val="single"/>
        </w:rPr>
        <w:t>______</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pPr>
        <w:widowControl/>
        <w:jc w:val="left"/>
        <w:rPr>
          <w:rFonts w:ascii="黑体" w:hAnsi="宋体" w:eastAsia="黑体"/>
          <w:bCs/>
          <w:color w:val="000000" w:themeColor="text1"/>
          <w:sz w:val="24"/>
          <w:szCs w:val="24"/>
          <w14:textFill>
            <w14:solidFill>
              <w14:schemeClr w14:val="tx1"/>
            </w14:solidFill>
          </w14:textFill>
        </w:rPr>
      </w:pPr>
    </w:p>
    <w:p>
      <w:pPr>
        <w:spacing w:line="580" w:lineRule="exact"/>
        <w:ind w:firstLine="480" w:firstLineChars="200"/>
        <w:jc w:val="left"/>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widowControl/>
        <w:jc w:val="left"/>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br w:type="page"/>
      </w:r>
    </w:p>
    <w:p>
      <w:pPr>
        <w:widowControl/>
        <w:jc w:val="left"/>
        <w:rPr>
          <w:rFonts w:ascii="宋体" w:hAnsi="宋体"/>
          <w:bCs/>
          <w:color w:val="000000" w:themeColor="text1"/>
          <w:sz w:val="24"/>
          <w:szCs w:val="24"/>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（五）参加采购活动前 3 年内在经营活动中没有重大违法记录的书面声明</w:t>
      </w:r>
      <w:r>
        <w:rPr>
          <w:rFonts w:hint="eastAsia" w:ascii="黑体" w:hAnsi="黑体" w:eastAsia="黑体"/>
          <w:sz w:val="24"/>
          <w:szCs w:val="24"/>
        </w:rPr>
        <w:t>（格式）</w:t>
      </w:r>
    </w:p>
    <w:p>
      <w:pPr>
        <w:spacing w:line="580" w:lineRule="exact"/>
        <w:rPr>
          <w:rFonts w:ascii="黑体" w:hAnsi="宋体" w:eastAsia="黑体"/>
          <w:bCs/>
          <w:color w:val="000000" w:themeColor="text1"/>
          <w:sz w:val="24"/>
          <w:szCs w:val="24"/>
          <w14:textFill>
            <w14:solidFill>
              <w14:schemeClr w14:val="tx1"/>
            </w14:solidFill>
          </w14:textFill>
        </w:rPr>
      </w:pPr>
    </w:p>
    <w:p>
      <w:pPr>
        <w:tabs>
          <w:tab w:val="left" w:pos="360"/>
        </w:tabs>
        <w:ind w:firstLine="561"/>
        <w:jc w:val="center"/>
        <w:rPr>
          <w:rFonts w:ascii="黑体" w:hAnsi="黑体" w:eastAsia="黑体" w:cs="Times New Roman"/>
          <w:sz w:val="28"/>
          <w:szCs w:val="28"/>
        </w:rPr>
      </w:pPr>
      <w:bookmarkStart w:id="84" w:name="_Toc59000745"/>
      <w:r>
        <w:rPr>
          <w:rFonts w:hint="eastAsia" w:ascii="黑体" w:hAnsi="黑体" w:eastAsia="黑体" w:cs="Times New Roman"/>
          <w:sz w:val="28"/>
          <w:szCs w:val="28"/>
        </w:rPr>
        <w:t>参加采购活动前 3 年内在经营活动中没有重大违法记录的书面声明</w:t>
      </w:r>
      <w:bookmarkEnd w:id="84"/>
    </w:p>
    <w:p>
      <w:pPr>
        <w:tabs>
          <w:tab w:val="left" w:pos="360"/>
        </w:tabs>
        <w:ind w:firstLine="561"/>
        <w:jc w:val="center"/>
        <w:rPr>
          <w:rFonts w:ascii="黑体" w:hAnsi="黑体" w:eastAsia="黑体" w:cs="Times New Roman"/>
          <w:sz w:val="28"/>
          <w:szCs w:val="28"/>
        </w:rPr>
      </w:pPr>
    </w:p>
    <w:p>
      <w:pPr>
        <w:spacing w:line="560" w:lineRule="exact"/>
        <w:rPr>
          <w:rFonts w:ascii="宋体" w:hAnsi="宋体"/>
          <w:b/>
          <w:bCs/>
          <w:sz w:val="36"/>
          <w:szCs w:val="36"/>
        </w:rPr>
      </w:pPr>
      <w:r>
        <w:rPr>
          <w:rFonts w:hint="eastAsia" w:ascii="宋体" w:hAnsi="宋体"/>
          <w:b/>
          <w:bCs/>
          <w:sz w:val="32"/>
          <w:szCs w:val="32"/>
        </w:rPr>
        <w:t xml:space="preserve">                       </w:t>
      </w:r>
      <w:r>
        <w:rPr>
          <w:rFonts w:hint="eastAsia" w:ascii="宋体" w:hAnsi="宋体"/>
          <w:b/>
          <w:bCs/>
          <w:sz w:val="36"/>
          <w:szCs w:val="36"/>
        </w:rPr>
        <w:t xml:space="preserve">    声  明 </w:t>
      </w:r>
    </w:p>
    <w:p>
      <w:pPr>
        <w:spacing w:line="560" w:lineRule="exact"/>
        <w:rPr>
          <w:rFonts w:ascii="宋体" w:hAnsi="宋体"/>
          <w:b/>
          <w:bCs/>
          <w:sz w:val="32"/>
          <w:szCs w:val="32"/>
        </w:rPr>
      </w:pPr>
    </w:p>
    <w:p>
      <w:pPr>
        <w:snapToGrid w:val="0"/>
        <w:spacing w:line="360" w:lineRule="auto"/>
        <w:ind w:firstLine="480" w:firstLineChars="200"/>
        <w:rPr>
          <w:rFonts w:ascii="宋体" w:hAnsi="宋体"/>
          <w:sz w:val="24"/>
        </w:rPr>
      </w:pPr>
      <w:r>
        <w:rPr>
          <w:rFonts w:hint="eastAsia" w:ascii="宋体" w:hAnsi="宋体"/>
          <w:sz w:val="24"/>
        </w:rPr>
        <w:t>我</w:t>
      </w:r>
      <w:r>
        <w:rPr>
          <w:rFonts w:hint="eastAsia"/>
          <w:sz w:val="24"/>
        </w:rPr>
        <w:t>单位</w:t>
      </w:r>
      <w:r>
        <w:rPr>
          <w:rFonts w:hint="eastAsia" w:ascii="宋体" w:hAnsi="宋体"/>
          <w:sz w:val="24"/>
        </w:rPr>
        <w:t>郑重声明：参加本次采购活动前 3 年内，我</w:t>
      </w:r>
      <w:r>
        <w:rPr>
          <w:rFonts w:hint="eastAsia"/>
          <w:sz w:val="24"/>
        </w:rPr>
        <w:t>单位</w:t>
      </w:r>
      <w:r>
        <w:rPr>
          <w:rFonts w:hint="eastAsia" w:ascii="宋体" w:hAnsi="宋体"/>
          <w:sz w:val="24"/>
        </w:rPr>
        <w:t>在经营活动中没有因违法经营受到刑事处罚或者责令停产停业、吊销许可证或者执照、较大数额罚款等行政处罚。</w:t>
      </w:r>
    </w:p>
    <w:p>
      <w:pPr>
        <w:snapToGrid w:val="0"/>
        <w:spacing w:line="460" w:lineRule="exact"/>
        <w:rPr>
          <w:rFonts w:ascii="宋体" w:hAnsi="宋体"/>
          <w:sz w:val="24"/>
        </w:rPr>
      </w:pPr>
      <w:r>
        <w:rPr>
          <w:rFonts w:hint="eastAsia" w:ascii="宋体" w:hAnsi="宋体"/>
          <w:sz w:val="24"/>
        </w:rPr>
        <w:t xml:space="preserve">    </w:t>
      </w:r>
    </w:p>
    <w:p>
      <w:pPr>
        <w:snapToGrid w:val="0"/>
        <w:spacing w:line="460" w:lineRule="exact"/>
        <w:ind w:firstLine="3120" w:firstLineChars="1300"/>
        <w:rPr>
          <w:rFonts w:ascii="宋体" w:hAnsi="宋体"/>
          <w:sz w:val="24"/>
        </w:rPr>
      </w:pPr>
      <w:r>
        <w:rPr>
          <w:rFonts w:hint="eastAsia" w:ascii="宋体" w:hAnsi="宋体"/>
          <w:sz w:val="24"/>
        </w:rPr>
        <w:t>单位名称（公章）：</w:t>
      </w:r>
    </w:p>
    <w:p>
      <w:pPr>
        <w:snapToGrid w:val="0"/>
        <w:spacing w:line="460" w:lineRule="exact"/>
        <w:rPr>
          <w:rFonts w:ascii="宋体" w:hAnsi="宋体"/>
          <w:sz w:val="24"/>
        </w:rPr>
      </w:pPr>
      <w:r>
        <w:rPr>
          <w:rFonts w:hint="eastAsia" w:ascii="宋体" w:hAnsi="宋体"/>
          <w:sz w:val="24"/>
        </w:rPr>
        <w:t xml:space="preserve">                          法定代表人或代理人（签字或盖章）：</w:t>
      </w:r>
      <w:r>
        <w:rPr>
          <w:rFonts w:hint="eastAsia" w:ascii="宋体" w:hAnsi="宋体"/>
          <w:sz w:val="24"/>
          <w:u w:val="single"/>
        </w:rPr>
        <w:t>_______________</w:t>
      </w:r>
    </w:p>
    <w:p>
      <w:pPr>
        <w:spacing w:line="560" w:lineRule="exact"/>
        <w:ind w:firstLine="495"/>
        <w:rPr>
          <w:rFonts w:ascii="宋体" w:hAnsi="宋体"/>
          <w:sz w:val="24"/>
        </w:rPr>
      </w:pPr>
      <w:r>
        <w:rPr>
          <w:rFonts w:hint="eastAsia" w:ascii="宋体" w:hAnsi="宋体"/>
          <w:sz w:val="24"/>
        </w:rPr>
        <w:t xml:space="preserve">                      日期: </w:t>
      </w:r>
      <w:r>
        <w:rPr>
          <w:rFonts w:hint="eastAsia" w:ascii="宋体" w:hAnsi="宋体"/>
          <w:sz w:val="24"/>
          <w:u w:val="single"/>
        </w:rPr>
        <w:t>______</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widowControl/>
        <w:jc w:val="left"/>
        <w:rPr>
          <w:rFonts w:ascii="宋体" w:hAnsi="宋体"/>
          <w:bCs/>
          <w:sz w:val="24"/>
        </w:rPr>
      </w:pPr>
      <w:r>
        <w:rPr>
          <w:rFonts w:ascii="宋体" w:hAnsi="宋体"/>
          <w:bCs/>
          <w:sz w:val="24"/>
        </w:rPr>
        <w:br w:type="page"/>
      </w:r>
    </w:p>
    <w:p>
      <w:pPr>
        <w:widowControl/>
        <w:jc w:val="left"/>
        <w:rPr>
          <w:rFonts w:ascii="黑体" w:hAnsi="宋体" w:eastAsia="黑体"/>
          <w:bCs/>
          <w:color w:val="000000" w:themeColor="text1"/>
          <w:sz w:val="24"/>
          <w:szCs w:val="24"/>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（六）项目人员配置表</w:t>
      </w:r>
      <w:bookmarkEnd w:id="78"/>
      <w:r>
        <w:rPr>
          <w:rFonts w:hint="eastAsia" w:ascii="黑体" w:hAnsi="黑体" w:eastAsia="黑体"/>
          <w:sz w:val="24"/>
          <w:szCs w:val="24"/>
        </w:rPr>
        <w:t>（格式）</w:t>
      </w:r>
    </w:p>
    <w:p>
      <w:pPr>
        <w:spacing w:line="360" w:lineRule="auto"/>
        <w:ind w:firstLine="480" w:firstLineChars="200"/>
        <w:rPr>
          <w:color w:val="000000" w:themeColor="text1"/>
          <w:sz w:val="24"/>
          <w:szCs w:val="24"/>
          <w14:textFill>
            <w14:solidFill>
              <w14:schemeClr w14:val="tx1"/>
            </w14:solidFill>
          </w14:textFill>
        </w:rPr>
      </w:pPr>
    </w:p>
    <w:p>
      <w:pPr>
        <w:jc w:val="center"/>
        <w:rPr>
          <w:rFonts w:ascii="黑体" w:hAnsi="黑体" w:eastAsia="黑体"/>
          <w:sz w:val="28"/>
          <w:szCs w:val="28"/>
        </w:rPr>
      </w:pPr>
      <w:r>
        <w:rPr>
          <w:rFonts w:ascii="黑体" w:hAnsi="黑体" w:eastAsia="黑体"/>
          <w:sz w:val="28"/>
          <w:szCs w:val="28"/>
        </w:rPr>
        <w:t>项目人员配置</w:t>
      </w:r>
      <w:r>
        <w:rPr>
          <w:rFonts w:hint="eastAsia" w:ascii="黑体" w:hAnsi="黑体" w:eastAsia="黑体"/>
          <w:sz w:val="28"/>
          <w:szCs w:val="28"/>
        </w:rPr>
        <w:t>表</w:t>
      </w:r>
    </w:p>
    <w:p>
      <w:pPr>
        <w:ind w:firstLine="840" w:firstLineChars="350"/>
        <w:rPr>
          <w:rFonts w:ascii="黑体" w:hAnsi="Calibri" w:eastAsia="黑体"/>
          <w:bCs/>
          <w:sz w:val="24"/>
          <w:szCs w:val="24"/>
          <w:u w:val="single"/>
        </w:rPr>
      </w:pPr>
      <w:r>
        <w:rPr>
          <w:rFonts w:hint="eastAsia" w:ascii="黑体" w:hAnsi="Calibri" w:eastAsia="黑体"/>
          <w:bCs/>
          <w:sz w:val="24"/>
          <w:szCs w:val="24"/>
        </w:rPr>
        <w:t>供应商名称（盖章）：</w:t>
      </w:r>
      <w:r>
        <w:rPr>
          <w:rFonts w:hint="eastAsia" w:ascii="黑体" w:hAnsi="Calibri" w:eastAsia="黑体"/>
          <w:bCs/>
          <w:sz w:val="24"/>
          <w:szCs w:val="24"/>
          <w:u w:val="single"/>
        </w:rPr>
        <w:t xml:space="preserve">                </w:t>
      </w:r>
      <w:r>
        <w:rPr>
          <w:rFonts w:hint="eastAsia" w:ascii="黑体" w:hAnsi="Calibri" w:eastAsia="黑体"/>
          <w:bCs/>
          <w:sz w:val="24"/>
          <w:szCs w:val="24"/>
        </w:rPr>
        <w:t xml:space="preserve">      采购项目编号：</w:t>
      </w:r>
      <w:r>
        <w:rPr>
          <w:rFonts w:hint="eastAsia" w:ascii="黑体" w:hAnsi="Calibri" w:eastAsia="黑体"/>
          <w:bCs/>
          <w:sz w:val="24"/>
          <w:szCs w:val="24"/>
          <w:u w:val="single"/>
        </w:rPr>
        <w:t xml:space="preserve">              </w:t>
      </w:r>
    </w:p>
    <w:p>
      <w:pPr>
        <w:ind w:firstLine="840" w:firstLineChars="350"/>
        <w:rPr>
          <w:rFonts w:ascii="黑体" w:hAnsi="Calibri" w:eastAsia="黑体"/>
          <w:bCs/>
          <w:sz w:val="24"/>
          <w:szCs w:val="24"/>
        </w:r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2"/>
        <w:gridCol w:w="2139"/>
        <w:gridCol w:w="1134"/>
        <w:gridCol w:w="2126"/>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112" w:type="dxa"/>
            <w:vAlign w:val="center"/>
          </w:tcPr>
          <w:p>
            <w:pPr>
              <w:jc w:val="center"/>
              <w:rPr>
                <w:rFonts w:ascii="Calibri" w:hAnsi="Calibri"/>
                <w:b/>
                <w:sz w:val="24"/>
              </w:rPr>
            </w:pPr>
            <w:r>
              <w:rPr>
                <w:rFonts w:hint="eastAsia" w:ascii="Calibri" w:hAnsi="Calibri"/>
                <w:b/>
                <w:sz w:val="24"/>
              </w:rPr>
              <w:t>序号</w:t>
            </w:r>
          </w:p>
        </w:tc>
        <w:tc>
          <w:tcPr>
            <w:tcW w:w="2139" w:type="dxa"/>
            <w:vAlign w:val="center"/>
          </w:tcPr>
          <w:p>
            <w:pPr>
              <w:jc w:val="center"/>
              <w:rPr>
                <w:rFonts w:ascii="Calibri" w:hAnsi="Calibri"/>
                <w:b/>
                <w:sz w:val="24"/>
              </w:rPr>
            </w:pPr>
            <w:r>
              <w:rPr>
                <w:rFonts w:hint="eastAsia" w:ascii="Calibri" w:hAnsi="Calibri"/>
                <w:b/>
                <w:sz w:val="24"/>
              </w:rPr>
              <w:t>姓名</w:t>
            </w:r>
          </w:p>
        </w:tc>
        <w:tc>
          <w:tcPr>
            <w:tcW w:w="1134" w:type="dxa"/>
            <w:vAlign w:val="center"/>
          </w:tcPr>
          <w:p>
            <w:pPr>
              <w:jc w:val="center"/>
              <w:rPr>
                <w:rFonts w:ascii="Calibri" w:hAnsi="Calibri"/>
                <w:b/>
                <w:sz w:val="24"/>
              </w:rPr>
            </w:pPr>
            <w:r>
              <w:rPr>
                <w:rFonts w:hint="eastAsia" w:ascii="Calibri" w:hAnsi="Calibri"/>
                <w:b/>
                <w:sz w:val="24"/>
              </w:rPr>
              <w:t>年龄</w:t>
            </w:r>
          </w:p>
        </w:tc>
        <w:tc>
          <w:tcPr>
            <w:tcW w:w="2126" w:type="dxa"/>
            <w:vAlign w:val="center"/>
          </w:tcPr>
          <w:p>
            <w:pPr>
              <w:jc w:val="center"/>
              <w:rPr>
                <w:rFonts w:ascii="Calibri" w:hAnsi="Calibri"/>
                <w:b/>
                <w:sz w:val="24"/>
              </w:rPr>
            </w:pPr>
            <w:r>
              <w:rPr>
                <w:rFonts w:hint="eastAsia" w:ascii="Calibri" w:hAnsi="Calibri"/>
                <w:b/>
                <w:sz w:val="24"/>
              </w:rPr>
              <w:t>本项目职责</w:t>
            </w:r>
          </w:p>
        </w:tc>
        <w:tc>
          <w:tcPr>
            <w:tcW w:w="1689" w:type="dxa"/>
            <w:vAlign w:val="center"/>
          </w:tcPr>
          <w:p>
            <w:pPr>
              <w:jc w:val="center"/>
              <w:rPr>
                <w:rFonts w:ascii="Calibri" w:hAnsi="Calibri"/>
                <w:b/>
                <w:sz w:val="24"/>
              </w:rPr>
            </w:pPr>
            <w:r>
              <w:rPr>
                <w:rFonts w:hint="eastAsia" w:ascii="Calibri" w:hAnsi="Calibri"/>
                <w:b/>
                <w:sz w:val="24"/>
              </w:rPr>
              <w:t>持有证书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12" w:type="dxa"/>
            <w:vAlign w:val="center"/>
          </w:tcPr>
          <w:p>
            <w:pPr>
              <w:jc w:val="center"/>
              <w:outlineLvl w:val="0"/>
              <w:rPr>
                <w:rFonts w:ascii="黑体" w:hAnsi="Calibri" w:eastAsia="黑体"/>
                <w:bCs/>
                <w:sz w:val="24"/>
                <w:szCs w:val="24"/>
              </w:rPr>
            </w:pPr>
          </w:p>
        </w:tc>
        <w:tc>
          <w:tcPr>
            <w:tcW w:w="2139" w:type="dxa"/>
            <w:vAlign w:val="center"/>
          </w:tcPr>
          <w:p>
            <w:pPr>
              <w:jc w:val="center"/>
              <w:outlineLvl w:val="0"/>
              <w:rPr>
                <w:rFonts w:ascii="黑体" w:hAnsi="Calibri" w:eastAsia="黑体"/>
                <w:bCs/>
                <w:sz w:val="24"/>
                <w:szCs w:val="24"/>
              </w:rPr>
            </w:pPr>
          </w:p>
        </w:tc>
        <w:tc>
          <w:tcPr>
            <w:tcW w:w="1134" w:type="dxa"/>
            <w:vAlign w:val="center"/>
          </w:tcPr>
          <w:p>
            <w:pPr>
              <w:jc w:val="center"/>
              <w:outlineLvl w:val="0"/>
              <w:rPr>
                <w:rFonts w:ascii="黑体" w:hAnsi="Calibri" w:eastAsia="黑体"/>
                <w:bCs/>
                <w:sz w:val="24"/>
                <w:szCs w:val="24"/>
              </w:rPr>
            </w:pPr>
          </w:p>
        </w:tc>
        <w:tc>
          <w:tcPr>
            <w:tcW w:w="2126" w:type="dxa"/>
            <w:vAlign w:val="center"/>
          </w:tcPr>
          <w:p>
            <w:pPr>
              <w:jc w:val="center"/>
              <w:outlineLvl w:val="0"/>
              <w:rPr>
                <w:rFonts w:ascii="宋体" w:hAnsi="宋体"/>
                <w:bCs/>
                <w:sz w:val="24"/>
                <w:szCs w:val="24"/>
              </w:rPr>
            </w:pPr>
          </w:p>
        </w:tc>
        <w:tc>
          <w:tcPr>
            <w:tcW w:w="1689" w:type="dxa"/>
          </w:tcPr>
          <w:p>
            <w:pPr>
              <w:jc w:val="center"/>
              <w:outlineLvl w:val="0"/>
              <w:rPr>
                <w:rFonts w:ascii="黑体" w:hAnsi="Calibri"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12" w:type="dxa"/>
            <w:vAlign w:val="center"/>
          </w:tcPr>
          <w:p>
            <w:pPr>
              <w:jc w:val="center"/>
              <w:outlineLvl w:val="0"/>
              <w:rPr>
                <w:rFonts w:ascii="黑体" w:hAnsi="Calibri" w:eastAsia="黑体"/>
                <w:bCs/>
                <w:sz w:val="24"/>
                <w:szCs w:val="24"/>
              </w:rPr>
            </w:pPr>
          </w:p>
        </w:tc>
        <w:tc>
          <w:tcPr>
            <w:tcW w:w="2139" w:type="dxa"/>
            <w:vAlign w:val="center"/>
          </w:tcPr>
          <w:p>
            <w:pPr>
              <w:jc w:val="center"/>
              <w:outlineLvl w:val="0"/>
              <w:rPr>
                <w:rFonts w:ascii="黑体" w:hAnsi="Calibri" w:eastAsia="黑体"/>
                <w:bCs/>
                <w:sz w:val="24"/>
                <w:szCs w:val="24"/>
              </w:rPr>
            </w:pPr>
          </w:p>
        </w:tc>
        <w:tc>
          <w:tcPr>
            <w:tcW w:w="1134" w:type="dxa"/>
            <w:vAlign w:val="center"/>
          </w:tcPr>
          <w:p>
            <w:pPr>
              <w:jc w:val="center"/>
              <w:outlineLvl w:val="0"/>
              <w:rPr>
                <w:rFonts w:ascii="黑体" w:hAnsi="Calibri" w:eastAsia="黑体"/>
                <w:bCs/>
                <w:sz w:val="24"/>
                <w:szCs w:val="24"/>
              </w:rPr>
            </w:pPr>
          </w:p>
        </w:tc>
        <w:tc>
          <w:tcPr>
            <w:tcW w:w="2126" w:type="dxa"/>
            <w:vAlign w:val="center"/>
          </w:tcPr>
          <w:p>
            <w:pPr>
              <w:jc w:val="center"/>
              <w:outlineLvl w:val="0"/>
              <w:rPr>
                <w:rFonts w:ascii="宋体" w:hAnsi="宋体"/>
                <w:bCs/>
                <w:sz w:val="24"/>
                <w:szCs w:val="24"/>
              </w:rPr>
            </w:pPr>
          </w:p>
        </w:tc>
        <w:tc>
          <w:tcPr>
            <w:tcW w:w="1689" w:type="dxa"/>
          </w:tcPr>
          <w:p>
            <w:pPr>
              <w:jc w:val="center"/>
              <w:outlineLvl w:val="0"/>
              <w:rPr>
                <w:rFonts w:ascii="黑体" w:hAnsi="Calibri"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12" w:type="dxa"/>
            <w:vAlign w:val="center"/>
          </w:tcPr>
          <w:p>
            <w:pPr>
              <w:jc w:val="center"/>
              <w:outlineLvl w:val="0"/>
              <w:rPr>
                <w:rFonts w:ascii="黑体" w:hAnsi="Calibri" w:eastAsia="黑体"/>
                <w:bCs/>
                <w:sz w:val="24"/>
                <w:szCs w:val="24"/>
              </w:rPr>
            </w:pPr>
          </w:p>
        </w:tc>
        <w:tc>
          <w:tcPr>
            <w:tcW w:w="2139" w:type="dxa"/>
            <w:vAlign w:val="center"/>
          </w:tcPr>
          <w:p>
            <w:pPr>
              <w:jc w:val="center"/>
              <w:outlineLvl w:val="0"/>
              <w:rPr>
                <w:rFonts w:ascii="黑体" w:hAnsi="Calibri" w:eastAsia="黑体"/>
                <w:bCs/>
                <w:sz w:val="24"/>
                <w:szCs w:val="24"/>
              </w:rPr>
            </w:pPr>
          </w:p>
        </w:tc>
        <w:tc>
          <w:tcPr>
            <w:tcW w:w="1134" w:type="dxa"/>
            <w:vAlign w:val="center"/>
          </w:tcPr>
          <w:p>
            <w:pPr>
              <w:jc w:val="center"/>
              <w:outlineLvl w:val="0"/>
              <w:rPr>
                <w:rFonts w:ascii="黑体" w:hAnsi="Calibri" w:eastAsia="黑体"/>
                <w:bCs/>
                <w:sz w:val="24"/>
                <w:szCs w:val="24"/>
              </w:rPr>
            </w:pPr>
          </w:p>
        </w:tc>
        <w:tc>
          <w:tcPr>
            <w:tcW w:w="2126" w:type="dxa"/>
            <w:vAlign w:val="center"/>
          </w:tcPr>
          <w:p>
            <w:pPr>
              <w:jc w:val="center"/>
              <w:outlineLvl w:val="0"/>
              <w:rPr>
                <w:rFonts w:ascii="宋体" w:hAnsi="宋体"/>
                <w:bCs/>
                <w:sz w:val="24"/>
                <w:szCs w:val="24"/>
              </w:rPr>
            </w:pPr>
          </w:p>
        </w:tc>
        <w:tc>
          <w:tcPr>
            <w:tcW w:w="1689" w:type="dxa"/>
          </w:tcPr>
          <w:p>
            <w:pPr>
              <w:jc w:val="center"/>
              <w:outlineLvl w:val="0"/>
              <w:rPr>
                <w:rFonts w:ascii="黑体" w:hAnsi="Calibri"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12" w:type="dxa"/>
            <w:vAlign w:val="center"/>
          </w:tcPr>
          <w:p>
            <w:pPr>
              <w:jc w:val="center"/>
              <w:outlineLvl w:val="0"/>
              <w:rPr>
                <w:rFonts w:ascii="黑体" w:hAnsi="Calibri" w:eastAsia="黑体"/>
                <w:bCs/>
                <w:sz w:val="24"/>
                <w:szCs w:val="24"/>
              </w:rPr>
            </w:pPr>
          </w:p>
        </w:tc>
        <w:tc>
          <w:tcPr>
            <w:tcW w:w="2139" w:type="dxa"/>
            <w:vAlign w:val="center"/>
          </w:tcPr>
          <w:p>
            <w:pPr>
              <w:jc w:val="center"/>
              <w:outlineLvl w:val="0"/>
              <w:rPr>
                <w:rFonts w:ascii="黑体" w:hAnsi="Calibri" w:eastAsia="黑体"/>
                <w:bCs/>
                <w:sz w:val="24"/>
                <w:szCs w:val="24"/>
              </w:rPr>
            </w:pPr>
          </w:p>
        </w:tc>
        <w:tc>
          <w:tcPr>
            <w:tcW w:w="1134" w:type="dxa"/>
            <w:vAlign w:val="center"/>
          </w:tcPr>
          <w:p>
            <w:pPr>
              <w:jc w:val="center"/>
              <w:outlineLvl w:val="0"/>
              <w:rPr>
                <w:rFonts w:ascii="黑体" w:hAnsi="Calibri" w:eastAsia="黑体"/>
                <w:bCs/>
                <w:sz w:val="24"/>
                <w:szCs w:val="24"/>
              </w:rPr>
            </w:pPr>
          </w:p>
        </w:tc>
        <w:tc>
          <w:tcPr>
            <w:tcW w:w="2126" w:type="dxa"/>
            <w:vAlign w:val="center"/>
          </w:tcPr>
          <w:p>
            <w:pPr>
              <w:jc w:val="center"/>
              <w:outlineLvl w:val="0"/>
              <w:rPr>
                <w:rFonts w:ascii="黑体" w:hAnsi="Calibri" w:eastAsia="黑体"/>
                <w:bCs/>
                <w:sz w:val="24"/>
                <w:szCs w:val="24"/>
              </w:rPr>
            </w:pPr>
          </w:p>
        </w:tc>
        <w:tc>
          <w:tcPr>
            <w:tcW w:w="1689" w:type="dxa"/>
          </w:tcPr>
          <w:p>
            <w:pPr>
              <w:jc w:val="center"/>
              <w:outlineLvl w:val="0"/>
              <w:rPr>
                <w:rFonts w:ascii="黑体" w:hAnsi="Calibri" w:eastAsia="黑体"/>
                <w:bCs/>
                <w:sz w:val="24"/>
                <w:szCs w:val="24"/>
              </w:rPr>
            </w:pPr>
          </w:p>
        </w:tc>
      </w:tr>
    </w:tbl>
    <w:p>
      <w:pPr>
        <w:rPr>
          <w:rFonts w:ascii="Calibri" w:hAnsi="Calibri"/>
          <w:b/>
          <w:bCs/>
          <w:color w:val="000000"/>
          <w:sz w:val="24"/>
          <w:szCs w:val="24"/>
        </w:rPr>
      </w:pPr>
    </w:p>
    <w:p>
      <w:pPr>
        <w:spacing w:before="5"/>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法定代表人或被授权代表（签字或盖章）：</w:t>
      </w:r>
      <w:r>
        <w:rPr>
          <w:rFonts w:hint="eastAsia"/>
          <w:b/>
          <w:bCs/>
          <w:color w:val="000000" w:themeColor="text1"/>
          <w:sz w:val="24"/>
          <w:szCs w:val="24"/>
          <w:u w:val="single"/>
          <w14:textFill>
            <w14:solidFill>
              <w14:schemeClr w14:val="tx1"/>
            </w14:solidFill>
          </w14:textFill>
        </w:rPr>
        <w:t xml:space="preserve">                               </w:t>
      </w:r>
      <w:r>
        <w:rPr>
          <w:rFonts w:hint="eastAsia"/>
          <w:b/>
          <w:bCs/>
          <w:color w:val="000000" w:themeColor="text1"/>
          <w:sz w:val="24"/>
          <w:szCs w:val="24"/>
          <w14:textFill>
            <w14:solidFill>
              <w14:schemeClr w14:val="tx1"/>
            </w14:solidFill>
          </w14:textFill>
        </w:rPr>
        <w:t xml:space="preserve"> </w:t>
      </w:r>
    </w:p>
    <w:p>
      <w:pPr>
        <w:rPr>
          <w:rFonts w:ascii="宋体" w:hAnsi="宋体"/>
          <w:bCs/>
          <w:color w:val="000000"/>
          <w:szCs w:val="21"/>
        </w:rPr>
      </w:pP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注：</w:t>
      </w:r>
      <w:r>
        <w:rPr>
          <w:rFonts w:hint="eastAsia" w:asciiTheme="minorEastAsia" w:hAnsiTheme="minorEastAsia"/>
          <w:color w:val="000000" w:themeColor="text1"/>
          <w:sz w:val="24"/>
          <w:szCs w:val="24"/>
          <w14:textFill>
            <w14:solidFill>
              <w14:schemeClr w14:val="tx1"/>
            </w14:solidFill>
          </w14:textFill>
        </w:rPr>
        <w:t xml:space="preserve"> 表格不够可自行延长。</w:t>
      </w:r>
    </w:p>
    <w:p>
      <w:pPr>
        <w:spacing w:line="360" w:lineRule="auto"/>
        <w:rPr>
          <w:rFonts w:asciiTheme="minorEastAsia" w:hAnsiTheme="minorEastAsia"/>
          <w:color w:val="000000" w:themeColor="text1"/>
          <w:sz w:val="24"/>
          <w:szCs w:val="24"/>
          <w14:textFill>
            <w14:solidFill>
              <w14:schemeClr w14:val="tx1"/>
            </w14:solidFill>
          </w14:textFill>
        </w:rPr>
      </w:pPr>
      <w:r>
        <w:br w:type="page"/>
      </w:r>
      <w:r>
        <w:rPr>
          <w:rFonts w:hint="eastAsia" w:ascii="黑体" w:hAnsi="宋体" w:eastAsia="黑体"/>
          <w:bCs/>
          <w:color w:val="000000" w:themeColor="text1"/>
          <w:sz w:val="24"/>
          <w:szCs w:val="24"/>
          <w14:textFill>
            <w14:solidFill>
              <w14:schemeClr w14:val="tx1"/>
            </w14:solidFill>
          </w14:textFill>
        </w:rPr>
        <w:t>（七）疫情期间参与采购活动开评标人员健康信息登记表</w:t>
      </w:r>
    </w:p>
    <w:p>
      <w:pPr>
        <w:jc w:val="center"/>
        <w:rPr>
          <w:rFonts w:ascii="Times New Roman" w:hAnsi="Times New Roman"/>
          <w:b/>
          <w:color w:val="000000"/>
          <w:sz w:val="28"/>
          <w:szCs w:val="28"/>
        </w:rPr>
      </w:pPr>
    </w:p>
    <w:p>
      <w:pPr>
        <w:spacing w:line="360" w:lineRule="auto"/>
        <w:jc w:val="center"/>
        <w:rPr>
          <w:rFonts w:ascii="黑体" w:hAnsi="黑体" w:eastAsia="黑体"/>
          <w:color w:val="000000"/>
          <w:sz w:val="28"/>
          <w:szCs w:val="28"/>
        </w:rPr>
      </w:pPr>
      <w:r>
        <w:rPr>
          <w:rFonts w:hint="eastAsia" w:ascii="黑体" w:hAnsi="黑体" w:eastAsia="黑体"/>
          <w:color w:val="000000"/>
          <w:sz w:val="28"/>
          <w:szCs w:val="28"/>
        </w:rPr>
        <w:t>疫情期间参与采购活动开评标人员健康信息登记表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08" w:type="dxa"/>
          <w:bottom w:w="113" w:type="dxa"/>
          <w:right w:w="108" w:type="dxa"/>
        </w:tblCellMar>
      </w:tblPr>
      <w:tblGrid>
        <w:gridCol w:w="1696"/>
        <w:gridCol w:w="1582"/>
        <w:gridCol w:w="540"/>
        <w:gridCol w:w="20"/>
        <w:gridCol w:w="977"/>
        <w:gridCol w:w="568"/>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姓名</w:t>
            </w:r>
          </w:p>
        </w:tc>
        <w:tc>
          <w:tcPr>
            <w:tcW w:w="1582" w:type="dxa"/>
            <w:vAlign w:val="center"/>
          </w:tcPr>
          <w:p>
            <w:pPr>
              <w:jc w:val="center"/>
              <w:rPr>
                <w:rFonts w:ascii="宋体" w:hAnsi="宋体"/>
                <w:sz w:val="24"/>
              </w:rPr>
            </w:pPr>
          </w:p>
        </w:tc>
        <w:tc>
          <w:tcPr>
            <w:tcW w:w="1537" w:type="dxa"/>
            <w:gridSpan w:val="3"/>
            <w:vAlign w:val="center"/>
          </w:tcPr>
          <w:p>
            <w:pPr>
              <w:jc w:val="center"/>
              <w:rPr>
                <w:rFonts w:ascii="宋体" w:hAnsi="宋体"/>
                <w:sz w:val="24"/>
              </w:rPr>
            </w:pPr>
            <w:r>
              <w:rPr>
                <w:rFonts w:hint="eastAsia" w:ascii="宋体" w:hAnsi="宋体"/>
                <w:sz w:val="24"/>
              </w:rPr>
              <w:t>身份证号码</w:t>
            </w:r>
          </w:p>
        </w:tc>
        <w:tc>
          <w:tcPr>
            <w:tcW w:w="3482"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单位名称</w:t>
            </w:r>
          </w:p>
        </w:tc>
        <w:tc>
          <w:tcPr>
            <w:tcW w:w="6601"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单位地址</w:t>
            </w:r>
          </w:p>
        </w:tc>
        <w:tc>
          <w:tcPr>
            <w:tcW w:w="6601"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个人住址</w:t>
            </w:r>
          </w:p>
        </w:tc>
        <w:tc>
          <w:tcPr>
            <w:tcW w:w="6601"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单位电话</w:t>
            </w:r>
          </w:p>
        </w:tc>
        <w:tc>
          <w:tcPr>
            <w:tcW w:w="2142" w:type="dxa"/>
            <w:gridSpan w:val="3"/>
            <w:vAlign w:val="center"/>
          </w:tcPr>
          <w:p>
            <w:pPr>
              <w:jc w:val="center"/>
              <w:rPr>
                <w:rFonts w:ascii="宋体" w:hAnsi="宋体"/>
                <w:sz w:val="24"/>
              </w:rPr>
            </w:pPr>
          </w:p>
        </w:tc>
        <w:tc>
          <w:tcPr>
            <w:tcW w:w="1545" w:type="dxa"/>
            <w:gridSpan w:val="2"/>
            <w:vAlign w:val="center"/>
          </w:tcPr>
          <w:p>
            <w:pPr>
              <w:jc w:val="center"/>
              <w:rPr>
                <w:rFonts w:ascii="宋体" w:hAnsi="宋体"/>
                <w:sz w:val="24"/>
              </w:rPr>
            </w:pPr>
            <w:r>
              <w:rPr>
                <w:rFonts w:hint="eastAsia" w:ascii="宋体" w:hAnsi="宋体"/>
                <w:sz w:val="24"/>
              </w:rPr>
              <w:t>个人手机</w:t>
            </w:r>
          </w:p>
        </w:tc>
        <w:tc>
          <w:tcPr>
            <w:tcW w:w="29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人员身份</w:t>
            </w:r>
          </w:p>
        </w:tc>
        <w:tc>
          <w:tcPr>
            <w:tcW w:w="6601" w:type="dxa"/>
            <w:gridSpan w:val="6"/>
            <w:vAlign w:val="center"/>
          </w:tcPr>
          <w:p>
            <w:pPr>
              <w:jc w:val="center"/>
              <w:rPr>
                <w:rFonts w:ascii="宋体" w:hAnsi="宋体"/>
                <w:sz w:val="24"/>
              </w:rPr>
            </w:pPr>
            <w:r>
              <w:rPr>
                <w:rFonts w:hint="eastAsia" w:ascii="宋体" w:hAnsi="宋体"/>
                <w:sz w:val="24"/>
              </w:rPr>
              <w:t>□采购人代表 □投标人代表  □评标专家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vAlign w:val="center"/>
          </w:tcPr>
          <w:p>
            <w:pPr>
              <w:ind w:firstLine="240" w:firstLineChars="100"/>
              <w:jc w:val="left"/>
              <w:rPr>
                <w:rFonts w:ascii="宋体" w:hAnsi="宋体"/>
                <w:sz w:val="24"/>
              </w:rPr>
            </w:pPr>
            <w:r>
              <w:rPr>
                <w:rFonts w:hint="eastAsia" w:ascii="宋体" w:hAnsi="宋体"/>
                <w:sz w:val="24"/>
              </w:rPr>
              <w:t>参加： □ 开标 □ 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项目名称</w:t>
            </w:r>
          </w:p>
        </w:tc>
        <w:tc>
          <w:tcPr>
            <w:tcW w:w="6601"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8297" w:type="dxa"/>
            <w:gridSpan w:val="7"/>
            <w:vAlign w:val="center"/>
          </w:tcPr>
          <w:p>
            <w:pPr>
              <w:jc w:val="center"/>
              <w:rPr>
                <w:rFonts w:ascii="宋体" w:hAnsi="宋体"/>
                <w:b/>
                <w:bCs/>
                <w:sz w:val="24"/>
              </w:rPr>
            </w:pPr>
            <w:r>
              <w:rPr>
                <w:rFonts w:hint="eastAsia" w:ascii="宋体" w:hAnsi="宋体"/>
                <w:b/>
                <w:bCs/>
                <w:sz w:val="24"/>
              </w:rPr>
              <w:t>个人健康情况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8297" w:type="dxa"/>
            <w:gridSpan w:val="7"/>
            <w:vAlign w:val="center"/>
          </w:tcPr>
          <w:p>
            <w:pPr>
              <w:jc w:val="center"/>
              <w:rPr>
                <w:rFonts w:ascii="宋体" w:hAnsi="宋体"/>
                <w:sz w:val="24"/>
              </w:rPr>
            </w:pPr>
            <w:r>
              <w:rPr>
                <w:rFonts w:hint="eastAsia" w:ascii="宋体" w:hAnsi="宋体"/>
                <w:sz w:val="24"/>
              </w:rPr>
              <w:t>有无发热、乏力、干咳、气促情况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8297" w:type="dxa"/>
            <w:gridSpan w:val="7"/>
            <w:vAlign w:val="center"/>
          </w:tcPr>
          <w:p>
            <w:pPr>
              <w:jc w:val="center"/>
              <w:rPr>
                <w:rFonts w:ascii="宋体" w:hAnsi="宋体"/>
                <w:sz w:val="24"/>
              </w:rPr>
            </w:pPr>
            <w:r>
              <w:rPr>
                <w:rFonts w:hint="eastAsia" w:ascii="宋体" w:hAnsi="宋体"/>
                <w:sz w:val="24"/>
              </w:rPr>
              <w:t>近14天内是否来自（或途径）疫情重点地区和高风险地区？</w:t>
            </w:r>
          </w:p>
          <w:p>
            <w:pPr>
              <w:jc w:val="center"/>
              <w:rPr>
                <w:rFonts w:ascii="宋体" w:hAnsi="宋体"/>
                <w:sz w:val="24"/>
                <w:u w:val="single"/>
              </w:rPr>
            </w:pPr>
            <w:r>
              <w:rPr>
                <w:rFonts w:hint="eastAsia" w:ascii="宋体" w:hAnsi="宋体"/>
                <w:sz w:val="24"/>
              </w:rPr>
              <w:t>□否     □是 ，到达时间为：</w:t>
            </w:r>
            <w:r>
              <w:rPr>
                <w:rFonts w:hint="eastAsia" w:ascii="宋体" w:hAnsi="宋体"/>
                <w:sz w:val="24"/>
                <w:u w:val="single"/>
              </w:rPr>
              <w:t xml:space="preserve"> </w:t>
            </w:r>
            <w:r>
              <w:rPr>
                <w:rFonts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vAlign w:val="center"/>
          </w:tcPr>
          <w:p>
            <w:pPr>
              <w:jc w:val="center"/>
              <w:rPr>
                <w:rFonts w:ascii="宋体" w:hAnsi="宋体"/>
                <w:sz w:val="24"/>
              </w:rPr>
            </w:pPr>
            <w:r>
              <w:rPr>
                <w:rFonts w:hint="eastAsia" w:ascii="宋体" w:hAnsi="宋体"/>
                <w:sz w:val="24"/>
              </w:rPr>
              <w:t>近14天内是否离开过常州？ □否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离开常州往</w:t>
            </w:r>
          </w:p>
        </w:tc>
        <w:tc>
          <w:tcPr>
            <w:tcW w:w="2122" w:type="dxa"/>
            <w:gridSpan w:val="2"/>
            <w:vAlign w:val="center"/>
          </w:tcPr>
          <w:p>
            <w:pPr>
              <w:jc w:val="center"/>
              <w:rPr>
                <w:rFonts w:ascii="宋体" w:hAnsi="宋体"/>
                <w:sz w:val="24"/>
              </w:rPr>
            </w:pPr>
          </w:p>
        </w:tc>
        <w:tc>
          <w:tcPr>
            <w:tcW w:w="1565" w:type="dxa"/>
            <w:gridSpan w:val="3"/>
            <w:vAlign w:val="center"/>
          </w:tcPr>
          <w:p>
            <w:pPr>
              <w:jc w:val="center"/>
              <w:rPr>
                <w:rFonts w:ascii="宋体" w:hAnsi="宋体"/>
                <w:sz w:val="24"/>
              </w:rPr>
            </w:pPr>
            <w:r>
              <w:rPr>
                <w:rFonts w:hint="eastAsia" w:ascii="宋体" w:hAnsi="宋体"/>
                <w:sz w:val="24"/>
              </w:rPr>
              <w:t>返常日期</w:t>
            </w:r>
          </w:p>
        </w:tc>
        <w:tc>
          <w:tcPr>
            <w:tcW w:w="29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途径（换乘）</w:t>
            </w:r>
          </w:p>
        </w:tc>
        <w:tc>
          <w:tcPr>
            <w:tcW w:w="2122" w:type="dxa"/>
            <w:gridSpan w:val="2"/>
            <w:vAlign w:val="center"/>
          </w:tcPr>
          <w:p>
            <w:pPr>
              <w:jc w:val="center"/>
              <w:rPr>
                <w:rFonts w:ascii="宋体" w:hAnsi="宋体"/>
                <w:sz w:val="24"/>
              </w:rPr>
            </w:pPr>
          </w:p>
        </w:tc>
        <w:tc>
          <w:tcPr>
            <w:tcW w:w="1565" w:type="dxa"/>
            <w:gridSpan w:val="3"/>
            <w:vAlign w:val="center"/>
          </w:tcPr>
          <w:p>
            <w:pPr>
              <w:jc w:val="center"/>
              <w:rPr>
                <w:rFonts w:ascii="宋体" w:hAnsi="宋体"/>
                <w:sz w:val="24"/>
              </w:rPr>
            </w:pPr>
            <w:r>
              <w:rPr>
                <w:rFonts w:hint="eastAsia" w:ascii="宋体" w:hAnsi="宋体"/>
                <w:sz w:val="24"/>
              </w:rPr>
              <w:t>途径日期</w:t>
            </w:r>
          </w:p>
        </w:tc>
        <w:tc>
          <w:tcPr>
            <w:tcW w:w="29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67" w:hRule="atLeast"/>
          <w:jc w:val="center"/>
        </w:trPr>
        <w:tc>
          <w:tcPr>
            <w:tcW w:w="8297" w:type="dxa"/>
            <w:gridSpan w:val="7"/>
            <w:vAlign w:val="center"/>
          </w:tcPr>
          <w:p>
            <w:pPr>
              <w:jc w:val="center"/>
              <w:rPr>
                <w:rFonts w:ascii="宋体" w:hAnsi="宋体"/>
                <w:sz w:val="24"/>
              </w:rPr>
            </w:pPr>
            <w:r>
              <w:rPr>
                <w:rFonts w:hint="eastAsia" w:ascii="宋体" w:hAnsi="宋体"/>
                <w:sz w:val="24"/>
              </w:rPr>
              <w:t>近14天内是否有与来自疫情重点地区和高风险地区的人员接触情况？</w:t>
            </w:r>
          </w:p>
          <w:p>
            <w:pPr>
              <w:numPr>
                <w:ilvl w:val="0"/>
                <w:numId w:val="9"/>
              </w:numPr>
              <w:jc w:val="center"/>
              <w:rPr>
                <w:rFonts w:ascii="宋体" w:hAnsi="宋体" w:eastAsia="宋体" w:cs="Times New Roman"/>
                <w:sz w:val="24"/>
                <w:szCs w:val="20"/>
              </w:rPr>
            </w:pPr>
            <w:r>
              <w:rPr>
                <w:rFonts w:hint="eastAsia" w:ascii="宋体" w:hAnsi="宋体" w:eastAsia="宋体" w:cs="Times New Roman"/>
                <w:sz w:val="24"/>
                <w:szCs w:val="20"/>
              </w:rPr>
              <w:t>否 □是 ，接触时间为：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2" w:hRule="atLeast"/>
          <w:jc w:val="center"/>
        </w:trPr>
        <w:tc>
          <w:tcPr>
            <w:tcW w:w="8297" w:type="dxa"/>
            <w:gridSpan w:val="7"/>
            <w:vAlign w:val="center"/>
          </w:tcPr>
          <w:p>
            <w:pPr>
              <w:ind w:firstLine="480" w:firstLineChars="200"/>
              <w:jc w:val="left"/>
              <w:rPr>
                <w:rFonts w:ascii="宋体" w:hAnsi="宋体"/>
                <w:sz w:val="24"/>
              </w:rPr>
            </w:pPr>
            <w:r>
              <w:rPr>
                <w:rFonts w:hint="eastAsia" w:ascii="宋体" w:hAnsi="宋体"/>
                <w:sz w:val="24"/>
              </w:rPr>
              <w:t>本人承诺以上信息真实准确。如有不实，愿承担由此引起的一切后果及法律责任。</w:t>
            </w:r>
          </w:p>
          <w:p>
            <w:pPr>
              <w:jc w:val="left"/>
              <w:rPr>
                <w:rFonts w:ascii="宋体" w:hAnsi="宋体"/>
                <w:sz w:val="24"/>
              </w:rPr>
            </w:pPr>
          </w:p>
          <w:p>
            <w:pPr>
              <w:wordWrap w:val="0"/>
              <w:jc w:val="left"/>
              <w:rPr>
                <w:rFonts w:ascii="宋体" w:hAnsi="宋体"/>
                <w:sz w:val="24"/>
              </w:rPr>
            </w:pPr>
            <w:r>
              <w:rPr>
                <w:rFonts w:hint="eastAsia" w:ascii="宋体" w:hAnsi="宋体"/>
                <w:sz w:val="24"/>
              </w:rPr>
              <w:t xml:space="preserve">申报人（签名）： </w:t>
            </w:r>
          </w:p>
          <w:p>
            <w:pPr>
              <w:jc w:val="left"/>
              <w:rPr>
                <w:rFonts w:ascii="宋体" w:hAnsi="宋体"/>
                <w:sz w:val="24"/>
              </w:rPr>
            </w:pPr>
          </w:p>
          <w:p>
            <w:pPr>
              <w:wordWrap w:val="0"/>
              <w:jc w:val="left"/>
              <w:rPr>
                <w:sz w:val="24"/>
              </w:rPr>
            </w:pPr>
            <w:r>
              <w:rPr>
                <w:rFonts w:hint="eastAsia"/>
                <w:sz w:val="24"/>
              </w:rPr>
              <w:t>单位（公章）：</w:t>
            </w:r>
          </w:p>
          <w:p>
            <w:pPr>
              <w:ind w:firstLine="4920" w:firstLineChars="2050"/>
              <w:jc w:val="left"/>
              <w:rPr>
                <w:sz w:val="24"/>
              </w:rPr>
            </w:pPr>
            <w:r>
              <w:rPr>
                <w:rFonts w:hint="eastAsia" w:ascii="宋体" w:hAnsi="宋体"/>
                <w:sz w:val="24"/>
              </w:rPr>
              <w:t>日期：</w:t>
            </w:r>
          </w:p>
        </w:tc>
      </w:tr>
    </w:tbl>
    <w:p>
      <w:pPr>
        <w:spacing w:line="360" w:lineRule="auto"/>
        <w:rPr>
          <w:rFonts w:ascii="宋体" w:hAnsi="宋体" w:eastAsia="宋体" w:cs="宋体"/>
          <w:b/>
          <w:sz w:val="24"/>
          <w:szCs w:val="24"/>
        </w:rPr>
      </w:pPr>
      <w:r>
        <w:rPr>
          <w:rFonts w:hint="eastAsia" w:ascii="宋体" w:hAnsi="宋体" w:eastAsia="宋体" w:cs="宋体"/>
          <w:b/>
          <w:sz w:val="24"/>
          <w:szCs w:val="24"/>
        </w:rPr>
        <w:t>存在瞒报或审查不严的企业，一经发现将严肃处理，在诚信体系中予以记录，并报有关部门依法追究责任。</w:t>
      </w:r>
    </w:p>
    <w:p>
      <w:pPr>
        <w:widowControl/>
        <w:jc w:val="left"/>
      </w:pPr>
      <w:r>
        <w:br w:type="page"/>
      </w:r>
    </w:p>
    <w:p>
      <w:pPr>
        <w:keepNext/>
        <w:spacing w:line="360" w:lineRule="auto"/>
        <w:jc w:val="center"/>
        <w:outlineLvl w:val="0"/>
        <w:rPr>
          <w:rFonts w:ascii="黑体" w:hAnsi="黑体" w:eastAsia="黑体" w:cs="Times New Roman"/>
          <w:bCs/>
          <w:kern w:val="0"/>
          <w:sz w:val="28"/>
          <w:szCs w:val="28"/>
        </w:rPr>
      </w:pPr>
      <w:bookmarkStart w:id="85" w:name="_Toc25701"/>
      <w:bookmarkStart w:id="86" w:name="_Toc63173555"/>
      <w:r>
        <w:rPr>
          <w:rFonts w:hint="eastAsia" w:ascii="黑体" w:hAnsi="黑体" w:eastAsia="黑体" w:cs="Times New Roman"/>
          <w:bCs/>
          <w:kern w:val="0"/>
          <w:sz w:val="28"/>
          <w:szCs w:val="28"/>
        </w:rPr>
        <w:t>友 情 提 醒</w:t>
      </w:r>
      <w:bookmarkEnd w:id="85"/>
      <w:bookmarkEnd w:id="86"/>
    </w:p>
    <w:p>
      <w:pPr>
        <w:spacing w:line="360" w:lineRule="auto"/>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各供应商：</w:t>
      </w:r>
    </w:p>
    <w:p>
      <w:pPr>
        <w:spacing w:line="360" w:lineRule="auto"/>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您好！</w:t>
      </w:r>
    </w:p>
    <w:p>
      <w:pPr>
        <w:spacing w:line="360" w:lineRule="auto"/>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为了提高贵单位的响应文件的有效性，减少不必要的无效</w:t>
      </w:r>
      <w:r>
        <w:rPr>
          <w:rFonts w:hint="eastAsia" w:eastAsia="宋体"/>
          <w:color w:val="000000" w:themeColor="text1"/>
          <w:sz w:val="24"/>
          <w:szCs w:val="24"/>
          <w14:textFill>
            <w14:solidFill>
              <w14:schemeClr w14:val="tx1"/>
            </w14:solidFill>
          </w14:textFill>
        </w:rPr>
        <w:t>报价</w:t>
      </w:r>
      <w:r>
        <w:rPr>
          <w:rFonts w:eastAsia="宋体"/>
          <w:color w:val="000000" w:themeColor="text1"/>
          <w:sz w:val="24"/>
          <w:szCs w:val="24"/>
          <w14:textFill>
            <w14:solidFill>
              <w14:schemeClr w14:val="tx1"/>
            </w14:solidFill>
          </w14:textFill>
        </w:rPr>
        <w:t>，特友情提醒注意以下几点：</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1.</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请谨记采购文件上表述的各项事宜时间节点，特别是开标时间和地点，迟到的将一律不能进入开标室。</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3.</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响应文件应按要求密封，并在封袋上加盖供应商公章。</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 响应文件须按采购文件《二、供应商须知》及《五、响应文件格式》中相关要求装订、密封、标记、盖章和签署。响应文件封袋须加盖供应商公章。</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4.</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响应文件中的证明文件及资料需提供复印件并加盖公章，有要求提供原件或公证件的必须将原件或公证件携带至开标现场备查或核查。</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5.</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需要提供样品的，请严格按采购文件要求提供，同时注意密封、隐蔽标签的相关要求。</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6.</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因采购文件文字表述有限，鼓励您现场踏勘，可以在投标前充分了解现场环境、项目进度和质量要求等信息，为贵单位有针对性的制作响应文件积累充分的原始资料。</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7.</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设定最高限价的，超过限价一律废标。</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8.</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请精心仔细审阅采购文件，特别是加粗部分的文字。如有疑问，请按采购文件要求进行询疑。</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p>
    <w:p>
      <w:pPr>
        <w:spacing w:line="360" w:lineRule="auto"/>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 xml:space="preserve">我单位十分欢迎贵单位对招标采购组织工作提出宝贵意见和建议。电话：0519-86661066  </w:t>
      </w:r>
    </w:p>
    <w:p>
      <w:pPr>
        <w:spacing w:line="360" w:lineRule="auto"/>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最后祝贵单位投标成功！</w:t>
      </w:r>
    </w:p>
    <w:p>
      <w:pPr>
        <w:spacing w:line="360" w:lineRule="auto"/>
        <w:ind w:firstLine="480" w:firstLineChars="200"/>
        <w:rPr>
          <w:rFonts w:eastAsia="宋体"/>
          <w:color w:val="000000" w:themeColor="text1"/>
          <w:sz w:val="24"/>
          <w:szCs w:val="24"/>
          <w14:textFill>
            <w14:solidFill>
              <w14:schemeClr w14:val="tx1"/>
            </w14:solidFill>
          </w14:textFill>
        </w:rPr>
      </w:pPr>
    </w:p>
    <w:p>
      <w:pPr>
        <w:spacing w:line="360" w:lineRule="auto"/>
        <w:ind w:firstLine="480" w:firstLineChars="200"/>
        <w:rPr>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本采购文件的最终解释权归常州中采招投标有限公司所有。</w:t>
      </w:r>
    </w:p>
    <w:p>
      <w:pPr>
        <w:spacing w:line="360" w:lineRule="auto"/>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（全文完）</w:t>
      </w:r>
    </w:p>
    <w:p>
      <w:pPr>
        <w:widowControl/>
        <w:jc w:val="left"/>
        <w:rPr>
          <w:rFonts w:ascii="黑体" w:hAnsi="黑体" w:eastAsia="黑体"/>
          <w:color w:val="000000" w:themeColor="text1"/>
          <w:sz w:val="28"/>
          <w:szCs w:val="28"/>
          <w14:textFill>
            <w14:solidFill>
              <w14:schemeClr w14:val="tx1"/>
            </w14:solidFill>
          </w14:textFill>
        </w:rPr>
      </w:pPr>
    </w:p>
    <w:sectPr>
      <w:headerReference r:id="rId12" w:type="first"/>
      <w:footerReference r:id="rId14" w:type="first"/>
      <w:headerReference r:id="rId10" w:type="default"/>
      <w:footerReference r:id="rId13" w:type="default"/>
      <w:headerReference r:id="rId11" w:type="even"/>
      <w:pgSz w:w="11906" w:h="16838"/>
      <w:pgMar w:top="1276" w:right="851" w:bottom="1134" w:left="1134" w:header="568" w:footer="594"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3316035"/>
    </w:sdtPr>
    <w:sdtContent>
      <w:p>
        <w:pPr>
          <w:pStyle w:val="20"/>
          <w:tabs>
            <w:tab w:val="left" w:pos="3900"/>
            <w:tab w:val="center" w:pos="4960"/>
          </w:tabs>
          <w:rPr>
            <w:rFonts w:asciiTheme="minorHAnsi" w:hAnsiTheme="minorHAnsi" w:eastAsiaTheme="minorEastAsia" w:cstheme="minorBidi"/>
            <w:kern w:val="2"/>
            <w:sz w:val="21"/>
            <w:szCs w:val="22"/>
          </w:rPr>
        </w:pPr>
        <w:r>
          <w:tab/>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uto" w:vAnchor="text" w:hAnchor="margin" w:xAlign="center" w:y="1"/>
      <w:rPr>
        <w:rStyle w:val="35"/>
      </w:rPr>
    </w:pPr>
    <w:r>
      <w:rPr>
        <w:rStyle w:val="35"/>
      </w:rPr>
      <w:fldChar w:fldCharType="begin"/>
    </w:r>
    <w:r>
      <w:rPr>
        <w:rStyle w:val="35"/>
      </w:rPr>
      <w:instrText xml:space="preserve">PAGE  </w:instrText>
    </w:r>
    <w:r>
      <w:rPr>
        <w:rStyle w:val="35"/>
      </w:rPr>
      <w:fldChar w:fldCharType="separate"/>
    </w:r>
    <w:r>
      <w:rPr>
        <w:rStyle w:val="35"/>
      </w:rPr>
      <w:t>1</w:t>
    </w:r>
    <w:r>
      <w:rPr>
        <w:rStyle w:val="35"/>
      </w:rPr>
      <w:fldChar w:fldCharType="end"/>
    </w:r>
  </w:p>
  <w:p>
    <w:pPr>
      <w:pStyle w:val="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7807669"/>
    </w:sdtPr>
    <w:sdtContent>
      <w:p>
        <w:pPr>
          <w:pStyle w:val="20"/>
          <w:tabs>
            <w:tab w:val="left" w:pos="3900"/>
            <w:tab w:val="center" w:pos="4960"/>
          </w:tabs>
          <w:rPr>
            <w:rFonts w:asciiTheme="minorHAnsi" w:hAnsiTheme="minorHAnsi" w:eastAsiaTheme="minorEastAsia" w:cstheme="minorBidi"/>
            <w:kern w:val="2"/>
            <w:sz w:val="21"/>
            <w:szCs w:val="22"/>
          </w:rPr>
        </w:pPr>
        <w:r>
          <w:tab/>
        </w:r>
        <w:r>
          <w:tab/>
        </w:r>
        <w:r>
          <w:rPr>
            <w:rFonts w:asciiTheme="minorEastAsia" w:hAnsiTheme="minorEastAsia" w:eastAsiaTheme="minorEastAsia"/>
            <w:sz w:val="21"/>
            <w:szCs w:val="21"/>
            <w:lang w:val="zh-CN"/>
          </w:rPr>
          <w:t xml:space="preserve"> 第</w:t>
        </w:r>
        <w:r>
          <w:rPr>
            <w:rFonts w:asciiTheme="minorEastAsia" w:hAnsiTheme="minorEastAsia" w:eastAsiaTheme="minorEastAsia"/>
            <w:bCs/>
            <w:sz w:val="21"/>
            <w:szCs w:val="21"/>
          </w:rPr>
          <w:fldChar w:fldCharType="begin"/>
        </w:r>
        <w:r>
          <w:rPr>
            <w:rFonts w:asciiTheme="minorEastAsia" w:hAnsiTheme="minorEastAsia" w:eastAsiaTheme="minorEastAsia"/>
            <w:bCs/>
            <w:sz w:val="21"/>
            <w:szCs w:val="21"/>
          </w:rPr>
          <w:instrText xml:space="preserve">PAGE</w:instrText>
        </w:r>
        <w:r>
          <w:rPr>
            <w:rFonts w:asciiTheme="minorEastAsia" w:hAnsiTheme="minorEastAsia" w:eastAsiaTheme="minorEastAsia"/>
            <w:bCs/>
            <w:sz w:val="21"/>
            <w:szCs w:val="21"/>
          </w:rPr>
          <w:fldChar w:fldCharType="separate"/>
        </w:r>
        <w:r>
          <w:rPr>
            <w:rFonts w:asciiTheme="minorEastAsia" w:hAnsiTheme="minorEastAsia" w:eastAsiaTheme="minorEastAsia"/>
            <w:bCs/>
            <w:sz w:val="21"/>
            <w:szCs w:val="21"/>
          </w:rPr>
          <w:t>6</w:t>
        </w:r>
        <w:r>
          <w:rPr>
            <w:rFonts w:asciiTheme="minorEastAsia" w:hAnsiTheme="minorEastAsia" w:eastAsiaTheme="minorEastAsia"/>
            <w:bCs/>
            <w:sz w:val="21"/>
            <w:szCs w:val="21"/>
          </w:rPr>
          <w:fldChar w:fldCharType="end"/>
        </w:r>
        <w:r>
          <w:rPr>
            <w:rFonts w:asciiTheme="minorEastAsia" w:hAnsiTheme="minorEastAsia" w:eastAsiaTheme="minorEastAsia"/>
            <w:bCs/>
            <w:sz w:val="21"/>
            <w:szCs w:val="21"/>
          </w:rPr>
          <w:t>页</w:t>
        </w:r>
        <w:r>
          <w:rPr>
            <w:rFonts w:asciiTheme="minorEastAsia" w:hAnsiTheme="minorEastAsia" w:eastAsiaTheme="minorEastAsia"/>
            <w:sz w:val="21"/>
            <w:szCs w:val="21"/>
            <w:lang w:val="zh-CN"/>
          </w:rPr>
          <w:t xml:space="preserve"> </w:t>
        </w:r>
        <w:r>
          <w:rPr>
            <w:rFonts w:hint="eastAsia" w:asciiTheme="minorEastAsia" w:hAnsiTheme="minorEastAsia" w:eastAsiaTheme="minorEastAsia"/>
            <w:sz w:val="21"/>
            <w:szCs w:val="21"/>
            <w:lang w:val="zh-CN"/>
          </w:rPr>
          <w:t xml:space="preserve"> </w:t>
        </w:r>
        <w:r>
          <w:rPr>
            <w:rFonts w:asciiTheme="minorEastAsia" w:hAnsiTheme="minorEastAsia" w:eastAsiaTheme="minorEastAsia"/>
            <w:sz w:val="21"/>
            <w:szCs w:val="21"/>
            <w:lang w:val="zh-CN"/>
          </w:rPr>
          <w:t xml:space="preserve">共 </w:t>
        </w:r>
        <w:r>
          <w:rPr>
            <w:rFonts w:hint="eastAsia" w:asciiTheme="minorEastAsia" w:hAnsiTheme="minorEastAsia" w:eastAsiaTheme="minorEastAsia"/>
            <w:bCs/>
            <w:sz w:val="21"/>
            <w:szCs w:val="21"/>
          </w:rPr>
          <w:t>40</w:t>
        </w:r>
        <w:r>
          <w:rPr>
            <w:rFonts w:asciiTheme="minorEastAsia" w:hAnsiTheme="minorEastAsia" w:eastAsiaTheme="minorEastAsia"/>
            <w:bCs/>
            <w:sz w:val="21"/>
            <w:szCs w:val="21"/>
          </w:rPr>
          <w:t>页</w:t>
        </w:r>
      </w:p>
    </w:sdtContent>
  </w:sdt>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7100909"/>
    </w:sdtPr>
    <w:sdtContent>
      <w:sdt>
        <w:sdtPr>
          <w:id w:val="-1669238322"/>
        </w:sdtPr>
        <w:sdtContent>
          <w:p>
            <w:pPr>
              <w:pStyle w:val="20"/>
              <w:jc w:val="center"/>
            </w:pPr>
            <w:r>
              <w:rPr>
                <w:rFonts w:hint="eastAsia" w:asciiTheme="minorEastAsia" w:hAnsiTheme="minorEastAsia" w:eastAsiaTheme="minorEastAsia"/>
                <w:szCs w:val="18"/>
              </w:rPr>
              <w:t>第</w:t>
            </w:r>
            <w:r>
              <w:rPr>
                <w:rFonts w:asciiTheme="minorEastAsia" w:hAnsiTheme="minorEastAsia" w:eastAsiaTheme="minorEastAsia"/>
                <w:szCs w:val="18"/>
                <w:lang w:val="zh-CN"/>
              </w:rPr>
              <w:t xml:space="preserve"> </w:t>
            </w:r>
            <w:r>
              <w:rPr>
                <w:rFonts w:asciiTheme="minorEastAsia" w:hAnsiTheme="minorEastAsia" w:eastAsiaTheme="minorEastAsia"/>
                <w:bCs/>
                <w:szCs w:val="18"/>
              </w:rPr>
              <w:fldChar w:fldCharType="begin"/>
            </w:r>
            <w:r>
              <w:rPr>
                <w:rFonts w:asciiTheme="minorEastAsia" w:hAnsiTheme="minorEastAsia" w:eastAsiaTheme="minorEastAsia"/>
                <w:bCs/>
                <w:szCs w:val="18"/>
              </w:rPr>
              <w:instrText xml:space="preserve">PAGE</w:instrText>
            </w:r>
            <w:r>
              <w:rPr>
                <w:rFonts w:asciiTheme="minorEastAsia" w:hAnsiTheme="minorEastAsia" w:eastAsiaTheme="minorEastAsia"/>
                <w:bCs/>
                <w:szCs w:val="18"/>
              </w:rPr>
              <w:fldChar w:fldCharType="separate"/>
            </w:r>
            <w:r>
              <w:rPr>
                <w:rFonts w:asciiTheme="minorEastAsia" w:hAnsiTheme="minorEastAsia" w:eastAsiaTheme="minorEastAsia"/>
                <w:bCs/>
                <w:szCs w:val="18"/>
              </w:rPr>
              <w:t>40</w:t>
            </w:r>
            <w:r>
              <w:rPr>
                <w:rFonts w:asciiTheme="minorEastAsia" w:hAnsiTheme="minorEastAsia" w:eastAsiaTheme="minorEastAsia"/>
                <w:bCs/>
                <w:szCs w:val="18"/>
              </w:rPr>
              <w:fldChar w:fldCharType="end"/>
            </w:r>
            <w:r>
              <w:rPr>
                <w:rFonts w:hint="eastAsia" w:asciiTheme="minorEastAsia" w:hAnsiTheme="minorEastAsia" w:eastAsiaTheme="minorEastAsia"/>
                <w:bCs/>
                <w:szCs w:val="18"/>
              </w:rPr>
              <w:t xml:space="preserve"> 页，</w:t>
            </w:r>
            <w:r>
              <w:rPr>
                <w:rFonts w:hint="eastAsia" w:asciiTheme="minorEastAsia" w:hAnsiTheme="minorEastAsia" w:eastAsiaTheme="minorEastAsia"/>
                <w:szCs w:val="18"/>
                <w:lang w:val="zh-CN"/>
              </w:rPr>
              <w:t>共</w:t>
            </w:r>
            <w:r>
              <w:rPr>
                <w:rFonts w:hint="eastAsia" w:asciiTheme="minorEastAsia" w:hAnsiTheme="minorEastAsia" w:eastAsiaTheme="minorEastAsia"/>
                <w:bCs/>
                <w:szCs w:val="18"/>
                <w:lang w:val="en-US" w:eastAsia="zh-CN"/>
              </w:rPr>
              <w:t>39</w:t>
            </w:r>
            <w:r>
              <w:rPr>
                <w:rFonts w:hint="eastAsia" w:asciiTheme="minorEastAsia" w:hAnsiTheme="minorEastAsia" w:eastAsiaTheme="minorEastAsia"/>
                <w:bCs/>
                <w:szCs w:val="18"/>
              </w:rPr>
              <w:t>页</w:t>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5"/>
      </w:rPr>
      <w:id w:val="-368604791"/>
    </w:sdtPr>
    <w:sdtEndPr>
      <w:rPr>
        <w:rStyle w:val="35"/>
      </w:rPr>
    </w:sdtEndPr>
    <w:sdtContent>
      <w:p>
        <w:pPr>
          <w:pStyle w:val="20"/>
          <w:framePr w:wrap="auto" w:vAnchor="text" w:hAnchor="margin" w:xAlign="center" w:y="1"/>
          <w:rPr>
            <w:rStyle w:val="35"/>
          </w:rPr>
        </w:pPr>
        <w:r>
          <w:rPr>
            <w:rStyle w:val="35"/>
          </w:rPr>
          <w:fldChar w:fldCharType="begin"/>
        </w:r>
        <w:r>
          <w:rPr>
            <w:rStyle w:val="35"/>
          </w:rPr>
          <w:instrText xml:space="preserve"> PAGE </w:instrText>
        </w:r>
        <w:r>
          <w:rPr>
            <w:rStyle w:val="35"/>
          </w:rPr>
          <w:fldChar w:fldCharType="separate"/>
        </w:r>
        <w:r>
          <w:rPr>
            <w:rStyle w:val="35"/>
          </w:rPr>
          <w:t>1</w:t>
        </w:r>
        <w:r>
          <w:rPr>
            <w:rStyle w:val="35"/>
          </w:rPr>
          <w:fldChar w:fldCharType="end"/>
        </w:r>
      </w:p>
    </w:sdtContent>
  </w:sdt>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rPr>
        <w:rFonts w:ascii="华文新魏" w:hAnsi="华文新魏" w:eastAsia="华文新魏"/>
        <w:sz w:val="21"/>
        <w:szCs w:val="21"/>
      </w:rPr>
    </w:pPr>
    <w:r>
      <w:rPr>
        <w:rFonts w:hint="eastAsia" w:ascii="华文新魏" w:hAnsi="华文新魏" w:eastAsia="华文新魏"/>
        <w:sz w:val="21"/>
        <w:szCs w:val="21"/>
      </w:rPr>
      <w:drawing>
        <wp:anchor distT="0" distB="0" distL="114300" distR="114300" simplePos="0" relativeHeight="251662336" behindDoc="0" locked="0" layoutInCell="1" allowOverlap="1">
          <wp:simplePos x="0" y="0"/>
          <wp:positionH relativeFrom="column">
            <wp:posOffset>2122170</wp:posOffset>
          </wp:positionH>
          <wp:positionV relativeFrom="paragraph">
            <wp:posOffset>-43180</wp:posOffset>
          </wp:positionV>
          <wp:extent cx="2016760" cy="204470"/>
          <wp:effectExtent l="0" t="0" r="0" b="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760" cy="20447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5060950" cy="5080000"/>
          <wp:effectExtent l="0" t="0" r="6350" b="6350"/>
          <wp:wrapNone/>
          <wp:docPr id="1" name="图片 6" descr="WechatIMG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WechatIMG157"/>
                  <pic:cNvPicPr>
                    <a:picLocks noChangeAspect="1"/>
                  </pic:cNvPicPr>
                </pic:nvPicPr>
                <pic:blipFill>
                  <a:blip r:embed="rId1"/>
                  <a:stretch>
                    <a:fillRect/>
                  </a:stretch>
                </pic:blipFill>
                <pic:spPr>
                  <a:xfrm>
                    <a:off x="0" y="0"/>
                    <a:ext cx="5060950" cy="508000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rPr>
        <w:rFonts w:ascii="华文新魏" w:hAnsi="华文新魏" w:eastAsia="华文新魏"/>
        <w:sz w:val="21"/>
        <w:szCs w:val="21"/>
      </w:rPr>
    </w:pPr>
    <w:r>
      <w:rPr>
        <w:rFonts w:hint="eastAsia" w:ascii="华文新魏" w:hAnsi="华文新魏" w:eastAsia="华文新魏"/>
        <w:sz w:val="21"/>
        <w:szCs w:val="21"/>
      </w:rPr>
      <w:drawing>
        <wp:anchor distT="0" distB="0" distL="114300" distR="114300" simplePos="0" relativeHeight="251661312" behindDoc="0" locked="0" layoutInCell="1" allowOverlap="1">
          <wp:simplePos x="0" y="0"/>
          <wp:positionH relativeFrom="column">
            <wp:posOffset>2073910</wp:posOffset>
          </wp:positionH>
          <wp:positionV relativeFrom="paragraph">
            <wp:posOffset>-42545</wp:posOffset>
          </wp:positionV>
          <wp:extent cx="2016760" cy="204470"/>
          <wp:effectExtent l="0" t="0" r="0" b="0"/>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760" cy="20447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left" w:pos="6795"/>
        <w:tab w:val="right" w:pos="8789"/>
      </w:tabs>
      <w:ind w:right="55"/>
      <w:jc w:val="left"/>
      <w:rPr>
        <w:rFonts w:ascii="华文新魏" w:hAnsi="华文新魏" w:eastAsia="华文新魏"/>
        <w:sz w:val="21"/>
        <w:szCs w:val="21"/>
      </w:rPr>
    </w:pPr>
    <w:r>
      <w:rPr>
        <w:rFonts w:ascii="华文新魏" w:hAnsi="华文新魏" w:eastAsia="华文新魏"/>
        <w:sz w:val="21"/>
        <w:szCs w:val="21"/>
      </w:rPr>
      <w:tab/>
    </w:r>
    <w:r>
      <w:rPr>
        <w:rFonts w:ascii="华文新魏" w:hAnsi="华文新魏" w:eastAsia="华文新魏"/>
        <w:sz w:val="21"/>
        <w:szCs w:val="21"/>
      </w:rPr>
      <w:tab/>
    </w:r>
    <w:r>
      <w:rPr>
        <w:rFonts w:ascii="华文新魏" w:hAnsi="华文新魏" w:eastAsia="华文新魏"/>
        <w:sz w:val="21"/>
        <w:szCs w:val="21"/>
      </w:rPr>
      <w:tab/>
    </w:r>
    <w:r>
      <w:rPr>
        <w:rFonts w:hint="eastAsia" w:ascii="华文新魏" w:hAnsi="华文新魏" w:eastAsia="华文新魏"/>
        <w:sz w:val="21"/>
        <w:szCs w:val="21"/>
      </w:rPr>
      <w:drawing>
        <wp:anchor distT="0" distB="0" distL="114300" distR="114300" simplePos="0" relativeHeight="251663360" behindDoc="0" locked="0" layoutInCell="1" allowOverlap="1">
          <wp:simplePos x="0" y="0"/>
          <wp:positionH relativeFrom="column">
            <wp:posOffset>2122170</wp:posOffset>
          </wp:positionH>
          <wp:positionV relativeFrom="paragraph">
            <wp:posOffset>-43180</wp:posOffset>
          </wp:positionV>
          <wp:extent cx="2016760" cy="204470"/>
          <wp:effectExtent l="0" t="0" r="0" b="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760" cy="204470"/>
                  </a:xfrm>
                  <a:prstGeom prst="rect">
                    <a:avLst/>
                  </a:prstGeom>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rPr>
        <w:rFonts w:ascii="华文新魏" w:hAnsi="华文新魏" w:eastAsia="华文新魏"/>
        <w:sz w:val="21"/>
        <w:szCs w:val="21"/>
      </w:rPr>
    </w:pPr>
    <w:r>
      <w:rPr>
        <w:rFonts w:hint="eastAsia" w:ascii="华文新魏" w:hAnsi="华文新魏" w:eastAsia="华文新魏"/>
        <w:sz w:val="21"/>
        <w:szCs w:val="21"/>
      </w:rPr>
      <w:drawing>
        <wp:anchor distT="0" distB="0" distL="114300" distR="114300" simplePos="0" relativeHeight="251662336" behindDoc="0" locked="0" layoutInCell="1" allowOverlap="1">
          <wp:simplePos x="0" y="0"/>
          <wp:positionH relativeFrom="column">
            <wp:posOffset>2107565</wp:posOffset>
          </wp:positionH>
          <wp:positionV relativeFrom="paragraph">
            <wp:posOffset>-50165</wp:posOffset>
          </wp:positionV>
          <wp:extent cx="2016760" cy="204470"/>
          <wp:effectExtent l="0" t="0" r="0" b="0"/>
          <wp:wrapTopAndBottom/>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760" cy="204470"/>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060950" cy="5080000"/>
          <wp:effectExtent l="0" t="0" r="0" b="0"/>
          <wp:wrapNone/>
          <wp:docPr id="10" name="图片 10" descr="WechatIMG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WechatIMG1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060950" cy="5080000"/>
                  </a:xfrm>
                  <a:prstGeom prst="rect">
                    <a:avLst/>
                  </a:prstGeom>
                  <a:noFill/>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060950" cy="5080000"/>
          <wp:effectExtent l="0" t="0" r="0" b="0"/>
          <wp:wrapNone/>
          <wp:docPr id="12" name="图片 12" descr="WechatIMG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WechatIMG1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060950" cy="5080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17FC92"/>
    <w:multiLevelType w:val="singleLevel"/>
    <w:tmpl w:val="9317FC92"/>
    <w:lvl w:ilvl="0" w:tentative="0">
      <w:start w:val="3"/>
      <w:numFmt w:val="chineseCounting"/>
      <w:suff w:val="nothing"/>
      <w:lvlText w:val="（%1）"/>
      <w:lvlJc w:val="left"/>
      <w:rPr>
        <w:rFonts w:hint="eastAsia"/>
      </w:rPr>
    </w:lvl>
  </w:abstractNum>
  <w:abstractNum w:abstractNumId="1">
    <w:nsid w:val="C696A05E"/>
    <w:multiLevelType w:val="singleLevel"/>
    <w:tmpl w:val="C696A05E"/>
    <w:lvl w:ilvl="0" w:tentative="0">
      <w:start w:val="1"/>
      <w:numFmt w:val="decimal"/>
      <w:suff w:val="space"/>
      <w:lvlText w:val="%1."/>
      <w:lvlJc w:val="left"/>
    </w:lvl>
  </w:abstractNum>
  <w:abstractNum w:abstractNumId="2">
    <w:nsid w:val="07CD76B9"/>
    <w:multiLevelType w:val="multilevel"/>
    <w:tmpl w:val="07CD76B9"/>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1594B7D5"/>
    <w:multiLevelType w:val="singleLevel"/>
    <w:tmpl w:val="1594B7D5"/>
    <w:lvl w:ilvl="0" w:tentative="0">
      <w:start w:val="5"/>
      <w:numFmt w:val="decimal"/>
      <w:suff w:val="space"/>
      <w:lvlText w:val="%1."/>
      <w:lvlJc w:val="left"/>
    </w:lvl>
  </w:abstractNum>
  <w:abstractNum w:abstractNumId="4">
    <w:nsid w:val="1FD96D2B"/>
    <w:multiLevelType w:val="singleLevel"/>
    <w:tmpl w:val="1FD96D2B"/>
    <w:lvl w:ilvl="0" w:tentative="0">
      <w:start w:val="1"/>
      <w:numFmt w:val="decimal"/>
      <w:lvlText w:val="（%1）"/>
      <w:lvlJc w:val="left"/>
      <w:pPr>
        <w:tabs>
          <w:tab w:val="left" w:pos="1104"/>
        </w:tabs>
        <w:ind w:left="1104" w:hanging="696"/>
      </w:pPr>
      <w:rPr>
        <w:rFonts w:cs="Times New Roman" w:asciiTheme="minorEastAsia" w:hAnsiTheme="minorEastAsia" w:eastAsiaTheme="minorEastAsia"/>
      </w:rPr>
    </w:lvl>
  </w:abstractNum>
  <w:abstractNum w:abstractNumId="5">
    <w:nsid w:val="4B320AA5"/>
    <w:multiLevelType w:val="multilevel"/>
    <w:tmpl w:val="4B320AA5"/>
    <w:lvl w:ilvl="0" w:tentative="0">
      <w:start w:val="1"/>
      <w:numFmt w:val="decimalEnclosedCircle"/>
      <w:lvlText w:val="%1"/>
      <w:lvlJc w:val="left"/>
      <w:pPr>
        <w:tabs>
          <w:tab w:val="left" w:pos="570"/>
        </w:tabs>
        <w:ind w:left="570" w:hanging="360"/>
      </w:pPr>
      <w:rPr>
        <w:rFonts w:hint="default"/>
      </w:r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6">
    <w:nsid w:val="64607A38"/>
    <w:multiLevelType w:val="multilevel"/>
    <w:tmpl w:val="64607A38"/>
    <w:lvl w:ilvl="0" w:tentative="0">
      <w:start w:val="1"/>
      <w:numFmt w:val="japaneseCounting"/>
      <w:lvlText w:val="%1、"/>
      <w:lvlJc w:val="left"/>
      <w:pPr>
        <w:tabs>
          <w:tab w:val="left" w:pos="552"/>
        </w:tabs>
        <w:ind w:left="552" w:hanging="420"/>
      </w:pPr>
      <w:rPr>
        <w:rFonts w:ascii="Times New Roman" w:hAnsi="Times New Roman" w:eastAsia="Times New Roman" w:cs="Times New Roman"/>
        <w:color w:val="auto"/>
      </w:rPr>
    </w:lvl>
    <w:lvl w:ilvl="1" w:tentative="0">
      <w:start w:val="1"/>
      <w:numFmt w:val="lowerLetter"/>
      <w:lvlText w:val="%2)"/>
      <w:lvlJc w:val="left"/>
      <w:pPr>
        <w:tabs>
          <w:tab w:val="left" w:pos="840"/>
        </w:tabs>
        <w:ind w:left="840" w:hanging="420"/>
      </w:pPr>
      <w:rPr>
        <w:rFonts w:cs="Times New Roman"/>
      </w:rPr>
    </w:lvl>
    <w:lvl w:ilvl="2" w:tentative="0">
      <w:start w:val="10"/>
      <w:numFmt w:val="decimal"/>
      <w:lvlText w:val="%3."/>
      <w:lvlJc w:val="left"/>
      <w:pPr>
        <w:tabs>
          <w:tab w:val="left" w:pos="1200"/>
        </w:tabs>
        <w:ind w:left="1200" w:hanging="360"/>
      </w:pPr>
      <w:rPr>
        <w:rFonts w:hint="default"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71D54D18"/>
    <w:multiLevelType w:val="multilevel"/>
    <w:tmpl w:val="71D54D18"/>
    <w:lvl w:ilvl="0" w:tentative="0">
      <w:start w:val="1"/>
      <w:numFmt w:val="upperLetter"/>
      <w:pStyle w:val="6"/>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781E7A82"/>
    <w:multiLevelType w:val="multilevel"/>
    <w:tmpl w:val="781E7A82"/>
    <w:lvl w:ilvl="0" w:tentative="0">
      <w:start w:val="2016"/>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7"/>
  </w:num>
  <w:num w:numId="2">
    <w:abstractNumId w:val="4"/>
  </w:num>
  <w:num w:numId="3">
    <w:abstractNumId w:val="5"/>
  </w:num>
  <w:num w:numId="4">
    <w:abstractNumId w:val="3"/>
  </w:num>
  <w:num w:numId="5">
    <w:abstractNumId w:val="2"/>
  </w:num>
  <w:num w:numId="6">
    <w:abstractNumId w:val="1"/>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MzRhZDcxNGIyMWQ0YjQ5NmIyNmM4ODJlN2QyYmYifQ=="/>
  </w:docVars>
  <w:rsids>
    <w:rsidRoot w:val="00202940"/>
    <w:rsid w:val="000048AE"/>
    <w:rsid w:val="00007D9A"/>
    <w:rsid w:val="00011B5A"/>
    <w:rsid w:val="00021B35"/>
    <w:rsid w:val="00023F37"/>
    <w:rsid w:val="00025959"/>
    <w:rsid w:val="00025CDA"/>
    <w:rsid w:val="00027136"/>
    <w:rsid w:val="000304B3"/>
    <w:rsid w:val="0003505C"/>
    <w:rsid w:val="0003756D"/>
    <w:rsid w:val="00040D3C"/>
    <w:rsid w:val="000467D6"/>
    <w:rsid w:val="00050C6E"/>
    <w:rsid w:val="000542BD"/>
    <w:rsid w:val="00055659"/>
    <w:rsid w:val="00056FC0"/>
    <w:rsid w:val="00057274"/>
    <w:rsid w:val="00057BBC"/>
    <w:rsid w:val="0006261F"/>
    <w:rsid w:val="00064546"/>
    <w:rsid w:val="00064F9E"/>
    <w:rsid w:val="00071CFE"/>
    <w:rsid w:val="00072395"/>
    <w:rsid w:val="0007466C"/>
    <w:rsid w:val="00081AD6"/>
    <w:rsid w:val="00085025"/>
    <w:rsid w:val="000853A3"/>
    <w:rsid w:val="00091725"/>
    <w:rsid w:val="00091930"/>
    <w:rsid w:val="000929A2"/>
    <w:rsid w:val="000935DA"/>
    <w:rsid w:val="000951E0"/>
    <w:rsid w:val="00096B78"/>
    <w:rsid w:val="00096F5C"/>
    <w:rsid w:val="000A01C4"/>
    <w:rsid w:val="000A611A"/>
    <w:rsid w:val="000A6A2A"/>
    <w:rsid w:val="000A7FF1"/>
    <w:rsid w:val="000B5A22"/>
    <w:rsid w:val="000C394C"/>
    <w:rsid w:val="000D0966"/>
    <w:rsid w:val="000D3F14"/>
    <w:rsid w:val="000D7793"/>
    <w:rsid w:val="000E0666"/>
    <w:rsid w:val="000E5708"/>
    <w:rsid w:val="000E61BA"/>
    <w:rsid w:val="000F08EC"/>
    <w:rsid w:val="000F13DD"/>
    <w:rsid w:val="000F18E1"/>
    <w:rsid w:val="000F3902"/>
    <w:rsid w:val="000F3F52"/>
    <w:rsid w:val="000F4EF1"/>
    <w:rsid w:val="00101B15"/>
    <w:rsid w:val="00102755"/>
    <w:rsid w:val="0010372C"/>
    <w:rsid w:val="001059EA"/>
    <w:rsid w:val="001061CD"/>
    <w:rsid w:val="0010690C"/>
    <w:rsid w:val="00107B7C"/>
    <w:rsid w:val="00110852"/>
    <w:rsid w:val="001111BA"/>
    <w:rsid w:val="00113991"/>
    <w:rsid w:val="00123E77"/>
    <w:rsid w:val="00125078"/>
    <w:rsid w:val="0013089A"/>
    <w:rsid w:val="001313B9"/>
    <w:rsid w:val="0013250F"/>
    <w:rsid w:val="00133344"/>
    <w:rsid w:val="00133FEA"/>
    <w:rsid w:val="00136D32"/>
    <w:rsid w:val="00136D88"/>
    <w:rsid w:val="001370A3"/>
    <w:rsid w:val="0013765A"/>
    <w:rsid w:val="00141B65"/>
    <w:rsid w:val="00147551"/>
    <w:rsid w:val="00147D46"/>
    <w:rsid w:val="00151AAE"/>
    <w:rsid w:val="00153554"/>
    <w:rsid w:val="00153F19"/>
    <w:rsid w:val="00161412"/>
    <w:rsid w:val="0016169A"/>
    <w:rsid w:val="001645F2"/>
    <w:rsid w:val="00164C83"/>
    <w:rsid w:val="00166A1C"/>
    <w:rsid w:val="00166B9F"/>
    <w:rsid w:val="00170876"/>
    <w:rsid w:val="0017431C"/>
    <w:rsid w:val="001774EB"/>
    <w:rsid w:val="00180119"/>
    <w:rsid w:val="0018151D"/>
    <w:rsid w:val="0018434D"/>
    <w:rsid w:val="00184781"/>
    <w:rsid w:val="001917BD"/>
    <w:rsid w:val="00197209"/>
    <w:rsid w:val="001A0B7A"/>
    <w:rsid w:val="001A3FBC"/>
    <w:rsid w:val="001A6D24"/>
    <w:rsid w:val="001A706E"/>
    <w:rsid w:val="001A7A41"/>
    <w:rsid w:val="001B3832"/>
    <w:rsid w:val="001B4A4A"/>
    <w:rsid w:val="001B76D5"/>
    <w:rsid w:val="001C0741"/>
    <w:rsid w:val="001C0B47"/>
    <w:rsid w:val="001C0DBC"/>
    <w:rsid w:val="001C107D"/>
    <w:rsid w:val="001C213A"/>
    <w:rsid w:val="001D26CC"/>
    <w:rsid w:val="001D3F66"/>
    <w:rsid w:val="001E150A"/>
    <w:rsid w:val="001E4668"/>
    <w:rsid w:val="001E58C3"/>
    <w:rsid w:val="001E6093"/>
    <w:rsid w:val="001F0A78"/>
    <w:rsid w:val="001F1F9F"/>
    <w:rsid w:val="001F4C40"/>
    <w:rsid w:val="001F4E86"/>
    <w:rsid w:val="001F57BF"/>
    <w:rsid w:val="0020257D"/>
    <w:rsid w:val="00202940"/>
    <w:rsid w:val="00202D50"/>
    <w:rsid w:val="00202E69"/>
    <w:rsid w:val="0020399D"/>
    <w:rsid w:val="002039D9"/>
    <w:rsid w:val="00203A18"/>
    <w:rsid w:val="00204136"/>
    <w:rsid w:val="00204689"/>
    <w:rsid w:val="00207EEF"/>
    <w:rsid w:val="00220ED1"/>
    <w:rsid w:val="00223FE7"/>
    <w:rsid w:val="0022401B"/>
    <w:rsid w:val="00226E8B"/>
    <w:rsid w:val="00230D81"/>
    <w:rsid w:val="00242E47"/>
    <w:rsid w:val="002463D4"/>
    <w:rsid w:val="0024665D"/>
    <w:rsid w:val="00250429"/>
    <w:rsid w:val="002520C9"/>
    <w:rsid w:val="002530FA"/>
    <w:rsid w:val="00255030"/>
    <w:rsid w:val="0026222C"/>
    <w:rsid w:val="00264142"/>
    <w:rsid w:val="002655D6"/>
    <w:rsid w:val="00274DB6"/>
    <w:rsid w:val="00277DD9"/>
    <w:rsid w:val="00280BDD"/>
    <w:rsid w:val="00282792"/>
    <w:rsid w:val="00283719"/>
    <w:rsid w:val="00284350"/>
    <w:rsid w:val="00287509"/>
    <w:rsid w:val="0028759F"/>
    <w:rsid w:val="002910AF"/>
    <w:rsid w:val="00294538"/>
    <w:rsid w:val="002946D4"/>
    <w:rsid w:val="002A6BFE"/>
    <w:rsid w:val="002A7AF7"/>
    <w:rsid w:val="002B10B3"/>
    <w:rsid w:val="002B150D"/>
    <w:rsid w:val="002B2C3C"/>
    <w:rsid w:val="002B4BBF"/>
    <w:rsid w:val="002B685A"/>
    <w:rsid w:val="002C5B47"/>
    <w:rsid w:val="002C6557"/>
    <w:rsid w:val="002D03B7"/>
    <w:rsid w:val="002D20DB"/>
    <w:rsid w:val="002D3797"/>
    <w:rsid w:val="002D6B2A"/>
    <w:rsid w:val="002D7397"/>
    <w:rsid w:val="002E1DAC"/>
    <w:rsid w:val="002E1F11"/>
    <w:rsid w:val="002E23ED"/>
    <w:rsid w:val="002E2B64"/>
    <w:rsid w:val="002E40BC"/>
    <w:rsid w:val="002E6F43"/>
    <w:rsid w:val="002F2892"/>
    <w:rsid w:val="002F34EC"/>
    <w:rsid w:val="002F72C2"/>
    <w:rsid w:val="003015C1"/>
    <w:rsid w:val="00301DEA"/>
    <w:rsid w:val="00305E08"/>
    <w:rsid w:val="003128B5"/>
    <w:rsid w:val="003140CE"/>
    <w:rsid w:val="00315EB2"/>
    <w:rsid w:val="00320C76"/>
    <w:rsid w:val="0032309C"/>
    <w:rsid w:val="003245E2"/>
    <w:rsid w:val="003268BA"/>
    <w:rsid w:val="00327E25"/>
    <w:rsid w:val="0033138A"/>
    <w:rsid w:val="003319FF"/>
    <w:rsid w:val="0033294C"/>
    <w:rsid w:val="0033728E"/>
    <w:rsid w:val="003373D3"/>
    <w:rsid w:val="00340E56"/>
    <w:rsid w:val="00342126"/>
    <w:rsid w:val="003453B0"/>
    <w:rsid w:val="00345ED2"/>
    <w:rsid w:val="00346850"/>
    <w:rsid w:val="00347318"/>
    <w:rsid w:val="003518F9"/>
    <w:rsid w:val="0035261B"/>
    <w:rsid w:val="0035426D"/>
    <w:rsid w:val="00356747"/>
    <w:rsid w:val="003606A1"/>
    <w:rsid w:val="00362634"/>
    <w:rsid w:val="003631D4"/>
    <w:rsid w:val="00372490"/>
    <w:rsid w:val="003724E1"/>
    <w:rsid w:val="00374F99"/>
    <w:rsid w:val="00387D89"/>
    <w:rsid w:val="00392157"/>
    <w:rsid w:val="00393FB0"/>
    <w:rsid w:val="003973FB"/>
    <w:rsid w:val="003A1EEF"/>
    <w:rsid w:val="003A2B32"/>
    <w:rsid w:val="003A30AE"/>
    <w:rsid w:val="003A518E"/>
    <w:rsid w:val="003A6FD9"/>
    <w:rsid w:val="003B0177"/>
    <w:rsid w:val="003B1C96"/>
    <w:rsid w:val="003B5D97"/>
    <w:rsid w:val="003B6DDC"/>
    <w:rsid w:val="003C44D1"/>
    <w:rsid w:val="003C46E2"/>
    <w:rsid w:val="003C64FC"/>
    <w:rsid w:val="003D33EB"/>
    <w:rsid w:val="003D3D61"/>
    <w:rsid w:val="003D3E89"/>
    <w:rsid w:val="003D61E3"/>
    <w:rsid w:val="003E2FFD"/>
    <w:rsid w:val="003E5D27"/>
    <w:rsid w:val="003F0A6E"/>
    <w:rsid w:val="003F5DD0"/>
    <w:rsid w:val="0040069E"/>
    <w:rsid w:val="0040123D"/>
    <w:rsid w:val="004037FD"/>
    <w:rsid w:val="00403F64"/>
    <w:rsid w:val="004049FA"/>
    <w:rsid w:val="00404C9E"/>
    <w:rsid w:val="0040669C"/>
    <w:rsid w:val="00410F06"/>
    <w:rsid w:val="00412113"/>
    <w:rsid w:val="0041222C"/>
    <w:rsid w:val="004128C0"/>
    <w:rsid w:val="00413FED"/>
    <w:rsid w:val="004173ED"/>
    <w:rsid w:val="00417824"/>
    <w:rsid w:val="00420198"/>
    <w:rsid w:val="00421BC3"/>
    <w:rsid w:val="00423A2F"/>
    <w:rsid w:val="00423D1A"/>
    <w:rsid w:val="00424F3A"/>
    <w:rsid w:val="00426EFC"/>
    <w:rsid w:val="004318E8"/>
    <w:rsid w:val="00433266"/>
    <w:rsid w:val="0043343C"/>
    <w:rsid w:val="004345F2"/>
    <w:rsid w:val="00440226"/>
    <w:rsid w:val="00440403"/>
    <w:rsid w:val="0044360E"/>
    <w:rsid w:val="004438AB"/>
    <w:rsid w:val="00443AAC"/>
    <w:rsid w:val="004466E4"/>
    <w:rsid w:val="00450228"/>
    <w:rsid w:val="00457796"/>
    <w:rsid w:val="004624C0"/>
    <w:rsid w:val="00462729"/>
    <w:rsid w:val="004635E7"/>
    <w:rsid w:val="004649AD"/>
    <w:rsid w:val="004703CF"/>
    <w:rsid w:val="00473CE7"/>
    <w:rsid w:val="00475381"/>
    <w:rsid w:val="00476318"/>
    <w:rsid w:val="00481371"/>
    <w:rsid w:val="00481DAC"/>
    <w:rsid w:val="004829BA"/>
    <w:rsid w:val="00482E88"/>
    <w:rsid w:val="00483830"/>
    <w:rsid w:val="00484AFF"/>
    <w:rsid w:val="00486A26"/>
    <w:rsid w:val="00490A1F"/>
    <w:rsid w:val="00491052"/>
    <w:rsid w:val="004913BE"/>
    <w:rsid w:val="00492B24"/>
    <w:rsid w:val="00495540"/>
    <w:rsid w:val="004960B6"/>
    <w:rsid w:val="0049762D"/>
    <w:rsid w:val="004A242D"/>
    <w:rsid w:val="004A27F7"/>
    <w:rsid w:val="004A339B"/>
    <w:rsid w:val="004A473E"/>
    <w:rsid w:val="004A5848"/>
    <w:rsid w:val="004B28CE"/>
    <w:rsid w:val="004B47A7"/>
    <w:rsid w:val="004B5D69"/>
    <w:rsid w:val="004C1504"/>
    <w:rsid w:val="004C152C"/>
    <w:rsid w:val="004C296E"/>
    <w:rsid w:val="004C5AE3"/>
    <w:rsid w:val="004D0130"/>
    <w:rsid w:val="004D48F5"/>
    <w:rsid w:val="004E1640"/>
    <w:rsid w:val="004E3B03"/>
    <w:rsid w:val="004F08E1"/>
    <w:rsid w:val="004F243A"/>
    <w:rsid w:val="004F4FA2"/>
    <w:rsid w:val="004F580F"/>
    <w:rsid w:val="0050269D"/>
    <w:rsid w:val="00503ECB"/>
    <w:rsid w:val="0050415D"/>
    <w:rsid w:val="00506D80"/>
    <w:rsid w:val="00507555"/>
    <w:rsid w:val="00513459"/>
    <w:rsid w:val="005175EA"/>
    <w:rsid w:val="005210E7"/>
    <w:rsid w:val="00521C9B"/>
    <w:rsid w:val="00521EAF"/>
    <w:rsid w:val="005222A7"/>
    <w:rsid w:val="0052245F"/>
    <w:rsid w:val="00522535"/>
    <w:rsid w:val="00526482"/>
    <w:rsid w:val="00526615"/>
    <w:rsid w:val="00526B1D"/>
    <w:rsid w:val="005333BD"/>
    <w:rsid w:val="0053577E"/>
    <w:rsid w:val="00535C96"/>
    <w:rsid w:val="00542479"/>
    <w:rsid w:val="005430CC"/>
    <w:rsid w:val="00543C1B"/>
    <w:rsid w:val="00545525"/>
    <w:rsid w:val="005522C5"/>
    <w:rsid w:val="00553339"/>
    <w:rsid w:val="00561A77"/>
    <w:rsid w:val="00565EB9"/>
    <w:rsid w:val="00570777"/>
    <w:rsid w:val="00570C84"/>
    <w:rsid w:val="005718D8"/>
    <w:rsid w:val="00574C98"/>
    <w:rsid w:val="00576301"/>
    <w:rsid w:val="00576D88"/>
    <w:rsid w:val="005823CC"/>
    <w:rsid w:val="005856CE"/>
    <w:rsid w:val="005913F0"/>
    <w:rsid w:val="00592696"/>
    <w:rsid w:val="0059393F"/>
    <w:rsid w:val="00593E2C"/>
    <w:rsid w:val="005A05DD"/>
    <w:rsid w:val="005A0F04"/>
    <w:rsid w:val="005A1486"/>
    <w:rsid w:val="005A1B02"/>
    <w:rsid w:val="005A34BA"/>
    <w:rsid w:val="005A5C96"/>
    <w:rsid w:val="005A64FA"/>
    <w:rsid w:val="005A662E"/>
    <w:rsid w:val="005B3341"/>
    <w:rsid w:val="005B3F52"/>
    <w:rsid w:val="005B67A5"/>
    <w:rsid w:val="005B7139"/>
    <w:rsid w:val="005C05C5"/>
    <w:rsid w:val="005C1267"/>
    <w:rsid w:val="005C2F0F"/>
    <w:rsid w:val="005C5901"/>
    <w:rsid w:val="005C73DA"/>
    <w:rsid w:val="005D3EB4"/>
    <w:rsid w:val="005D538D"/>
    <w:rsid w:val="005D6D16"/>
    <w:rsid w:val="005E140C"/>
    <w:rsid w:val="005E15AD"/>
    <w:rsid w:val="005E4D9F"/>
    <w:rsid w:val="005E53C9"/>
    <w:rsid w:val="005E5BA9"/>
    <w:rsid w:val="005F06CD"/>
    <w:rsid w:val="005F0F16"/>
    <w:rsid w:val="005F59AD"/>
    <w:rsid w:val="005F6732"/>
    <w:rsid w:val="00601A43"/>
    <w:rsid w:val="00605F1D"/>
    <w:rsid w:val="00607CEB"/>
    <w:rsid w:val="00610BFE"/>
    <w:rsid w:val="0061201B"/>
    <w:rsid w:val="00612E01"/>
    <w:rsid w:val="00613B14"/>
    <w:rsid w:val="00613CEF"/>
    <w:rsid w:val="006142AE"/>
    <w:rsid w:val="00614E3A"/>
    <w:rsid w:val="0061622D"/>
    <w:rsid w:val="00616B3E"/>
    <w:rsid w:val="006205AA"/>
    <w:rsid w:val="00620E63"/>
    <w:rsid w:val="00627FF7"/>
    <w:rsid w:val="0063000B"/>
    <w:rsid w:val="00634FB9"/>
    <w:rsid w:val="00635C8B"/>
    <w:rsid w:val="0064311D"/>
    <w:rsid w:val="0064361B"/>
    <w:rsid w:val="00644095"/>
    <w:rsid w:val="006445BC"/>
    <w:rsid w:val="0064481A"/>
    <w:rsid w:val="006469F7"/>
    <w:rsid w:val="006474D8"/>
    <w:rsid w:val="00656D3B"/>
    <w:rsid w:val="006605B2"/>
    <w:rsid w:val="00660C5F"/>
    <w:rsid w:val="00660DA3"/>
    <w:rsid w:val="00661355"/>
    <w:rsid w:val="00671B4C"/>
    <w:rsid w:val="00675965"/>
    <w:rsid w:val="006777BA"/>
    <w:rsid w:val="0068083B"/>
    <w:rsid w:val="00680DF5"/>
    <w:rsid w:val="00684D94"/>
    <w:rsid w:val="006856D2"/>
    <w:rsid w:val="00691240"/>
    <w:rsid w:val="00694B97"/>
    <w:rsid w:val="00697621"/>
    <w:rsid w:val="006A098D"/>
    <w:rsid w:val="006A7A51"/>
    <w:rsid w:val="006B445C"/>
    <w:rsid w:val="006B7845"/>
    <w:rsid w:val="006C02D1"/>
    <w:rsid w:val="006C68A2"/>
    <w:rsid w:val="006C6D06"/>
    <w:rsid w:val="006C7D90"/>
    <w:rsid w:val="006D1C29"/>
    <w:rsid w:val="006D3F61"/>
    <w:rsid w:val="006D41F6"/>
    <w:rsid w:val="006D73B5"/>
    <w:rsid w:val="006E1633"/>
    <w:rsid w:val="006F5130"/>
    <w:rsid w:val="006F545D"/>
    <w:rsid w:val="006F5AEB"/>
    <w:rsid w:val="006F5F68"/>
    <w:rsid w:val="006F62A7"/>
    <w:rsid w:val="006F6F4A"/>
    <w:rsid w:val="007008D6"/>
    <w:rsid w:val="0070121E"/>
    <w:rsid w:val="007017C2"/>
    <w:rsid w:val="00702D27"/>
    <w:rsid w:val="00702E0A"/>
    <w:rsid w:val="0070333F"/>
    <w:rsid w:val="00704DB6"/>
    <w:rsid w:val="007061C1"/>
    <w:rsid w:val="00722856"/>
    <w:rsid w:val="00722DAF"/>
    <w:rsid w:val="00723F71"/>
    <w:rsid w:val="00724587"/>
    <w:rsid w:val="00724C4E"/>
    <w:rsid w:val="00727356"/>
    <w:rsid w:val="00731841"/>
    <w:rsid w:val="00732F82"/>
    <w:rsid w:val="00733BB2"/>
    <w:rsid w:val="0073514C"/>
    <w:rsid w:val="00736C20"/>
    <w:rsid w:val="00740FC9"/>
    <w:rsid w:val="00741676"/>
    <w:rsid w:val="00743825"/>
    <w:rsid w:val="00744A9F"/>
    <w:rsid w:val="00745C42"/>
    <w:rsid w:val="007461A4"/>
    <w:rsid w:val="00747BFB"/>
    <w:rsid w:val="00750061"/>
    <w:rsid w:val="007527E7"/>
    <w:rsid w:val="0075660E"/>
    <w:rsid w:val="00761377"/>
    <w:rsid w:val="00762816"/>
    <w:rsid w:val="00763E37"/>
    <w:rsid w:val="00763F31"/>
    <w:rsid w:val="00764F52"/>
    <w:rsid w:val="00765221"/>
    <w:rsid w:val="007659BA"/>
    <w:rsid w:val="00766BE9"/>
    <w:rsid w:val="00766C58"/>
    <w:rsid w:val="00766DBD"/>
    <w:rsid w:val="00782E16"/>
    <w:rsid w:val="0078752C"/>
    <w:rsid w:val="007876FD"/>
    <w:rsid w:val="0079236A"/>
    <w:rsid w:val="0079249B"/>
    <w:rsid w:val="00792B4C"/>
    <w:rsid w:val="00793F90"/>
    <w:rsid w:val="00796065"/>
    <w:rsid w:val="007A2784"/>
    <w:rsid w:val="007A4216"/>
    <w:rsid w:val="007A4A32"/>
    <w:rsid w:val="007A4CBA"/>
    <w:rsid w:val="007A6C6B"/>
    <w:rsid w:val="007A7164"/>
    <w:rsid w:val="007C200A"/>
    <w:rsid w:val="007C37DD"/>
    <w:rsid w:val="007D13A4"/>
    <w:rsid w:val="007D1F93"/>
    <w:rsid w:val="007D2AE4"/>
    <w:rsid w:val="007D394A"/>
    <w:rsid w:val="007D3AFC"/>
    <w:rsid w:val="007D3D4F"/>
    <w:rsid w:val="007D409E"/>
    <w:rsid w:val="007D4FDA"/>
    <w:rsid w:val="007D5669"/>
    <w:rsid w:val="007D6609"/>
    <w:rsid w:val="007D6A15"/>
    <w:rsid w:val="007D7487"/>
    <w:rsid w:val="007E0F6F"/>
    <w:rsid w:val="007E1941"/>
    <w:rsid w:val="007E5C21"/>
    <w:rsid w:val="007E7BE5"/>
    <w:rsid w:val="007E7CF1"/>
    <w:rsid w:val="007F0718"/>
    <w:rsid w:val="007F078A"/>
    <w:rsid w:val="007F08D6"/>
    <w:rsid w:val="007F265F"/>
    <w:rsid w:val="007F29CE"/>
    <w:rsid w:val="007F2AFC"/>
    <w:rsid w:val="007F2B33"/>
    <w:rsid w:val="007F2EE7"/>
    <w:rsid w:val="007F4F3F"/>
    <w:rsid w:val="007F5F43"/>
    <w:rsid w:val="007F6BB7"/>
    <w:rsid w:val="00804F68"/>
    <w:rsid w:val="00805A17"/>
    <w:rsid w:val="00807505"/>
    <w:rsid w:val="00807FA5"/>
    <w:rsid w:val="00812E0E"/>
    <w:rsid w:val="00813408"/>
    <w:rsid w:val="008228B9"/>
    <w:rsid w:val="00824828"/>
    <w:rsid w:val="00824AC5"/>
    <w:rsid w:val="008317C3"/>
    <w:rsid w:val="008333AB"/>
    <w:rsid w:val="00842802"/>
    <w:rsid w:val="00845C90"/>
    <w:rsid w:val="0084602D"/>
    <w:rsid w:val="008470A9"/>
    <w:rsid w:val="00847C32"/>
    <w:rsid w:val="008518F7"/>
    <w:rsid w:val="00854E6D"/>
    <w:rsid w:val="00855519"/>
    <w:rsid w:val="00861B70"/>
    <w:rsid w:val="00862560"/>
    <w:rsid w:val="00864082"/>
    <w:rsid w:val="00865EF6"/>
    <w:rsid w:val="008663DF"/>
    <w:rsid w:val="0086672B"/>
    <w:rsid w:val="0086699A"/>
    <w:rsid w:val="008676F7"/>
    <w:rsid w:val="008712A3"/>
    <w:rsid w:val="00871A55"/>
    <w:rsid w:val="00872882"/>
    <w:rsid w:val="00876B1C"/>
    <w:rsid w:val="00876BDE"/>
    <w:rsid w:val="00877260"/>
    <w:rsid w:val="0087730C"/>
    <w:rsid w:val="0088148E"/>
    <w:rsid w:val="00883341"/>
    <w:rsid w:val="00883AEB"/>
    <w:rsid w:val="0088562E"/>
    <w:rsid w:val="0088637D"/>
    <w:rsid w:val="0088663F"/>
    <w:rsid w:val="0089144A"/>
    <w:rsid w:val="0089291B"/>
    <w:rsid w:val="0089731A"/>
    <w:rsid w:val="008A15DF"/>
    <w:rsid w:val="008A1C5A"/>
    <w:rsid w:val="008A22E0"/>
    <w:rsid w:val="008A2ECD"/>
    <w:rsid w:val="008A5ECC"/>
    <w:rsid w:val="008A6412"/>
    <w:rsid w:val="008A6AEF"/>
    <w:rsid w:val="008A7FF8"/>
    <w:rsid w:val="008B0C6D"/>
    <w:rsid w:val="008B1A19"/>
    <w:rsid w:val="008B4B6D"/>
    <w:rsid w:val="008B531A"/>
    <w:rsid w:val="008B5E5F"/>
    <w:rsid w:val="008C3E2E"/>
    <w:rsid w:val="008C435E"/>
    <w:rsid w:val="008C4A77"/>
    <w:rsid w:val="008C5372"/>
    <w:rsid w:val="008C6F75"/>
    <w:rsid w:val="008D075F"/>
    <w:rsid w:val="008D0D50"/>
    <w:rsid w:val="008D1CFF"/>
    <w:rsid w:val="008D480A"/>
    <w:rsid w:val="008E19DA"/>
    <w:rsid w:val="008E2D3B"/>
    <w:rsid w:val="008E5A25"/>
    <w:rsid w:val="008F1893"/>
    <w:rsid w:val="008F722B"/>
    <w:rsid w:val="008F7BCF"/>
    <w:rsid w:val="0090009F"/>
    <w:rsid w:val="00901172"/>
    <w:rsid w:val="009024E0"/>
    <w:rsid w:val="009074EF"/>
    <w:rsid w:val="009141DF"/>
    <w:rsid w:val="00914675"/>
    <w:rsid w:val="009152FE"/>
    <w:rsid w:val="00924DDB"/>
    <w:rsid w:val="00930E9B"/>
    <w:rsid w:val="00932960"/>
    <w:rsid w:val="0093404F"/>
    <w:rsid w:val="009409F6"/>
    <w:rsid w:val="00941939"/>
    <w:rsid w:val="00942491"/>
    <w:rsid w:val="00942E16"/>
    <w:rsid w:val="00943480"/>
    <w:rsid w:val="009438D9"/>
    <w:rsid w:val="00945C18"/>
    <w:rsid w:val="009515EA"/>
    <w:rsid w:val="00951AAD"/>
    <w:rsid w:val="009521C2"/>
    <w:rsid w:val="00963166"/>
    <w:rsid w:val="00966505"/>
    <w:rsid w:val="009672D8"/>
    <w:rsid w:val="009705FE"/>
    <w:rsid w:val="00971EF0"/>
    <w:rsid w:val="00971F8D"/>
    <w:rsid w:val="00977902"/>
    <w:rsid w:val="00981606"/>
    <w:rsid w:val="00981814"/>
    <w:rsid w:val="00983500"/>
    <w:rsid w:val="009863E9"/>
    <w:rsid w:val="0099184F"/>
    <w:rsid w:val="00991BF9"/>
    <w:rsid w:val="00993817"/>
    <w:rsid w:val="0099412D"/>
    <w:rsid w:val="009942E5"/>
    <w:rsid w:val="00994A86"/>
    <w:rsid w:val="00995F4A"/>
    <w:rsid w:val="009A78DF"/>
    <w:rsid w:val="009B7BB0"/>
    <w:rsid w:val="009C2EE1"/>
    <w:rsid w:val="009C7E4A"/>
    <w:rsid w:val="009D2DF7"/>
    <w:rsid w:val="009D5E5A"/>
    <w:rsid w:val="009D621A"/>
    <w:rsid w:val="009D7C01"/>
    <w:rsid w:val="009E012B"/>
    <w:rsid w:val="009E4CFE"/>
    <w:rsid w:val="00A01CBE"/>
    <w:rsid w:val="00A03484"/>
    <w:rsid w:val="00A044A8"/>
    <w:rsid w:val="00A10335"/>
    <w:rsid w:val="00A11D6B"/>
    <w:rsid w:val="00A12125"/>
    <w:rsid w:val="00A15462"/>
    <w:rsid w:val="00A17C62"/>
    <w:rsid w:val="00A24ADC"/>
    <w:rsid w:val="00A311C2"/>
    <w:rsid w:val="00A31297"/>
    <w:rsid w:val="00A33178"/>
    <w:rsid w:val="00A33366"/>
    <w:rsid w:val="00A35376"/>
    <w:rsid w:val="00A36AB2"/>
    <w:rsid w:val="00A45084"/>
    <w:rsid w:val="00A45208"/>
    <w:rsid w:val="00A46DA6"/>
    <w:rsid w:val="00A47566"/>
    <w:rsid w:val="00A50F4D"/>
    <w:rsid w:val="00A52C98"/>
    <w:rsid w:val="00A52E96"/>
    <w:rsid w:val="00A53ED0"/>
    <w:rsid w:val="00A5740D"/>
    <w:rsid w:val="00A62DD4"/>
    <w:rsid w:val="00A6508F"/>
    <w:rsid w:val="00A70373"/>
    <w:rsid w:val="00A7044D"/>
    <w:rsid w:val="00A7070F"/>
    <w:rsid w:val="00A74EB5"/>
    <w:rsid w:val="00A75069"/>
    <w:rsid w:val="00A76753"/>
    <w:rsid w:val="00A81174"/>
    <w:rsid w:val="00A81FAD"/>
    <w:rsid w:val="00A83D02"/>
    <w:rsid w:val="00A911DF"/>
    <w:rsid w:val="00A915B3"/>
    <w:rsid w:val="00A922DD"/>
    <w:rsid w:val="00A94252"/>
    <w:rsid w:val="00A94C4E"/>
    <w:rsid w:val="00A95566"/>
    <w:rsid w:val="00A97430"/>
    <w:rsid w:val="00AA73A2"/>
    <w:rsid w:val="00AA7B27"/>
    <w:rsid w:val="00AB0A41"/>
    <w:rsid w:val="00AB2031"/>
    <w:rsid w:val="00AB317F"/>
    <w:rsid w:val="00AB62BB"/>
    <w:rsid w:val="00AB6447"/>
    <w:rsid w:val="00AC5887"/>
    <w:rsid w:val="00AC68A3"/>
    <w:rsid w:val="00AD1AD3"/>
    <w:rsid w:val="00AD1E17"/>
    <w:rsid w:val="00AD4F7A"/>
    <w:rsid w:val="00AD59C6"/>
    <w:rsid w:val="00AD6570"/>
    <w:rsid w:val="00AE0BF8"/>
    <w:rsid w:val="00AE119C"/>
    <w:rsid w:val="00AE18A3"/>
    <w:rsid w:val="00AE1D21"/>
    <w:rsid w:val="00AE2251"/>
    <w:rsid w:val="00AE5201"/>
    <w:rsid w:val="00B049F0"/>
    <w:rsid w:val="00B05B4A"/>
    <w:rsid w:val="00B0737E"/>
    <w:rsid w:val="00B1059A"/>
    <w:rsid w:val="00B15872"/>
    <w:rsid w:val="00B1599E"/>
    <w:rsid w:val="00B15DB4"/>
    <w:rsid w:val="00B20C8D"/>
    <w:rsid w:val="00B20CF2"/>
    <w:rsid w:val="00B21D6F"/>
    <w:rsid w:val="00B23C0B"/>
    <w:rsid w:val="00B25D0E"/>
    <w:rsid w:val="00B2689E"/>
    <w:rsid w:val="00B278AB"/>
    <w:rsid w:val="00B31203"/>
    <w:rsid w:val="00B3147B"/>
    <w:rsid w:val="00B31534"/>
    <w:rsid w:val="00B31CEA"/>
    <w:rsid w:val="00B340F0"/>
    <w:rsid w:val="00B3565A"/>
    <w:rsid w:val="00B3582B"/>
    <w:rsid w:val="00B40679"/>
    <w:rsid w:val="00B4119A"/>
    <w:rsid w:val="00B43A62"/>
    <w:rsid w:val="00B46203"/>
    <w:rsid w:val="00B52250"/>
    <w:rsid w:val="00B525BD"/>
    <w:rsid w:val="00B6010A"/>
    <w:rsid w:val="00B64016"/>
    <w:rsid w:val="00B64D67"/>
    <w:rsid w:val="00B65504"/>
    <w:rsid w:val="00B65CF7"/>
    <w:rsid w:val="00B67BE4"/>
    <w:rsid w:val="00B73026"/>
    <w:rsid w:val="00B76912"/>
    <w:rsid w:val="00B808DD"/>
    <w:rsid w:val="00B840A2"/>
    <w:rsid w:val="00B9017A"/>
    <w:rsid w:val="00B91A6A"/>
    <w:rsid w:val="00B92D19"/>
    <w:rsid w:val="00B944C6"/>
    <w:rsid w:val="00B96226"/>
    <w:rsid w:val="00BA1EF2"/>
    <w:rsid w:val="00BA3FC9"/>
    <w:rsid w:val="00BA708B"/>
    <w:rsid w:val="00BB5D84"/>
    <w:rsid w:val="00BC6208"/>
    <w:rsid w:val="00BC67D9"/>
    <w:rsid w:val="00BD3F67"/>
    <w:rsid w:val="00BD46F2"/>
    <w:rsid w:val="00BD4706"/>
    <w:rsid w:val="00BD4E1B"/>
    <w:rsid w:val="00BD5215"/>
    <w:rsid w:val="00BD6F4C"/>
    <w:rsid w:val="00BE0257"/>
    <w:rsid w:val="00BE19AC"/>
    <w:rsid w:val="00BE4247"/>
    <w:rsid w:val="00BF00D8"/>
    <w:rsid w:val="00BF2E28"/>
    <w:rsid w:val="00BF4006"/>
    <w:rsid w:val="00BF4DA0"/>
    <w:rsid w:val="00BF582C"/>
    <w:rsid w:val="00BF67D7"/>
    <w:rsid w:val="00C005AF"/>
    <w:rsid w:val="00C01A0F"/>
    <w:rsid w:val="00C02EE1"/>
    <w:rsid w:val="00C12842"/>
    <w:rsid w:val="00C12AAA"/>
    <w:rsid w:val="00C148F7"/>
    <w:rsid w:val="00C158B9"/>
    <w:rsid w:val="00C160EA"/>
    <w:rsid w:val="00C16CB1"/>
    <w:rsid w:val="00C20E61"/>
    <w:rsid w:val="00C23F31"/>
    <w:rsid w:val="00C23FAA"/>
    <w:rsid w:val="00C273A9"/>
    <w:rsid w:val="00C3084B"/>
    <w:rsid w:val="00C32179"/>
    <w:rsid w:val="00C33D8C"/>
    <w:rsid w:val="00C3646B"/>
    <w:rsid w:val="00C365AA"/>
    <w:rsid w:val="00C40ACA"/>
    <w:rsid w:val="00C422AE"/>
    <w:rsid w:val="00C42C72"/>
    <w:rsid w:val="00C45685"/>
    <w:rsid w:val="00C46B06"/>
    <w:rsid w:val="00C50959"/>
    <w:rsid w:val="00C52244"/>
    <w:rsid w:val="00C5362D"/>
    <w:rsid w:val="00C61569"/>
    <w:rsid w:val="00C61D69"/>
    <w:rsid w:val="00C627F2"/>
    <w:rsid w:val="00C628CB"/>
    <w:rsid w:val="00C633A5"/>
    <w:rsid w:val="00C63FCC"/>
    <w:rsid w:val="00C65168"/>
    <w:rsid w:val="00C65CB1"/>
    <w:rsid w:val="00C65DBC"/>
    <w:rsid w:val="00C65F6C"/>
    <w:rsid w:val="00C66647"/>
    <w:rsid w:val="00C718EB"/>
    <w:rsid w:val="00C720A7"/>
    <w:rsid w:val="00C729BC"/>
    <w:rsid w:val="00C74828"/>
    <w:rsid w:val="00C8063F"/>
    <w:rsid w:val="00C82189"/>
    <w:rsid w:val="00C82C3C"/>
    <w:rsid w:val="00C82EA4"/>
    <w:rsid w:val="00C84452"/>
    <w:rsid w:val="00C84654"/>
    <w:rsid w:val="00C8468B"/>
    <w:rsid w:val="00C900FE"/>
    <w:rsid w:val="00C921BC"/>
    <w:rsid w:val="00C925A2"/>
    <w:rsid w:val="00C93603"/>
    <w:rsid w:val="00C952EE"/>
    <w:rsid w:val="00C9550B"/>
    <w:rsid w:val="00CA228C"/>
    <w:rsid w:val="00CA24DC"/>
    <w:rsid w:val="00CA2C2C"/>
    <w:rsid w:val="00CA5793"/>
    <w:rsid w:val="00CA5CD2"/>
    <w:rsid w:val="00CB1DFA"/>
    <w:rsid w:val="00CB37FE"/>
    <w:rsid w:val="00CB481B"/>
    <w:rsid w:val="00CB60F5"/>
    <w:rsid w:val="00CC1F4B"/>
    <w:rsid w:val="00CC234A"/>
    <w:rsid w:val="00CC25E8"/>
    <w:rsid w:val="00CC3E8E"/>
    <w:rsid w:val="00CC4C52"/>
    <w:rsid w:val="00CC4C9F"/>
    <w:rsid w:val="00CC5ECC"/>
    <w:rsid w:val="00CC6205"/>
    <w:rsid w:val="00CD07C4"/>
    <w:rsid w:val="00CD0B46"/>
    <w:rsid w:val="00CD3CCE"/>
    <w:rsid w:val="00CE012D"/>
    <w:rsid w:val="00CE0132"/>
    <w:rsid w:val="00CE1157"/>
    <w:rsid w:val="00CE11F4"/>
    <w:rsid w:val="00CE2D59"/>
    <w:rsid w:val="00CE50DC"/>
    <w:rsid w:val="00CE79DC"/>
    <w:rsid w:val="00CE7B2C"/>
    <w:rsid w:val="00CF2A13"/>
    <w:rsid w:val="00CF373C"/>
    <w:rsid w:val="00CF49F4"/>
    <w:rsid w:val="00CF4EF4"/>
    <w:rsid w:val="00CF6384"/>
    <w:rsid w:val="00D02A22"/>
    <w:rsid w:val="00D05F26"/>
    <w:rsid w:val="00D14AB0"/>
    <w:rsid w:val="00D151D8"/>
    <w:rsid w:val="00D15343"/>
    <w:rsid w:val="00D21159"/>
    <w:rsid w:val="00D219B1"/>
    <w:rsid w:val="00D24BFB"/>
    <w:rsid w:val="00D2693E"/>
    <w:rsid w:val="00D26E15"/>
    <w:rsid w:val="00D26E2F"/>
    <w:rsid w:val="00D30EAE"/>
    <w:rsid w:val="00D331C8"/>
    <w:rsid w:val="00D344FE"/>
    <w:rsid w:val="00D3615A"/>
    <w:rsid w:val="00D419B2"/>
    <w:rsid w:val="00D42742"/>
    <w:rsid w:val="00D437C3"/>
    <w:rsid w:val="00D4430C"/>
    <w:rsid w:val="00D44571"/>
    <w:rsid w:val="00D44A11"/>
    <w:rsid w:val="00D44D9B"/>
    <w:rsid w:val="00D459B7"/>
    <w:rsid w:val="00D56B10"/>
    <w:rsid w:val="00D56FB3"/>
    <w:rsid w:val="00D63D06"/>
    <w:rsid w:val="00D6434A"/>
    <w:rsid w:val="00D711FC"/>
    <w:rsid w:val="00D71615"/>
    <w:rsid w:val="00D7259C"/>
    <w:rsid w:val="00D73609"/>
    <w:rsid w:val="00D8192E"/>
    <w:rsid w:val="00D85A4A"/>
    <w:rsid w:val="00D86895"/>
    <w:rsid w:val="00D90756"/>
    <w:rsid w:val="00D91D02"/>
    <w:rsid w:val="00D9261D"/>
    <w:rsid w:val="00D9727A"/>
    <w:rsid w:val="00D97D84"/>
    <w:rsid w:val="00D97F38"/>
    <w:rsid w:val="00DA4302"/>
    <w:rsid w:val="00DB0A68"/>
    <w:rsid w:val="00DB1399"/>
    <w:rsid w:val="00DB3378"/>
    <w:rsid w:val="00DB7163"/>
    <w:rsid w:val="00DC2123"/>
    <w:rsid w:val="00DC2181"/>
    <w:rsid w:val="00DC3C21"/>
    <w:rsid w:val="00DC5B2A"/>
    <w:rsid w:val="00DC691B"/>
    <w:rsid w:val="00DC77AC"/>
    <w:rsid w:val="00DD0983"/>
    <w:rsid w:val="00DD2ED6"/>
    <w:rsid w:val="00DD4FBA"/>
    <w:rsid w:val="00DD6A43"/>
    <w:rsid w:val="00DE0C70"/>
    <w:rsid w:val="00DE3390"/>
    <w:rsid w:val="00DE5195"/>
    <w:rsid w:val="00DE6763"/>
    <w:rsid w:val="00DF25DE"/>
    <w:rsid w:val="00DF26E9"/>
    <w:rsid w:val="00DF59F7"/>
    <w:rsid w:val="00DF618C"/>
    <w:rsid w:val="00DF6954"/>
    <w:rsid w:val="00DF7896"/>
    <w:rsid w:val="00E016DB"/>
    <w:rsid w:val="00E03BA4"/>
    <w:rsid w:val="00E04524"/>
    <w:rsid w:val="00E05258"/>
    <w:rsid w:val="00E061B0"/>
    <w:rsid w:val="00E06AA0"/>
    <w:rsid w:val="00E10147"/>
    <w:rsid w:val="00E10501"/>
    <w:rsid w:val="00E12152"/>
    <w:rsid w:val="00E1431B"/>
    <w:rsid w:val="00E14992"/>
    <w:rsid w:val="00E15416"/>
    <w:rsid w:val="00E2007C"/>
    <w:rsid w:val="00E2091D"/>
    <w:rsid w:val="00E217AA"/>
    <w:rsid w:val="00E24BB2"/>
    <w:rsid w:val="00E25527"/>
    <w:rsid w:val="00E25CD1"/>
    <w:rsid w:val="00E30A0C"/>
    <w:rsid w:val="00E3335C"/>
    <w:rsid w:val="00E35508"/>
    <w:rsid w:val="00E356D0"/>
    <w:rsid w:val="00E3584B"/>
    <w:rsid w:val="00E3647A"/>
    <w:rsid w:val="00E376E0"/>
    <w:rsid w:val="00E37852"/>
    <w:rsid w:val="00E4203F"/>
    <w:rsid w:val="00E42213"/>
    <w:rsid w:val="00E425A1"/>
    <w:rsid w:val="00E425F8"/>
    <w:rsid w:val="00E46A46"/>
    <w:rsid w:val="00E518FD"/>
    <w:rsid w:val="00E52199"/>
    <w:rsid w:val="00E53251"/>
    <w:rsid w:val="00E53D98"/>
    <w:rsid w:val="00E53FD2"/>
    <w:rsid w:val="00E54910"/>
    <w:rsid w:val="00E57E8F"/>
    <w:rsid w:val="00E626CC"/>
    <w:rsid w:val="00E66587"/>
    <w:rsid w:val="00E703DE"/>
    <w:rsid w:val="00E706A0"/>
    <w:rsid w:val="00E76B2E"/>
    <w:rsid w:val="00E773B0"/>
    <w:rsid w:val="00E82488"/>
    <w:rsid w:val="00E83135"/>
    <w:rsid w:val="00E83988"/>
    <w:rsid w:val="00E84EFE"/>
    <w:rsid w:val="00E9185C"/>
    <w:rsid w:val="00E91E44"/>
    <w:rsid w:val="00E926BC"/>
    <w:rsid w:val="00E9365C"/>
    <w:rsid w:val="00EB07B1"/>
    <w:rsid w:val="00EB2DF5"/>
    <w:rsid w:val="00EB32C7"/>
    <w:rsid w:val="00EB3431"/>
    <w:rsid w:val="00EB38DE"/>
    <w:rsid w:val="00EB5776"/>
    <w:rsid w:val="00EB7F8E"/>
    <w:rsid w:val="00EC2E19"/>
    <w:rsid w:val="00EC7F1A"/>
    <w:rsid w:val="00EC7FBD"/>
    <w:rsid w:val="00ED1BF6"/>
    <w:rsid w:val="00ED257E"/>
    <w:rsid w:val="00ED2D47"/>
    <w:rsid w:val="00ED41BD"/>
    <w:rsid w:val="00ED4626"/>
    <w:rsid w:val="00ED5D78"/>
    <w:rsid w:val="00EE00F4"/>
    <w:rsid w:val="00EE1140"/>
    <w:rsid w:val="00EE3926"/>
    <w:rsid w:val="00EF0017"/>
    <w:rsid w:val="00EF048E"/>
    <w:rsid w:val="00EF0795"/>
    <w:rsid w:val="00EF190F"/>
    <w:rsid w:val="00EF19B4"/>
    <w:rsid w:val="00EF33C0"/>
    <w:rsid w:val="00EF3D99"/>
    <w:rsid w:val="00EF4C18"/>
    <w:rsid w:val="00EF5366"/>
    <w:rsid w:val="00EF53AE"/>
    <w:rsid w:val="00EF5DF2"/>
    <w:rsid w:val="00EF5F35"/>
    <w:rsid w:val="00EF6F57"/>
    <w:rsid w:val="00EF7CF5"/>
    <w:rsid w:val="00F01FEB"/>
    <w:rsid w:val="00F056F4"/>
    <w:rsid w:val="00F05AB4"/>
    <w:rsid w:val="00F07347"/>
    <w:rsid w:val="00F10E0F"/>
    <w:rsid w:val="00F14DF3"/>
    <w:rsid w:val="00F204B5"/>
    <w:rsid w:val="00F23A32"/>
    <w:rsid w:val="00F26CBC"/>
    <w:rsid w:val="00F27FC4"/>
    <w:rsid w:val="00F3572C"/>
    <w:rsid w:val="00F371AF"/>
    <w:rsid w:val="00F40892"/>
    <w:rsid w:val="00F4261B"/>
    <w:rsid w:val="00F43789"/>
    <w:rsid w:val="00F44EC4"/>
    <w:rsid w:val="00F45272"/>
    <w:rsid w:val="00F45341"/>
    <w:rsid w:val="00F45D62"/>
    <w:rsid w:val="00F56F14"/>
    <w:rsid w:val="00F62790"/>
    <w:rsid w:val="00F62BB8"/>
    <w:rsid w:val="00F6312C"/>
    <w:rsid w:val="00F6342F"/>
    <w:rsid w:val="00F65F81"/>
    <w:rsid w:val="00F66FD0"/>
    <w:rsid w:val="00F67465"/>
    <w:rsid w:val="00F67DA1"/>
    <w:rsid w:val="00F7216E"/>
    <w:rsid w:val="00F74353"/>
    <w:rsid w:val="00F75850"/>
    <w:rsid w:val="00F81001"/>
    <w:rsid w:val="00F8434F"/>
    <w:rsid w:val="00F862F8"/>
    <w:rsid w:val="00F86C66"/>
    <w:rsid w:val="00F9038C"/>
    <w:rsid w:val="00F92044"/>
    <w:rsid w:val="00F92FAD"/>
    <w:rsid w:val="00F949F0"/>
    <w:rsid w:val="00FA0738"/>
    <w:rsid w:val="00FA2E64"/>
    <w:rsid w:val="00FA300B"/>
    <w:rsid w:val="00FA4293"/>
    <w:rsid w:val="00FA71A7"/>
    <w:rsid w:val="00FA7242"/>
    <w:rsid w:val="00FB1F91"/>
    <w:rsid w:val="00FB29A7"/>
    <w:rsid w:val="00FB30C0"/>
    <w:rsid w:val="00FB4E2F"/>
    <w:rsid w:val="00FB5B17"/>
    <w:rsid w:val="00FB5CEF"/>
    <w:rsid w:val="00FB75CE"/>
    <w:rsid w:val="00FD2746"/>
    <w:rsid w:val="00FE1B3A"/>
    <w:rsid w:val="00FE3859"/>
    <w:rsid w:val="00FE48E5"/>
    <w:rsid w:val="00FE684C"/>
    <w:rsid w:val="00FE719E"/>
    <w:rsid w:val="00FF020B"/>
    <w:rsid w:val="00FF323F"/>
    <w:rsid w:val="00FF543C"/>
    <w:rsid w:val="00FF7B14"/>
    <w:rsid w:val="04DC79F1"/>
    <w:rsid w:val="05815A2F"/>
    <w:rsid w:val="0C362140"/>
    <w:rsid w:val="21867F37"/>
    <w:rsid w:val="27CF0291"/>
    <w:rsid w:val="29A103BB"/>
    <w:rsid w:val="2A2C0D9F"/>
    <w:rsid w:val="2A325F46"/>
    <w:rsid w:val="30A90339"/>
    <w:rsid w:val="34EB4EAB"/>
    <w:rsid w:val="35201C3A"/>
    <w:rsid w:val="37F51DEB"/>
    <w:rsid w:val="3F8B57F7"/>
    <w:rsid w:val="43605C9C"/>
    <w:rsid w:val="48BD39BF"/>
    <w:rsid w:val="49807FEB"/>
    <w:rsid w:val="4B6A64E1"/>
    <w:rsid w:val="510A2FB8"/>
    <w:rsid w:val="531F7526"/>
    <w:rsid w:val="53C73D82"/>
    <w:rsid w:val="55086591"/>
    <w:rsid w:val="56E101E0"/>
    <w:rsid w:val="5B590B23"/>
    <w:rsid w:val="5EC63237"/>
    <w:rsid w:val="604A4152"/>
    <w:rsid w:val="61B362BB"/>
    <w:rsid w:val="72E665CC"/>
    <w:rsid w:val="7DD121A9"/>
    <w:rsid w:val="7FE352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qFormat="1" w:unhideWhenUsed="0"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99" w:semiHidden="0"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qFormat/>
    <w:uiPriority w:val="99"/>
    <w:pPr>
      <w:keepNext/>
      <w:jc w:val="center"/>
      <w:outlineLvl w:val="0"/>
    </w:pPr>
    <w:rPr>
      <w:rFonts w:ascii="楷体_GB2312" w:hAnsi="Times New Roman" w:eastAsia="楷体_GB2312" w:cs="Times New Roman"/>
      <w:b/>
      <w:kern w:val="0"/>
      <w:sz w:val="28"/>
      <w:szCs w:val="20"/>
    </w:rPr>
  </w:style>
  <w:style w:type="paragraph" w:styleId="3">
    <w:name w:val="heading 2"/>
    <w:basedOn w:val="1"/>
    <w:next w:val="1"/>
    <w:link w:val="41"/>
    <w:qFormat/>
    <w:uiPriority w:val="99"/>
    <w:pPr>
      <w:keepNext/>
      <w:jc w:val="center"/>
      <w:outlineLvl w:val="1"/>
    </w:pPr>
    <w:rPr>
      <w:rFonts w:ascii="楷体_GB2312" w:hAnsi="Times New Roman" w:eastAsia="楷体_GB2312" w:cs="Times New Roman"/>
      <w:b/>
      <w:bCs/>
      <w:kern w:val="0"/>
      <w:sz w:val="18"/>
      <w:szCs w:val="20"/>
    </w:rPr>
  </w:style>
  <w:style w:type="paragraph" w:styleId="4">
    <w:name w:val="heading 3"/>
    <w:basedOn w:val="1"/>
    <w:next w:val="1"/>
    <w:link w:val="42"/>
    <w:qFormat/>
    <w:uiPriority w:val="99"/>
    <w:pPr>
      <w:keepNext/>
      <w:jc w:val="center"/>
      <w:outlineLvl w:val="2"/>
    </w:pPr>
    <w:rPr>
      <w:rFonts w:ascii="Times New Roman" w:hAnsi="Times New Roman" w:eastAsia="楷体_GB2312" w:cs="Times New Roman"/>
      <w:b/>
      <w:bCs/>
      <w:kern w:val="0"/>
      <w:sz w:val="15"/>
      <w:szCs w:val="20"/>
    </w:rPr>
  </w:style>
  <w:style w:type="paragraph" w:styleId="5">
    <w:name w:val="heading 4"/>
    <w:basedOn w:val="1"/>
    <w:next w:val="1"/>
    <w:link w:val="43"/>
    <w:qFormat/>
    <w:uiPriority w:val="99"/>
    <w:pPr>
      <w:keepNext/>
      <w:jc w:val="center"/>
      <w:outlineLvl w:val="3"/>
    </w:pPr>
    <w:rPr>
      <w:rFonts w:ascii="Times New Roman" w:hAnsi="Times New Roman" w:eastAsia="楷体_GB2312" w:cs="Times New Roman"/>
      <w:b/>
      <w:bCs/>
      <w:kern w:val="0"/>
      <w:sz w:val="13"/>
      <w:szCs w:val="20"/>
    </w:rPr>
  </w:style>
  <w:style w:type="paragraph" w:styleId="6">
    <w:name w:val="heading 5"/>
    <w:basedOn w:val="1"/>
    <w:next w:val="1"/>
    <w:link w:val="44"/>
    <w:qFormat/>
    <w:uiPriority w:val="99"/>
    <w:pPr>
      <w:keepNext/>
      <w:numPr>
        <w:ilvl w:val="0"/>
        <w:numId w:val="1"/>
      </w:numPr>
      <w:outlineLvl w:val="4"/>
    </w:pPr>
    <w:rPr>
      <w:rFonts w:ascii="楷体_GB2312" w:hAnsi="Times New Roman" w:eastAsia="楷体_GB2312" w:cs="Times New Roman"/>
      <w:bCs/>
      <w:kern w:val="0"/>
      <w:sz w:val="28"/>
      <w:szCs w:val="20"/>
    </w:rPr>
  </w:style>
  <w:style w:type="paragraph" w:styleId="7">
    <w:name w:val="heading 6"/>
    <w:basedOn w:val="1"/>
    <w:next w:val="1"/>
    <w:link w:val="115"/>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semiHidden/>
    <w:unhideWhenUsed/>
    <w:qFormat/>
    <w:uiPriority w:val="39"/>
    <w:pPr>
      <w:ind w:left="1260"/>
      <w:jc w:val="left"/>
    </w:pPr>
    <w:rPr>
      <w:sz w:val="20"/>
      <w:szCs w:val="20"/>
    </w:rPr>
  </w:style>
  <w:style w:type="paragraph" w:styleId="9">
    <w:name w:val="Normal Indent"/>
    <w:basedOn w:val="1"/>
    <w:link w:val="123"/>
    <w:qFormat/>
    <w:uiPriority w:val="0"/>
    <w:pPr>
      <w:ind w:firstLine="420"/>
    </w:pPr>
    <w:rPr>
      <w:rFonts w:ascii="Times New Roman" w:hAnsi="Times New Roman" w:eastAsia="宋体" w:cs="Times New Roman"/>
      <w:szCs w:val="20"/>
    </w:rPr>
  </w:style>
  <w:style w:type="paragraph" w:styleId="10">
    <w:name w:val="Document Map"/>
    <w:basedOn w:val="1"/>
    <w:link w:val="105"/>
    <w:semiHidden/>
    <w:qFormat/>
    <w:uiPriority w:val="99"/>
    <w:pPr>
      <w:shd w:val="clear" w:color="auto" w:fill="000080"/>
    </w:pPr>
    <w:rPr>
      <w:rFonts w:ascii="Times New Roman" w:hAnsi="Times New Roman" w:eastAsia="宋体" w:cs="Times New Roman"/>
      <w:kern w:val="0"/>
      <w:sz w:val="20"/>
      <w:szCs w:val="20"/>
    </w:rPr>
  </w:style>
  <w:style w:type="paragraph" w:styleId="11">
    <w:name w:val="annotation text"/>
    <w:basedOn w:val="1"/>
    <w:link w:val="112"/>
    <w:semiHidden/>
    <w:unhideWhenUsed/>
    <w:qFormat/>
    <w:uiPriority w:val="99"/>
    <w:pPr>
      <w:jc w:val="left"/>
    </w:pPr>
  </w:style>
  <w:style w:type="paragraph" w:styleId="12">
    <w:name w:val="Body Text"/>
    <w:basedOn w:val="1"/>
    <w:link w:val="49"/>
    <w:qFormat/>
    <w:uiPriority w:val="99"/>
    <w:rPr>
      <w:rFonts w:ascii="华文中宋" w:hAnsi="Times New Roman" w:eastAsia="华文中宋" w:cs="Times New Roman"/>
      <w:bCs/>
      <w:kern w:val="0"/>
      <w:sz w:val="28"/>
      <w:szCs w:val="20"/>
    </w:rPr>
  </w:style>
  <w:style w:type="paragraph" w:styleId="13">
    <w:name w:val="Body Text Indent"/>
    <w:basedOn w:val="1"/>
    <w:link w:val="46"/>
    <w:qFormat/>
    <w:uiPriority w:val="99"/>
    <w:pPr>
      <w:ind w:firstLine="576"/>
    </w:pPr>
    <w:rPr>
      <w:rFonts w:ascii="Times New Roman" w:hAnsi="Times New Roman" w:eastAsia="宋体" w:cs="Times New Roman"/>
      <w:b/>
      <w:kern w:val="0"/>
      <w:sz w:val="30"/>
      <w:szCs w:val="20"/>
    </w:rPr>
  </w:style>
  <w:style w:type="paragraph" w:styleId="14">
    <w:name w:val="toc 5"/>
    <w:basedOn w:val="1"/>
    <w:next w:val="1"/>
    <w:semiHidden/>
    <w:unhideWhenUsed/>
    <w:qFormat/>
    <w:uiPriority w:val="39"/>
    <w:pPr>
      <w:ind w:left="840"/>
      <w:jc w:val="left"/>
    </w:pPr>
    <w:rPr>
      <w:sz w:val="20"/>
      <w:szCs w:val="20"/>
    </w:rPr>
  </w:style>
  <w:style w:type="paragraph" w:styleId="15">
    <w:name w:val="toc 3"/>
    <w:basedOn w:val="1"/>
    <w:next w:val="1"/>
    <w:unhideWhenUsed/>
    <w:qFormat/>
    <w:uiPriority w:val="39"/>
    <w:pPr>
      <w:ind w:left="420"/>
      <w:jc w:val="left"/>
    </w:pPr>
    <w:rPr>
      <w:sz w:val="20"/>
      <w:szCs w:val="20"/>
    </w:rPr>
  </w:style>
  <w:style w:type="paragraph" w:styleId="16">
    <w:name w:val="toc 8"/>
    <w:basedOn w:val="1"/>
    <w:next w:val="1"/>
    <w:semiHidden/>
    <w:unhideWhenUsed/>
    <w:qFormat/>
    <w:uiPriority w:val="39"/>
    <w:pPr>
      <w:ind w:left="1470"/>
      <w:jc w:val="left"/>
    </w:pPr>
    <w:rPr>
      <w:sz w:val="20"/>
      <w:szCs w:val="20"/>
    </w:rPr>
  </w:style>
  <w:style w:type="paragraph" w:styleId="17">
    <w:name w:val="Date"/>
    <w:basedOn w:val="1"/>
    <w:next w:val="1"/>
    <w:link w:val="45"/>
    <w:qFormat/>
    <w:uiPriority w:val="0"/>
    <w:rPr>
      <w:rFonts w:ascii="Times New Roman" w:hAnsi="Times New Roman" w:eastAsia="黑体" w:cs="Times New Roman"/>
      <w:b/>
      <w:kern w:val="0"/>
      <w:sz w:val="36"/>
      <w:szCs w:val="20"/>
    </w:rPr>
  </w:style>
  <w:style w:type="paragraph" w:styleId="18">
    <w:name w:val="Body Text Indent 2"/>
    <w:basedOn w:val="1"/>
    <w:link w:val="50"/>
    <w:qFormat/>
    <w:uiPriority w:val="99"/>
    <w:pPr>
      <w:ind w:left="900"/>
    </w:pPr>
    <w:rPr>
      <w:rFonts w:ascii="楷体_GB2312" w:hAnsi="Times New Roman" w:eastAsia="楷体_GB2312" w:cs="Times New Roman"/>
      <w:b/>
      <w:kern w:val="0"/>
      <w:sz w:val="28"/>
      <w:szCs w:val="20"/>
    </w:rPr>
  </w:style>
  <w:style w:type="paragraph" w:styleId="19">
    <w:name w:val="Balloon Text"/>
    <w:basedOn w:val="1"/>
    <w:link w:val="111"/>
    <w:semiHidden/>
    <w:unhideWhenUsed/>
    <w:qFormat/>
    <w:uiPriority w:val="99"/>
    <w:rPr>
      <w:rFonts w:ascii="Times New Roman" w:hAnsi="Times New Roman" w:eastAsia="宋体" w:cs="Times New Roman"/>
      <w:sz w:val="18"/>
      <w:szCs w:val="18"/>
    </w:rPr>
  </w:style>
  <w:style w:type="paragraph" w:styleId="20">
    <w:name w:val="footer"/>
    <w:basedOn w:val="1"/>
    <w:link w:val="47"/>
    <w:qFormat/>
    <w:uiPriority w:val="99"/>
    <w:pPr>
      <w:tabs>
        <w:tab w:val="center" w:pos="4153"/>
        <w:tab w:val="right" w:pos="8306"/>
      </w:tabs>
      <w:snapToGrid w:val="0"/>
      <w:jc w:val="left"/>
    </w:pPr>
    <w:rPr>
      <w:rFonts w:ascii="Times New Roman" w:hAnsi="Times New Roman" w:eastAsia="宋体" w:cs="Times New Roman"/>
      <w:kern w:val="0"/>
      <w:sz w:val="18"/>
      <w:szCs w:val="20"/>
    </w:rPr>
  </w:style>
  <w:style w:type="paragraph" w:styleId="21">
    <w:name w:val="header"/>
    <w:basedOn w:val="1"/>
    <w:link w:val="48"/>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20"/>
    </w:rPr>
  </w:style>
  <w:style w:type="paragraph" w:styleId="22">
    <w:name w:val="toc 1"/>
    <w:basedOn w:val="1"/>
    <w:next w:val="1"/>
    <w:unhideWhenUsed/>
    <w:qFormat/>
    <w:uiPriority w:val="39"/>
    <w:pPr>
      <w:tabs>
        <w:tab w:val="right" w:leader="dot" w:pos="9911"/>
      </w:tabs>
      <w:jc w:val="left"/>
    </w:pPr>
    <w:rPr>
      <w:rFonts w:eastAsia="黑体"/>
      <w:sz w:val="28"/>
      <w:szCs w:val="28"/>
    </w:rPr>
  </w:style>
  <w:style w:type="paragraph" w:styleId="23">
    <w:name w:val="toc 4"/>
    <w:basedOn w:val="1"/>
    <w:next w:val="1"/>
    <w:semiHidden/>
    <w:unhideWhenUsed/>
    <w:qFormat/>
    <w:uiPriority w:val="39"/>
    <w:pPr>
      <w:ind w:left="630"/>
      <w:jc w:val="left"/>
    </w:pPr>
    <w:rPr>
      <w:sz w:val="20"/>
      <w:szCs w:val="20"/>
    </w:rPr>
  </w:style>
  <w:style w:type="paragraph" w:styleId="24">
    <w:name w:val="toc 6"/>
    <w:basedOn w:val="1"/>
    <w:next w:val="1"/>
    <w:semiHidden/>
    <w:unhideWhenUsed/>
    <w:qFormat/>
    <w:uiPriority w:val="39"/>
    <w:pPr>
      <w:ind w:left="1050"/>
      <w:jc w:val="left"/>
    </w:pPr>
    <w:rPr>
      <w:sz w:val="20"/>
      <w:szCs w:val="20"/>
    </w:rPr>
  </w:style>
  <w:style w:type="paragraph" w:styleId="25">
    <w:name w:val="Body Text Indent 3"/>
    <w:basedOn w:val="1"/>
    <w:link w:val="51"/>
    <w:qFormat/>
    <w:uiPriority w:val="99"/>
    <w:pPr>
      <w:ind w:left="359" w:leftChars="171" w:firstLine="359" w:firstLineChars="171"/>
    </w:pPr>
    <w:rPr>
      <w:rFonts w:ascii="Times New Roman" w:hAnsi="Times New Roman" w:eastAsia="宋体" w:cs="Times New Roman"/>
      <w:kern w:val="0"/>
      <w:sz w:val="20"/>
      <w:szCs w:val="20"/>
    </w:rPr>
  </w:style>
  <w:style w:type="paragraph" w:styleId="26">
    <w:name w:val="toc 2"/>
    <w:basedOn w:val="1"/>
    <w:next w:val="1"/>
    <w:unhideWhenUsed/>
    <w:qFormat/>
    <w:uiPriority w:val="39"/>
    <w:pPr>
      <w:spacing w:before="120"/>
      <w:ind w:left="210"/>
      <w:jc w:val="left"/>
    </w:pPr>
    <w:rPr>
      <w:i/>
      <w:iCs/>
      <w:sz w:val="20"/>
      <w:szCs w:val="20"/>
    </w:rPr>
  </w:style>
  <w:style w:type="paragraph" w:styleId="27">
    <w:name w:val="toc 9"/>
    <w:basedOn w:val="1"/>
    <w:next w:val="1"/>
    <w:semiHidden/>
    <w:unhideWhenUsed/>
    <w:qFormat/>
    <w:uiPriority w:val="39"/>
    <w:pPr>
      <w:ind w:left="1680"/>
      <w:jc w:val="left"/>
    </w:pPr>
    <w:rPr>
      <w:sz w:val="20"/>
      <w:szCs w:val="20"/>
    </w:rPr>
  </w:style>
  <w:style w:type="paragraph" w:styleId="28">
    <w:name w:val="Body Text 2"/>
    <w:basedOn w:val="1"/>
    <w:link w:val="106"/>
    <w:qFormat/>
    <w:uiPriority w:val="99"/>
    <w:pPr>
      <w:spacing w:after="120" w:line="480" w:lineRule="auto"/>
    </w:pPr>
    <w:rPr>
      <w:rFonts w:ascii="Times New Roman" w:hAnsi="Times New Roman" w:eastAsia="宋体" w:cs="Times New Roman"/>
      <w:kern w:val="0"/>
      <w:sz w:val="20"/>
      <w:szCs w:val="20"/>
    </w:rPr>
  </w:style>
  <w:style w:type="paragraph" w:styleId="2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0">
    <w:name w:val="annotation subject"/>
    <w:basedOn w:val="11"/>
    <w:next w:val="11"/>
    <w:link w:val="113"/>
    <w:semiHidden/>
    <w:unhideWhenUsed/>
    <w:qFormat/>
    <w:uiPriority w:val="99"/>
    <w:rPr>
      <w:b/>
      <w:bCs/>
    </w:rPr>
  </w:style>
  <w:style w:type="table" w:styleId="32">
    <w:name w:val="Table Grid"/>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qFormat/>
    <w:uiPriority w:val="99"/>
    <w:rPr>
      <w:rFonts w:cs="Times New Roman"/>
      <w:b/>
      <w:bCs/>
    </w:rPr>
  </w:style>
  <w:style w:type="character" w:styleId="35">
    <w:name w:val="page number"/>
    <w:qFormat/>
    <w:uiPriority w:val="99"/>
    <w:rPr>
      <w:rFonts w:cs="Times New Roman"/>
    </w:rPr>
  </w:style>
  <w:style w:type="character" w:styleId="36">
    <w:name w:val="FollowedHyperlink"/>
    <w:semiHidden/>
    <w:unhideWhenUsed/>
    <w:qFormat/>
    <w:uiPriority w:val="99"/>
    <w:rPr>
      <w:color w:val="800080"/>
      <w:u w:val="single"/>
    </w:rPr>
  </w:style>
  <w:style w:type="character" w:styleId="37">
    <w:name w:val="HTML Typewriter"/>
    <w:qFormat/>
    <w:uiPriority w:val="99"/>
    <w:rPr>
      <w:rFonts w:ascii="宋体" w:hAnsi="宋体" w:eastAsia="宋体" w:cs="宋体"/>
      <w:sz w:val="24"/>
      <w:szCs w:val="24"/>
    </w:rPr>
  </w:style>
  <w:style w:type="character" w:styleId="38">
    <w:name w:val="Hyperlink"/>
    <w:qFormat/>
    <w:uiPriority w:val="99"/>
    <w:rPr>
      <w:rFonts w:cs="Times New Roman"/>
      <w:color w:val="auto"/>
      <w:u w:val="none"/>
    </w:rPr>
  </w:style>
  <w:style w:type="character" w:styleId="39">
    <w:name w:val="annotation reference"/>
    <w:basedOn w:val="33"/>
    <w:semiHidden/>
    <w:unhideWhenUsed/>
    <w:qFormat/>
    <w:uiPriority w:val="99"/>
    <w:rPr>
      <w:sz w:val="21"/>
      <w:szCs w:val="21"/>
    </w:rPr>
  </w:style>
  <w:style w:type="character" w:customStyle="1" w:styleId="40">
    <w:name w:val="标题 1 Char"/>
    <w:basedOn w:val="33"/>
    <w:link w:val="2"/>
    <w:qFormat/>
    <w:uiPriority w:val="99"/>
    <w:rPr>
      <w:rFonts w:ascii="楷体_GB2312" w:hAnsi="Times New Roman" w:eastAsia="楷体_GB2312" w:cs="Times New Roman"/>
      <w:b/>
      <w:kern w:val="0"/>
      <w:sz w:val="28"/>
      <w:szCs w:val="20"/>
    </w:rPr>
  </w:style>
  <w:style w:type="character" w:customStyle="1" w:styleId="41">
    <w:name w:val="标题 2 Char"/>
    <w:basedOn w:val="33"/>
    <w:link w:val="3"/>
    <w:qFormat/>
    <w:uiPriority w:val="99"/>
    <w:rPr>
      <w:rFonts w:ascii="楷体_GB2312" w:hAnsi="Times New Roman" w:eastAsia="楷体_GB2312" w:cs="Times New Roman"/>
      <w:b/>
      <w:bCs/>
      <w:kern w:val="0"/>
      <w:sz w:val="18"/>
      <w:szCs w:val="20"/>
    </w:rPr>
  </w:style>
  <w:style w:type="character" w:customStyle="1" w:styleId="42">
    <w:name w:val="标题 3 Char"/>
    <w:basedOn w:val="33"/>
    <w:link w:val="4"/>
    <w:qFormat/>
    <w:uiPriority w:val="99"/>
    <w:rPr>
      <w:rFonts w:ascii="Times New Roman" w:hAnsi="Times New Roman" w:eastAsia="楷体_GB2312" w:cs="Times New Roman"/>
      <w:b/>
      <w:bCs/>
      <w:kern w:val="0"/>
      <w:sz w:val="15"/>
      <w:szCs w:val="20"/>
    </w:rPr>
  </w:style>
  <w:style w:type="character" w:customStyle="1" w:styleId="43">
    <w:name w:val="标题 4 Char"/>
    <w:basedOn w:val="33"/>
    <w:link w:val="5"/>
    <w:qFormat/>
    <w:uiPriority w:val="99"/>
    <w:rPr>
      <w:rFonts w:ascii="Times New Roman" w:hAnsi="Times New Roman" w:eastAsia="楷体_GB2312" w:cs="Times New Roman"/>
      <w:b/>
      <w:bCs/>
      <w:kern w:val="0"/>
      <w:sz w:val="13"/>
      <w:szCs w:val="20"/>
    </w:rPr>
  </w:style>
  <w:style w:type="character" w:customStyle="1" w:styleId="44">
    <w:name w:val="标题 5 Char"/>
    <w:basedOn w:val="33"/>
    <w:link w:val="6"/>
    <w:qFormat/>
    <w:uiPriority w:val="99"/>
    <w:rPr>
      <w:rFonts w:ascii="楷体_GB2312" w:hAnsi="Times New Roman" w:eastAsia="楷体_GB2312" w:cs="Times New Roman"/>
      <w:bCs/>
      <w:kern w:val="0"/>
      <w:sz w:val="28"/>
      <w:szCs w:val="20"/>
    </w:rPr>
  </w:style>
  <w:style w:type="character" w:customStyle="1" w:styleId="45">
    <w:name w:val="日期 Char"/>
    <w:basedOn w:val="33"/>
    <w:link w:val="17"/>
    <w:qFormat/>
    <w:uiPriority w:val="99"/>
    <w:rPr>
      <w:rFonts w:ascii="Times New Roman" w:hAnsi="Times New Roman" w:eastAsia="黑体" w:cs="Times New Roman"/>
      <w:b/>
      <w:kern w:val="0"/>
      <w:sz w:val="36"/>
      <w:szCs w:val="20"/>
    </w:rPr>
  </w:style>
  <w:style w:type="character" w:customStyle="1" w:styleId="46">
    <w:name w:val="正文文本缩进 Char"/>
    <w:basedOn w:val="33"/>
    <w:link w:val="13"/>
    <w:qFormat/>
    <w:uiPriority w:val="99"/>
    <w:rPr>
      <w:rFonts w:ascii="Times New Roman" w:hAnsi="Times New Roman" w:eastAsia="宋体" w:cs="Times New Roman"/>
      <w:b/>
      <w:kern w:val="0"/>
      <w:sz w:val="30"/>
      <w:szCs w:val="20"/>
    </w:rPr>
  </w:style>
  <w:style w:type="character" w:customStyle="1" w:styleId="47">
    <w:name w:val="页脚 Char"/>
    <w:basedOn w:val="33"/>
    <w:link w:val="20"/>
    <w:qFormat/>
    <w:uiPriority w:val="99"/>
    <w:rPr>
      <w:rFonts w:ascii="Times New Roman" w:hAnsi="Times New Roman" w:eastAsia="宋体" w:cs="Times New Roman"/>
      <w:kern w:val="0"/>
      <w:sz w:val="18"/>
      <w:szCs w:val="20"/>
    </w:rPr>
  </w:style>
  <w:style w:type="character" w:customStyle="1" w:styleId="48">
    <w:name w:val="页眉 Char"/>
    <w:basedOn w:val="33"/>
    <w:link w:val="21"/>
    <w:qFormat/>
    <w:uiPriority w:val="99"/>
    <w:rPr>
      <w:rFonts w:ascii="Times New Roman" w:hAnsi="Times New Roman" w:eastAsia="宋体" w:cs="Times New Roman"/>
      <w:kern w:val="0"/>
      <w:sz w:val="18"/>
      <w:szCs w:val="20"/>
    </w:rPr>
  </w:style>
  <w:style w:type="character" w:customStyle="1" w:styleId="49">
    <w:name w:val="正文文本 Char"/>
    <w:basedOn w:val="33"/>
    <w:link w:val="12"/>
    <w:qFormat/>
    <w:uiPriority w:val="99"/>
    <w:rPr>
      <w:rFonts w:ascii="华文中宋" w:hAnsi="Times New Roman" w:eastAsia="华文中宋" w:cs="Times New Roman"/>
      <w:bCs/>
      <w:kern w:val="0"/>
      <w:sz w:val="28"/>
      <w:szCs w:val="20"/>
    </w:rPr>
  </w:style>
  <w:style w:type="character" w:customStyle="1" w:styleId="50">
    <w:name w:val="正文文本缩进 2 Char"/>
    <w:basedOn w:val="33"/>
    <w:link w:val="18"/>
    <w:qFormat/>
    <w:uiPriority w:val="99"/>
    <w:rPr>
      <w:rFonts w:ascii="楷体_GB2312" w:hAnsi="Times New Roman" w:eastAsia="楷体_GB2312" w:cs="Times New Roman"/>
      <w:b/>
      <w:kern w:val="0"/>
      <w:sz w:val="28"/>
      <w:szCs w:val="20"/>
    </w:rPr>
  </w:style>
  <w:style w:type="character" w:customStyle="1" w:styleId="51">
    <w:name w:val="正文文本缩进 3 Char"/>
    <w:basedOn w:val="33"/>
    <w:link w:val="25"/>
    <w:qFormat/>
    <w:uiPriority w:val="99"/>
    <w:rPr>
      <w:rFonts w:ascii="Times New Roman" w:hAnsi="Times New Roman" w:eastAsia="宋体" w:cs="Times New Roman"/>
      <w:kern w:val="0"/>
      <w:sz w:val="20"/>
      <w:szCs w:val="20"/>
    </w:rPr>
  </w:style>
  <w:style w:type="paragraph" w:customStyle="1" w:styleId="52">
    <w:name w:val="font5"/>
    <w:basedOn w:val="1"/>
    <w:qFormat/>
    <w:uiPriority w:val="99"/>
    <w:pPr>
      <w:widowControl/>
      <w:spacing w:before="100" w:beforeAutospacing="1" w:after="100" w:afterAutospacing="1"/>
      <w:jc w:val="left"/>
    </w:pPr>
    <w:rPr>
      <w:rFonts w:ascii="宋体" w:hAnsi="宋体" w:eastAsia="宋体" w:cs="Times New Roman"/>
      <w:kern w:val="0"/>
      <w:sz w:val="18"/>
      <w:szCs w:val="18"/>
    </w:rPr>
  </w:style>
  <w:style w:type="paragraph" w:customStyle="1" w:styleId="53">
    <w:name w:val="font6"/>
    <w:basedOn w:val="1"/>
    <w:qFormat/>
    <w:uiPriority w:val="99"/>
    <w:pPr>
      <w:widowControl/>
      <w:spacing w:before="100" w:beforeAutospacing="1" w:after="100" w:afterAutospacing="1"/>
      <w:jc w:val="left"/>
    </w:pPr>
    <w:rPr>
      <w:rFonts w:ascii="宋体" w:hAnsi="宋体" w:eastAsia="宋体" w:cs="Times New Roman"/>
      <w:b/>
      <w:bCs/>
      <w:kern w:val="0"/>
      <w:sz w:val="20"/>
      <w:szCs w:val="20"/>
    </w:rPr>
  </w:style>
  <w:style w:type="paragraph" w:customStyle="1" w:styleId="54">
    <w:name w:val="font7"/>
    <w:basedOn w:val="1"/>
    <w:qFormat/>
    <w:uiPriority w:val="99"/>
    <w:pPr>
      <w:widowControl/>
      <w:spacing w:before="100" w:beforeAutospacing="1" w:after="100" w:afterAutospacing="1"/>
      <w:jc w:val="left"/>
    </w:pPr>
    <w:rPr>
      <w:rFonts w:ascii="Times New Roman" w:hAnsi="Times New Roman" w:eastAsia="宋体" w:cs="Times New Roman"/>
      <w:b/>
      <w:bCs/>
      <w:i/>
      <w:iCs/>
      <w:kern w:val="0"/>
      <w:sz w:val="20"/>
      <w:szCs w:val="20"/>
    </w:rPr>
  </w:style>
  <w:style w:type="paragraph" w:customStyle="1" w:styleId="55">
    <w:name w:val="font8"/>
    <w:basedOn w:val="1"/>
    <w:qFormat/>
    <w:uiPriority w:val="99"/>
    <w:pPr>
      <w:widowControl/>
      <w:spacing w:before="100" w:beforeAutospacing="1" w:after="100" w:afterAutospacing="1"/>
      <w:jc w:val="left"/>
    </w:pPr>
    <w:rPr>
      <w:rFonts w:ascii="宋体" w:hAnsi="宋体" w:eastAsia="宋体" w:cs="Times New Roman"/>
      <w:b/>
      <w:bCs/>
      <w:i/>
      <w:iCs/>
      <w:kern w:val="0"/>
      <w:sz w:val="20"/>
      <w:szCs w:val="20"/>
    </w:rPr>
  </w:style>
  <w:style w:type="paragraph" w:customStyle="1" w:styleId="56">
    <w:name w:val="font9"/>
    <w:basedOn w:val="1"/>
    <w:qFormat/>
    <w:uiPriority w:val="99"/>
    <w:pPr>
      <w:widowControl/>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57">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58">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i/>
      <w:iCs/>
      <w:kern w:val="0"/>
      <w:sz w:val="20"/>
      <w:szCs w:val="20"/>
    </w:rPr>
  </w:style>
  <w:style w:type="paragraph" w:customStyle="1" w:styleId="59">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60">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61">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b/>
      <w:bCs/>
      <w:i/>
      <w:iCs/>
      <w:kern w:val="0"/>
      <w:sz w:val="20"/>
      <w:szCs w:val="20"/>
    </w:rPr>
  </w:style>
  <w:style w:type="paragraph" w:customStyle="1" w:styleId="62">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63">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64">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Times New Roman"/>
      <w:b/>
      <w:bCs/>
      <w:kern w:val="0"/>
      <w:sz w:val="24"/>
      <w:szCs w:val="24"/>
    </w:rPr>
  </w:style>
  <w:style w:type="paragraph" w:customStyle="1" w:styleId="65">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b/>
      <w:bCs/>
      <w:i/>
      <w:iCs/>
      <w:kern w:val="0"/>
      <w:sz w:val="20"/>
      <w:szCs w:val="20"/>
    </w:rPr>
  </w:style>
  <w:style w:type="paragraph" w:customStyle="1" w:styleId="66">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0"/>
      <w:szCs w:val="20"/>
    </w:rPr>
  </w:style>
  <w:style w:type="paragraph" w:customStyle="1" w:styleId="67">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b/>
      <w:bCs/>
      <w:i/>
      <w:iCs/>
      <w:kern w:val="0"/>
      <w:sz w:val="20"/>
      <w:szCs w:val="20"/>
    </w:rPr>
  </w:style>
  <w:style w:type="paragraph" w:customStyle="1" w:styleId="68">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b/>
      <w:bCs/>
      <w:i/>
      <w:iCs/>
      <w:kern w:val="0"/>
      <w:sz w:val="20"/>
      <w:szCs w:val="20"/>
    </w:rPr>
  </w:style>
  <w:style w:type="paragraph" w:customStyle="1" w:styleId="69">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b/>
      <w:bCs/>
      <w:kern w:val="0"/>
      <w:sz w:val="20"/>
      <w:szCs w:val="20"/>
    </w:rPr>
  </w:style>
  <w:style w:type="paragraph" w:customStyle="1" w:styleId="70">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b/>
      <w:bCs/>
      <w:i/>
      <w:iCs/>
      <w:kern w:val="0"/>
      <w:sz w:val="20"/>
      <w:szCs w:val="20"/>
    </w:rPr>
  </w:style>
  <w:style w:type="paragraph" w:customStyle="1" w:styleId="71">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72">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73">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74">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75">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76">
    <w:name w:val="xl4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0"/>
      <w:szCs w:val="20"/>
    </w:rPr>
  </w:style>
  <w:style w:type="paragraph" w:customStyle="1" w:styleId="77">
    <w:name w:val="xl4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0"/>
      <w:szCs w:val="20"/>
    </w:rPr>
  </w:style>
  <w:style w:type="paragraph" w:customStyle="1" w:styleId="78">
    <w:name w:val="xl45"/>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0"/>
      <w:szCs w:val="20"/>
    </w:rPr>
  </w:style>
  <w:style w:type="paragraph" w:customStyle="1" w:styleId="79">
    <w:name w:val="xl46"/>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80">
    <w:name w:val="xl4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81">
    <w:name w:val="xl4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82">
    <w:name w:val="xl4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83">
    <w:name w:val="xl5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84">
    <w:name w:val="xl51"/>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rFonts w:ascii="Times New Roman" w:hAnsi="Times New Roman" w:eastAsia="宋体" w:cs="Times New Roman"/>
      <w:b/>
      <w:bCs/>
      <w:i/>
      <w:iCs/>
      <w:kern w:val="0"/>
      <w:sz w:val="20"/>
      <w:szCs w:val="20"/>
    </w:rPr>
  </w:style>
  <w:style w:type="paragraph" w:customStyle="1" w:styleId="85">
    <w:name w:val="xl52"/>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pPr>
    <w:rPr>
      <w:rFonts w:ascii="Times New Roman" w:hAnsi="Times New Roman" w:eastAsia="宋体" w:cs="Times New Roman"/>
      <w:b/>
      <w:bCs/>
      <w:i/>
      <w:iCs/>
      <w:kern w:val="0"/>
      <w:sz w:val="20"/>
      <w:szCs w:val="20"/>
    </w:rPr>
  </w:style>
  <w:style w:type="paragraph" w:customStyle="1" w:styleId="86">
    <w:name w:val="xl53"/>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rFonts w:ascii="Times New Roman" w:hAnsi="Times New Roman" w:eastAsia="宋体" w:cs="Times New Roman"/>
      <w:b/>
      <w:bCs/>
      <w:i/>
      <w:iCs/>
      <w:kern w:val="0"/>
      <w:sz w:val="20"/>
      <w:szCs w:val="20"/>
    </w:rPr>
  </w:style>
  <w:style w:type="paragraph" w:customStyle="1" w:styleId="87">
    <w:name w:val="xl54"/>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eastAsia="宋体" w:cs="Times New Roman"/>
      <w:b/>
      <w:bCs/>
      <w:kern w:val="0"/>
      <w:sz w:val="20"/>
      <w:szCs w:val="20"/>
    </w:rPr>
  </w:style>
  <w:style w:type="paragraph" w:customStyle="1" w:styleId="88">
    <w:name w:val="xl55"/>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89">
    <w:name w:val="xl56"/>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90">
    <w:name w:val="xl5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91">
    <w:name w:val="xl5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92">
    <w:name w:val="xl5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93">
    <w:name w:val="xl60"/>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94">
    <w:name w:val="xl61"/>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95">
    <w:name w:val="xl62"/>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96">
    <w:name w:val="xl63"/>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97">
    <w:name w:val="font10"/>
    <w:basedOn w:val="1"/>
    <w:qFormat/>
    <w:uiPriority w:val="99"/>
    <w:pPr>
      <w:widowControl/>
      <w:spacing w:before="100" w:beforeAutospacing="1" w:after="100" w:afterAutospacing="1"/>
      <w:jc w:val="left"/>
    </w:pPr>
    <w:rPr>
      <w:rFonts w:ascii="楷体_GB2312" w:hAnsi="宋体" w:eastAsia="楷体_GB2312" w:cs="Times New Roman"/>
      <w:b/>
      <w:bCs/>
      <w:kern w:val="0"/>
      <w:sz w:val="18"/>
      <w:szCs w:val="18"/>
    </w:rPr>
  </w:style>
  <w:style w:type="paragraph" w:customStyle="1" w:styleId="98">
    <w:name w:val="font11"/>
    <w:basedOn w:val="1"/>
    <w:qFormat/>
    <w:uiPriority w:val="99"/>
    <w:pPr>
      <w:widowControl/>
      <w:spacing w:before="100" w:beforeAutospacing="1" w:after="100" w:afterAutospacing="1"/>
      <w:jc w:val="left"/>
    </w:pPr>
    <w:rPr>
      <w:rFonts w:ascii="Times New Roman" w:hAnsi="Times New Roman" w:eastAsia="宋体" w:cs="Times New Roman"/>
      <w:b/>
      <w:bCs/>
      <w:kern w:val="0"/>
      <w:sz w:val="18"/>
      <w:szCs w:val="18"/>
    </w:rPr>
  </w:style>
  <w:style w:type="paragraph" w:customStyle="1" w:styleId="99">
    <w:name w:val="font12"/>
    <w:basedOn w:val="1"/>
    <w:qFormat/>
    <w:uiPriority w:val="99"/>
    <w:pPr>
      <w:widowControl/>
      <w:spacing w:before="100" w:beforeAutospacing="1" w:after="100" w:afterAutospacing="1"/>
      <w:jc w:val="left"/>
    </w:pPr>
    <w:rPr>
      <w:rFonts w:ascii="宋体" w:hAnsi="宋体" w:eastAsia="宋体" w:cs="Times New Roman"/>
      <w:kern w:val="0"/>
      <w:sz w:val="36"/>
      <w:szCs w:val="36"/>
    </w:rPr>
  </w:style>
  <w:style w:type="paragraph" w:customStyle="1" w:styleId="100">
    <w:name w:val="font13"/>
    <w:basedOn w:val="1"/>
    <w:qFormat/>
    <w:uiPriority w:val="99"/>
    <w:pPr>
      <w:widowControl/>
      <w:spacing w:before="100" w:beforeAutospacing="1" w:after="100" w:afterAutospacing="1"/>
      <w:jc w:val="left"/>
    </w:pPr>
    <w:rPr>
      <w:rFonts w:ascii="Times New Roman" w:hAnsi="Times New Roman" w:eastAsia="宋体" w:cs="Times New Roman"/>
      <w:i/>
      <w:iCs/>
      <w:kern w:val="0"/>
      <w:sz w:val="36"/>
      <w:szCs w:val="36"/>
    </w:rPr>
  </w:style>
  <w:style w:type="paragraph" w:customStyle="1" w:styleId="101">
    <w:name w:val="font14"/>
    <w:basedOn w:val="1"/>
    <w:qFormat/>
    <w:uiPriority w:val="99"/>
    <w:pPr>
      <w:widowControl/>
      <w:spacing w:before="100" w:beforeAutospacing="1" w:after="100" w:afterAutospacing="1"/>
      <w:jc w:val="left"/>
    </w:pPr>
    <w:rPr>
      <w:rFonts w:ascii="Times New Roman" w:hAnsi="Times New Roman" w:eastAsia="宋体" w:cs="Times New Roman"/>
      <w:kern w:val="0"/>
      <w:sz w:val="36"/>
      <w:szCs w:val="36"/>
    </w:rPr>
  </w:style>
  <w:style w:type="character" w:customStyle="1" w:styleId="102">
    <w:name w:val="case31"/>
    <w:qFormat/>
    <w:uiPriority w:val="99"/>
    <w:rPr>
      <w:rFonts w:cs="Times New Roman"/>
      <w:spacing w:val="390"/>
      <w:sz w:val="21"/>
      <w:szCs w:val="21"/>
    </w:rPr>
  </w:style>
  <w:style w:type="paragraph" w:customStyle="1" w:styleId="103">
    <w:name w:val="普通文字"/>
    <w:basedOn w:val="1"/>
    <w:next w:val="1"/>
    <w:qFormat/>
    <w:uiPriority w:val="99"/>
    <w:rPr>
      <w:rFonts w:ascii="宋体" w:hAnsi="Times New Roman" w:eastAsia="宋体" w:cs="Times New Roman"/>
      <w:kern w:val="0"/>
      <w:sz w:val="24"/>
      <w:szCs w:val="20"/>
      <w:u w:color="000000"/>
    </w:rPr>
  </w:style>
  <w:style w:type="paragraph" w:customStyle="1" w:styleId="104">
    <w:name w:val="默认段落字体 Para Char"/>
    <w:basedOn w:val="1"/>
    <w:qFormat/>
    <w:uiPriority w:val="99"/>
    <w:pPr>
      <w:tabs>
        <w:tab w:val="left" w:pos="552"/>
      </w:tabs>
      <w:ind w:left="552" w:hanging="420"/>
    </w:pPr>
    <w:rPr>
      <w:rFonts w:ascii="Times New Roman" w:hAnsi="Times New Roman" w:eastAsia="宋体" w:cs="Times New Roman"/>
      <w:sz w:val="24"/>
      <w:szCs w:val="24"/>
    </w:rPr>
  </w:style>
  <w:style w:type="character" w:customStyle="1" w:styleId="105">
    <w:name w:val="文档结构图 Char"/>
    <w:basedOn w:val="33"/>
    <w:link w:val="10"/>
    <w:semiHidden/>
    <w:qFormat/>
    <w:uiPriority w:val="99"/>
    <w:rPr>
      <w:rFonts w:ascii="Times New Roman" w:hAnsi="Times New Roman" w:eastAsia="宋体" w:cs="Times New Roman"/>
      <w:kern w:val="0"/>
      <w:sz w:val="20"/>
      <w:szCs w:val="20"/>
      <w:shd w:val="clear" w:color="auto" w:fill="000080"/>
    </w:rPr>
  </w:style>
  <w:style w:type="character" w:customStyle="1" w:styleId="106">
    <w:name w:val="正文文本 2 Char"/>
    <w:basedOn w:val="33"/>
    <w:link w:val="28"/>
    <w:qFormat/>
    <w:uiPriority w:val="99"/>
    <w:rPr>
      <w:rFonts w:ascii="Times New Roman" w:hAnsi="Times New Roman" w:eastAsia="宋体" w:cs="Times New Roman"/>
      <w:kern w:val="0"/>
      <w:sz w:val="20"/>
      <w:szCs w:val="20"/>
    </w:rPr>
  </w:style>
  <w:style w:type="paragraph" w:customStyle="1" w:styleId="107">
    <w:name w:val="Char Char Char Char"/>
    <w:basedOn w:val="10"/>
    <w:qFormat/>
    <w:uiPriority w:val="99"/>
    <w:pPr>
      <w:adjustRightInd w:val="0"/>
      <w:snapToGrid w:val="0"/>
      <w:spacing w:line="360" w:lineRule="auto"/>
    </w:pPr>
    <w:rPr>
      <w:rFonts w:ascii="Tahoma" w:hAnsi="Tahoma"/>
      <w:sz w:val="24"/>
      <w:szCs w:val="24"/>
    </w:rPr>
  </w:style>
  <w:style w:type="paragraph" w:customStyle="1" w:styleId="108">
    <w:name w:val="Char Char1 Char Char Char Char"/>
    <w:basedOn w:val="10"/>
    <w:qFormat/>
    <w:uiPriority w:val="99"/>
    <w:pPr>
      <w:adjustRightInd w:val="0"/>
      <w:spacing w:line="436" w:lineRule="exact"/>
      <w:ind w:left="357"/>
      <w:jc w:val="left"/>
      <w:outlineLvl w:val="3"/>
    </w:pPr>
    <w:rPr>
      <w:rFonts w:ascii="Tahoma" w:hAnsi="Tahoma"/>
      <w:b/>
      <w:sz w:val="24"/>
      <w:szCs w:val="24"/>
    </w:rPr>
  </w:style>
  <w:style w:type="paragraph" w:styleId="109">
    <w:name w:val="List Paragraph"/>
    <w:basedOn w:val="1"/>
    <w:qFormat/>
    <w:uiPriority w:val="99"/>
    <w:pPr>
      <w:ind w:firstLine="420" w:firstLineChars="200"/>
    </w:pPr>
    <w:rPr>
      <w:rFonts w:ascii="Times New Roman" w:hAnsi="Times New Roman" w:eastAsia="宋体" w:cs="Times New Roman"/>
      <w:szCs w:val="20"/>
    </w:rPr>
  </w:style>
  <w:style w:type="paragraph" w:customStyle="1" w:styleId="110">
    <w:name w:val="修订1"/>
    <w:hidden/>
    <w:semiHidden/>
    <w:qFormat/>
    <w:uiPriority w:val="99"/>
    <w:rPr>
      <w:rFonts w:ascii="Times New Roman" w:hAnsi="Times New Roman" w:eastAsia="宋体" w:cs="Times New Roman"/>
      <w:kern w:val="2"/>
      <w:sz w:val="21"/>
      <w:lang w:val="en-US" w:eastAsia="zh-CN" w:bidi="ar-SA"/>
    </w:rPr>
  </w:style>
  <w:style w:type="character" w:customStyle="1" w:styleId="111">
    <w:name w:val="批注框文本 Char"/>
    <w:basedOn w:val="33"/>
    <w:link w:val="19"/>
    <w:semiHidden/>
    <w:qFormat/>
    <w:uiPriority w:val="99"/>
    <w:rPr>
      <w:rFonts w:ascii="Times New Roman" w:hAnsi="Times New Roman" w:eastAsia="宋体" w:cs="Times New Roman"/>
      <w:sz w:val="18"/>
      <w:szCs w:val="18"/>
    </w:rPr>
  </w:style>
  <w:style w:type="character" w:customStyle="1" w:styleId="112">
    <w:name w:val="批注文字 Char"/>
    <w:basedOn w:val="33"/>
    <w:link w:val="11"/>
    <w:semiHidden/>
    <w:qFormat/>
    <w:uiPriority w:val="99"/>
  </w:style>
  <w:style w:type="character" w:customStyle="1" w:styleId="113">
    <w:name w:val="批注主题 Char"/>
    <w:basedOn w:val="112"/>
    <w:link w:val="30"/>
    <w:semiHidden/>
    <w:qFormat/>
    <w:uiPriority w:val="99"/>
    <w:rPr>
      <w:b/>
      <w:bCs/>
    </w:rPr>
  </w:style>
  <w:style w:type="paragraph" w:customStyle="1" w:styleId="114">
    <w:name w:val="列表段落1"/>
    <w:basedOn w:val="1"/>
    <w:qFormat/>
    <w:uiPriority w:val="99"/>
    <w:pPr>
      <w:ind w:firstLine="420" w:firstLineChars="200"/>
    </w:pPr>
    <w:rPr>
      <w:rFonts w:ascii="Times New Roman" w:hAnsi="Times New Roman" w:eastAsia="宋体" w:cs="Times New Roman"/>
      <w:szCs w:val="21"/>
    </w:rPr>
  </w:style>
  <w:style w:type="character" w:customStyle="1" w:styleId="115">
    <w:name w:val="标题 6 Char"/>
    <w:basedOn w:val="33"/>
    <w:link w:val="7"/>
    <w:qFormat/>
    <w:uiPriority w:val="9"/>
    <w:rPr>
      <w:rFonts w:asciiTheme="majorHAnsi" w:hAnsiTheme="majorHAnsi" w:eastAsiaTheme="majorEastAsia" w:cstheme="majorBidi"/>
      <w:b/>
      <w:bCs/>
      <w:kern w:val="2"/>
      <w:sz w:val="24"/>
      <w:szCs w:val="24"/>
    </w:rPr>
  </w:style>
  <w:style w:type="paragraph" w:customStyle="1" w:styleId="116">
    <w:name w:val="TOC 标题1"/>
    <w:basedOn w:val="2"/>
    <w:next w:val="1"/>
    <w:unhideWhenUsed/>
    <w:qFormat/>
    <w:uiPriority w:val="39"/>
    <w:pPr>
      <w:keepLines/>
      <w:widowControl/>
      <w:spacing w:before="480" w:line="276" w:lineRule="auto"/>
      <w:jc w:val="left"/>
      <w:outlineLvl w:val="9"/>
    </w:pPr>
    <w:rPr>
      <w:rFonts w:asciiTheme="majorHAnsi" w:hAnsiTheme="majorHAnsi" w:eastAsiaTheme="majorEastAsia" w:cstheme="majorBidi"/>
      <w:bCs/>
      <w:color w:val="376092" w:themeColor="accent1" w:themeShade="BF"/>
      <w:szCs w:val="28"/>
    </w:rPr>
  </w:style>
  <w:style w:type="paragraph" w:customStyle="1" w:styleId="117">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8">
    <w:name w:val="Í¼±íÕýÎÄ"/>
    <w:basedOn w:val="1"/>
    <w:next w:val="9"/>
    <w:qFormat/>
    <w:uiPriority w:val="0"/>
    <w:pPr>
      <w:ind w:firstLine="420" w:firstLineChars="200"/>
    </w:pPr>
    <w:rPr>
      <w:rFonts w:ascii="Times New Roman" w:hAnsi="Times New Roman" w:eastAsia="宋体" w:cs="Times New Roman"/>
      <w:sz w:val="24"/>
      <w:szCs w:val="20"/>
    </w:rPr>
  </w:style>
  <w:style w:type="character" w:customStyle="1" w:styleId="119">
    <w:name w:val="未处理的提及1"/>
    <w:basedOn w:val="33"/>
    <w:semiHidden/>
    <w:unhideWhenUsed/>
    <w:qFormat/>
    <w:uiPriority w:val="99"/>
    <w:rPr>
      <w:color w:val="605E5C"/>
      <w:shd w:val="clear" w:color="auto" w:fill="E1DFDD"/>
    </w:rPr>
  </w:style>
  <w:style w:type="paragraph" w:customStyle="1" w:styleId="120">
    <w:name w:val="标题2"/>
    <w:basedOn w:val="3"/>
    <w:next w:val="1"/>
    <w:qFormat/>
    <w:uiPriority w:val="0"/>
    <w:pPr>
      <w:spacing w:line="360" w:lineRule="auto"/>
    </w:pPr>
    <w:rPr>
      <w:rFonts w:ascii="黑体" w:hAnsi="黑体" w:eastAsia="黑体"/>
      <w:b w:val="0"/>
      <w:sz w:val="32"/>
      <w:szCs w:val="32"/>
    </w:rPr>
  </w:style>
  <w:style w:type="paragraph" w:customStyle="1" w:styleId="121">
    <w:name w:val="标题1"/>
    <w:basedOn w:val="2"/>
    <w:next w:val="1"/>
    <w:qFormat/>
    <w:uiPriority w:val="0"/>
    <w:pPr>
      <w:spacing w:line="360" w:lineRule="auto"/>
    </w:pPr>
    <w:rPr>
      <w:rFonts w:ascii="黑体" w:hAnsi="黑体" w:eastAsia="黑体"/>
      <w:b w:val="0"/>
      <w:bCs/>
      <w:szCs w:val="28"/>
    </w:rPr>
  </w:style>
  <w:style w:type="paragraph" w:customStyle="1" w:styleId="122">
    <w:name w:val="标题1-1"/>
    <w:basedOn w:val="2"/>
    <w:next w:val="1"/>
    <w:qFormat/>
    <w:uiPriority w:val="0"/>
    <w:pPr>
      <w:jc w:val="left"/>
    </w:pPr>
    <w:rPr>
      <w:rFonts w:ascii="黑体" w:hAnsi="宋体" w:eastAsia="黑体"/>
      <w:b w:val="0"/>
      <w:bCs/>
      <w:color w:val="000000" w:themeColor="text1"/>
      <w:sz w:val="24"/>
      <w:szCs w:val="24"/>
      <w14:textFill>
        <w14:solidFill>
          <w14:schemeClr w14:val="tx1"/>
        </w14:solidFill>
      </w14:textFill>
    </w:rPr>
  </w:style>
  <w:style w:type="character" w:customStyle="1" w:styleId="123">
    <w:name w:val="正文缩进 Char"/>
    <w:link w:val="9"/>
    <w:qFormat/>
    <w:uiPriority w:val="0"/>
    <w:rPr>
      <w:rFonts w:ascii="Times New Roman" w:hAnsi="Times New Roman" w:eastAsia="宋体" w:cs="Times New Roman"/>
      <w:kern w:val="2"/>
      <w:sz w:val="21"/>
    </w:rPr>
  </w:style>
  <w:style w:type="table" w:customStyle="1" w:styleId="124">
    <w:name w:val="Grid Table Light"/>
    <w:basedOn w:val="31"/>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paragraph" w:customStyle="1" w:styleId="125">
    <w:name w:val="正文缩进1"/>
    <w:basedOn w:val="1"/>
    <w:qFormat/>
    <w:uiPriority w:val="0"/>
    <w:pPr>
      <w:autoSpaceDE w:val="0"/>
      <w:autoSpaceDN w:val="0"/>
      <w:adjustRightInd w:val="0"/>
      <w:ind w:firstLine="420"/>
      <w:jc w:val="left"/>
    </w:pPr>
    <w:rPr>
      <w:rFonts w:ascii="宋体"/>
      <w:sz w:val="24"/>
    </w:rPr>
  </w:style>
  <w:style w:type="paragraph" w:customStyle="1" w:styleId="126">
    <w:name w:val="索引 11"/>
    <w:basedOn w:val="1"/>
    <w:next w:val="1"/>
    <w:qFormat/>
    <w:uiPriority w:val="0"/>
    <w:pPr>
      <w:spacing w:line="360" w:lineRule="auto"/>
    </w:pPr>
    <w:rPr>
      <w:rFonts w:ascii="仿宋_GB2312" w:hAnsi="Times New Roman" w:eastAsia="仿宋_GB2312" w:cs="Times New Roman"/>
      <w:sz w:val="24"/>
      <w:szCs w:val="20"/>
    </w:rPr>
  </w:style>
  <w:style w:type="table" w:customStyle="1" w:styleId="127">
    <w:name w:val="网格型1"/>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8">
    <w:name w:val="Grid Table Light1"/>
    <w:basedOn w:val="31"/>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paragraph" w:customStyle="1" w:styleId="129">
    <w:name w:val="Char"/>
    <w:basedOn w:val="1"/>
    <w:qFormat/>
    <w:uiPriority w:val="0"/>
    <w:pPr>
      <w:tabs>
        <w:tab w:val="left" w:pos="360"/>
      </w:tabs>
      <w:ind w:firstLine="561"/>
      <w:jc w:val="center"/>
    </w:pPr>
    <w:rPr>
      <w:rFonts w:ascii="黑体" w:hAnsi="黑体" w:eastAsia="黑体" w:cs="Times New Roman"/>
      <w:sz w:val="28"/>
      <w:szCs w:val="28"/>
    </w:rPr>
  </w:style>
  <w:style w:type="character" w:customStyle="1" w:styleId="130">
    <w:name w:val="日期 字符1"/>
    <w:qFormat/>
    <w:locked/>
    <w:uiPriority w:val="0"/>
    <w:rPr>
      <w:kern w:val="2"/>
      <w:sz w:val="24"/>
    </w:rPr>
  </w:style>
  <w:style w:type="paragraph" w:customStyle="1" w:styleId="131">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132">
    <w:name w:val="列出段落1"/>
    <w:basedOn w:val="1"/>
    <w:qFormat/>
    <w:uiPriority w:val="0"/>
    <w:pPr>
      <w:widowControl/>
      <w:ind w:left="720"/>
      <w:contextualSpacing/>
      <w:jc w:val="left"/>
    </w:pPr>
    <w:rPr>
      <w:rFonts w:ascii="Calibri" w:hAnsi="Calibri" w:eastAsia="宋体" w:cs="Calibri"/>
      <w:kern w:val="0"/>
      <w:sz w:val="24"/>
      <w:szCs w:val="24"/>
      <w:lang w:eastAsia="en-US" w:bidi="en-US"/>
    </w:rPr>
  </w:style>
  <w:style w:type="paragraph" w:customStyle="1" w:styleId="133">
    <w:name w:val="纯文本1"/>
    <w:basedOn w:val="1"/>
    <w:qFormat/>
    <w:uiPriority w:val="0"/>
    <w:rPr>
      <w:rFonts w:ascii="宋体" w:hAnsi="Courier New" w:eastAsia="宋体" w:cs="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numbering" Target="numbering.xml"/><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0BA18-2AF6-483B-B16F-BBCECEDE840A}">
  <ds:schemaRefs/>
</ds:datastoreItem>
</file>

<file path=docProps/app.xml><?xml version="1.0" encoding="utf-8"?>
<Properties xmlns="http://schemas.openxmlformats.org/officeDocument/2006/extended-properties" xmlns:vt="http://schemas.openxmlformats.org/officeDocument/2006/docPropsVTypes">
  <Template>Normal</Template>
  <Company>LenovoCop</Company>
  <Pages>41</Pages>
  <Words>16745</Words>
  <Characters>17649</Characters>
  <Lines>152</Lines>
  <Paragraphs>42</Paragraphs>
  <TotalTime>74</TotalTime>
  <ScaleCrop>false</ScaleCrop>
  <LinksUpToDate>false</LinksUpToDate>
  <CharactersWithSpaces>19890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2020-11-17T01:25:00Z</dcterms:created>
  <dc:creator>黄炜</dc:creator>
  <cp:lastModifiedBy>黄贤</cp:lastModifiedBy>
  <cp:lastPrinted>2022-10-20T02:29:49Z</cp:lastPrinted>
  <dcterms:modified xsi:type="dcterms:W3CDTF">2022-10-20T02:52:58Z</dcterms:modified>
  <cp:revision>253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6512EA4F21AB418D9E94E53CE676BCE6</vt:lpwstr>
  </property>
</Properties>
</file>