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snapToGrid w:val="0"/>
        <w:spacing w:line="360" w:lineRule="auto"/>
        <w:jc w:val="center"/>
        <w:rPr>
          <w:rFonts w:ascii="黑体" w:hAnsi="黑体" w:eastAsia="黑体" w:cs="黑体"/>
          <w:b/>
          <w:spacing w:val="170"/>
          <w:kern w:val="0"/>
          <w:sz w:val="84"/>
          <w:szCs w:val="84"/>
        </w:rPr>
      </w:pPr>
      <w:r>
        <w:rPr>
          <w:rFonts w:hint="eastAsia" w:ascii="黑体" w:hAnsi="黑体" w:eastAsia="黑体" w:cs="黑体"/>
          <w:b/>
          <w:spacing w:val="170"/>
          <w:kern w:val="0"/>
          <w:sz w:val="84"/>
          <w:szCs w:val="84"/>
        </w:rPr>
        <w:t xml:space="preserve">采 购 </w:t>
      </w:r>
      <w:r>
        <w:rPr>
          <w:rFonts w:hint="eastAsia" w:ascii="黑体" w:hAnsi="黑体" w:eastAsia="黑体"/>
          <w:b/>
          <w:spacing w:val="170"/>
          <w:sz w:val="84"/>
          <w:szCs w:val="84"/>
        </w:rPr>
        <w:t>文 件</w:t>
      </w:r>
    </w:p>
    <w:p>
      <w:pPr>
        <w:jc w:val="center"/>
        <w:rPr>
          <w:rFonts w:ascii="华文中宋" w:hAnsi="华文中宋" w:eastAsia="华文中宋"/>
          <w:bCs/>
          <w:color w:val="000000" w:themeColor="text1"/>
          <w:sz w:val="30"/>
          <w14:textFill>
            <w14:solidFill>
              <w14:schemeClr w14:val="tx1"/>
            </w14:solidFill>
          </w14:textFill>
        </w:rPr>
      </w:pPr>
      <w:r>
        <w:rPr>
          <w:rFonts w:hint="eastAsia" w:ascii="华文中宋" w:hAnsi="华文中宋" w:eastAsia="华文中宋"/>
          <w:bCs/>
          <w:color w:val="000000" w:themeColor="text1"/>
          <w:sz w:val="30"/>
          <w14:textFill>
            <w14:solidFill>
              <w14:schemeClr w14:val="tx1"/>
            </w14:solidFill>
          </w14:textFill>
        </w:rPr>
        <w:t>（服务类）</w:t>
      </w: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华文中宋" w:hAnsi="华文中宋" w:eastAsia="华文中宋"/>
          <w:bCs/>
          <w:color w:val="000000" w:themeColor="text1"/>
          <w:sz w:val="30"/>
          <w14:textFill>
            <w14:solidFill>
              <w14:schemeClr w14:val="tx1"/>
            </w14:solidFill>
          </w14:textFill>
        </w:rPr>
      </w:pPr>
    </w:p>
    <w:p>
      <w:pPr>
        <w:jc w:val="left"/>
        <w:rPr>
          <w:rFonts w:ascii="华文中宋" w:hAnsi="华文中宋" w:eastAsia="华文中宋"/>
          <w:bCs/>
          <w:color w:val="000000" w:themeColor="text1"/>
          <w:sz w:val="30"/>
          <w:szCs w:val="30"/>
          <w14:textFill>
            <w14:solidFill>
              <w14:schemeClr w14:val="tx1"/>
            </w14:solidFill>
          </w14:textFill>
        </w:rPr>
      </w:pPr>
    </w:p>
    <w:p>
      <w:pPr>
        <w:spacing w:line="360" w:lineRule="auto"/>
        <w:ind w:firstLine="2400" w:firstLineChars="800"/>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采购项目编号：CZZCJC2022057</w:t>
      </w:r>
    </w:p>
    <w:p>
      <w:pPr>
        <w:spacing w:line="360" w:lineRule="auto"/>
        <w:ind w:firstLine="2400" w:firstLineChars="800"/>
        <w:jc w:val="left"/>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采购项目名称：常州市戚墅堰高级中学文档输出</w:t>
      </w:r>
    </w:p>
    <w:p>
      <w:pPr>
        <w:spacing w:line="360" w:lineRule="auto"/>
        <w:ind w:firstLine="4419" w:firstLineChars="1473"/>
        <w:jc w:val="left"/>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及教学诊断服务外包项目</w:t>
      </w:r>
    </w:p>
    <w:p>
      <w:pPr>
        <w:spacing w:line="360" w:lineRule="auto"/>
        <w:ind w:firstLine="2400" w:firstLineChars="800"/>
        <w:jc w:val="left"/>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   购   人：常州市戚墅堰高级中学</w:t>
      </w:r>
    </w:p>
    <w:p>
      <w:pPr>
        <w:spacing w:line="360" w:lineRule="auto"/>
        <w:ind w:firstLine="2400" w:firstLineChars="800"/>
        <w:jc w:val="left"/>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采购代理机构：常州中采招投标有限公司</w:t>
      </w:r>
    </w:p>
    <w:p>
      <w:pPr>
        <w:rPr>
          <w:rFonts w:ascii="华文中宋" w:hAnsi="华文中宋" w:eastAsia="华文中宋"/>
          <w:bCs/>
          <w:color w:val="000000" w:themeColor="text1"/>
          <w:sz w:val="32"/>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center"/>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二○二二年九月</w:t>
      </w:r>
      <w:bookmarkStart w:id="0" w:name="报价方须知前附表"/>
      <w:bookmarkEnd w:id="0"/>
      <w:bookmarkStart w:id="1" w:name="_Toc55147045"/>
    </w:p>
    <w:p>
      <w:pPr>
        <w:widowControl/>
        <w:jc w:val="left"/>
        <w:rPr>
          <w:rFonts w:ascii="黑体" w:hAnsi="华文中宋" w:eastAsia="黑体"/>
          <w:bCs/>
          <w:color w:val="000000" w:themeColor="text1"/>
          <w:sz w:val="30"/>
          <w:szCs w:val="30"/>
          <w14:textFill>
            <w14:solidFill>
              <w14:schemeClr w14:val="tx1"/>
            </w14:solidFill>
          </w14:textFill>
        </w:rPr>
      </w:pPr>
      <w:r>
        <w:rPr>
          <w:rFonts w:ascii="黑体" w:hAnsi="华文中宋" w:eastAsia="黑体"/>
          <w:bCs/>
          <w:color w:val="000000" w:themeColor="text1"/>
          <w:sz w:val="30"/>
          <w:szCs w:val="30"/>
          <w14:textFill>
            <w14:solidFill>
              <w14:schemeClr w14:val="tx1"/>
            </w14:solidFill>
          </w14:textFill>
        </w:rPr>
        <w:br w:type="page"/>
      </w:r>
    </w:p>
    <w:p>
      <w:pPr>
        <w:pStyle w:val="121"/>
      </w:pPr>
      <w:r>
        <w:rPr>
          <w:rFonts w:hint="eastAsia"/>
        </w:rPr>
        <w:t>供应商须知</w:t>
      </w:r>
    </w:p>
    <w:tbl>
      <w:tblPr>
        <w:tblStyle w:val="31"/>
        <w:tblW w:w="88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757"/>
        <w:gridCol w:w="8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61"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rPr>
            </w:pPr>
            <w:r>
              <w:rPr>
                <w:rFonts w:hint="eastAsia" w:ascii="宋体" w:hAnsi="宋体" w:cs="宋体"/>
                <w:spacing w:val="2"/>
                <w:sz w:val="24"/>
                <w:lang w:val="zh-CN"/>
              </w:rPr>
              <w:t>项号</w:t>
            </w:r>
          </w:p>
        </w:tc>
        <w:tc>
          <w:tcPr>
            <w:tcW w:w="812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rPr>
            </w:pPr>
            <w:r>
              <w:rPr>
                <w:rFonts w:hint="eastAsia" w:ascii="宋体" w:hAnsi="宋体" w:cs="宋体"/>
                <w:spacing w:val="2"/>
                <w:sz w:val="24"/>
                <w:lang w:val="zh-CN"/>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38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1</w:t>
            </w:r>
          </w:p>
        </w:tc>
        <w:tc>
          <w:tcPr>
            <w:tcW w:w="81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pacing w:val="2"/>
                <w:sz w:val="24"/>
                <w:lang w:val="zh-CN"/>
              </w:rPr>
              <w:t>采购项目名称：</w:t>
            </w:r>
            <w:r>
              <w:rPr>
                <w:rFonts w:hint="eastAsia" w:ascii="宋体" w:hAnsi="宋体" w:eastAsia="宋体"/>
                <w:sz w:val="24"/>
                <w:szCs w:val="24"/>
                <w:u w:val="none"/>
              </w:rPr>
              <w:t>常州市戚墅堰高级中学文档输出及教学诊断服务外包项目</w:t>
            </w:r>
            <w:r>
              <w:rPr>
                <w:rFonts w:hint="eastAsia" w:ascii="宋体" w:hAnsi="宋体" w:cs="宋体"/>
                <w:spacing w:val="2"/>
                <w:sz w:val="24"/>
                <w:lang w:val="zh-CN"/>
              </w:rPr>
              <w:t xml:space="preserve"> </w:t>
            </w:r>
          </w:p>
          <w:p>
            <w:pPr>
              <w:snapToGrid w:val="0"/>
              <w:spacing w:line="26" w:lineRule="atLeast"/>
              <w:rPr>
                <w:rFonts w:ascii="宋体" w:hAnsi="宋体" w:cs="宋体"/>
                <w:b/>
                <w:bCs/>
                <w:spacing w:val="2"/>
                <w:sz w:val="24"/>
              </w:rPr>
            </w:pPr>
            <w:r>
              <w:rPr>
                <w:rFonts w:hint="eastAsia" w:ascii="宋体" w:hAnsi="宋体" w:cs="宋体"/>
                <w:spacing w:val="2"/>
                <w:sz w:val="24"/>
                <w:lang w:val="zh-CN"/>
              </w:rPr>
              <w:t xml:space="preserve">采购项目编号：CZZCJC2022057  </w:t>
            </w:r>
          </w:p>
          <w:p>
            <w:pPr>
              <w:snapToGrid w:val="0"/>
              <w:spacing w:line="26" w:lineRule="atLeast"/>
              <w:rPr>
                <w:rFonts w:ascii="宋体" w:hAnsi="宋体" w:cs="宋体"/>
                <w:spacing w:val="2"/>
                <w:sz w:val="24"/>
              </w:rPr>
            </w:pPr>
            <w:r>
              <w:rPr>
                <w:rFonts w:hint="eastAsia" w:ascii="宋体" w:hAnsi="宋体" w:cs="宋体"/>
                <w:spacing w:val="2"/>
                <w:sz w:val="24"/>
                <w:lang w:val="zh-CN"/>
              </w:rPr>
              <w:t>合同履行期限：三年。合同一年一签，服务期满经考核合格可续签下一年合同，最多续签二年。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3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2</w:t>
            </w:r>
          </w:p>
        </w:tc>
        <w:tc>
          <w:tcPr>
            <w:tcW w:w="812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lang w:val="zh-CN"/>
              </w:rPr>
            </w:pPr>
            <w:r>
              <w:rPr>
                <w:rFonts w:hint="eastAsia" w:ascii="宋体" w:hAnsi="宋体" w:cs="宋体"/>
                <w:spacing w:val="2"/>
                <w:sz w:val="24"/>
                <w:lang w:val="zh-CN"/>
              </w:rPr>
              <w:t>投标保证金:</w:t>
            </w:r>
            <w:r>
              <w:rPr>
                <w:rFonts w:ascii="宋体" w:hAnsi="宋体" w:cs="宋体"/>
                <w:spacing w:val="2"/>
                <w:sz w:val="24"/>
                <w:lang w:val="zh-CN"/>
              </w:rPr>
              <w:t xml:space="preserve"> </w:t>
            </w:r>
            <w:r>
              <w:rPr>
                <w:rFonts w:hint="eastAsia" w:ascii="宋体" w:hAnsi="宋体" w:cs="宋体"/>
                <w:spacing w:val="2"/>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3</w:t>
            </w:r>
          </w:p>
        </w:tc>
        <w:tc>
          <w:tcPr>
            <w:tcW w:w="812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lang w:val="zh-CN"/>
              </w:rPr>
            </w:pPr>
            <w:r>
              <w:rPr>
                <w:rFonts w:hint="eastAsia" w:cs="宋体" w:asciiTheme="minorEastAsia" w:hAnsiTheme="minorEastAsia"/>
                <w:sz w:val="24"/>
                <w:szCs w:val="24"/>
              </w:rPr>
              <w:t>现场踏勘：</w:t>
            </w:r>
            <w:r>
              <w:rPr>
                <w:rFonts w:hint="eastAsia" w:asciiTheme="minorEastAsia" w:hAnsiTheme="minorEastAsia"/>
                <w:sz w:val="24"/>
                <w:szCs w:val="24"/>
              </w:rPr>
              <w:t>供应商自行踏勘现场。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1"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4</w:t>
            </w:r>
          </w:p>
        </w:tc>
        <w:tc>
          <w:tcPr>
            <w:tcW w:w="812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bCs/>
                <w:spacing w:val="2"/>
                <w:sz w:val="24"/>
                <w:lang w:val="zh-CN"/>
              </w:rPr>
            </w:pPr>
            <w:r>
              <w:rPr>
                <w:rFonts w:hint="eastAsia" w:ascii="宋体" w:hAnsi="宋体" w:cs="宋体"/>
                <w:spacing w:val="2"/>
                <w:sz w:val="24"/>
                <w:lang w:val="zh-CN"/>
              </w:rPr>
              <w:t>响应文件份数：</w:t>
            </w:r>
            <w:r>
              <w:rPr>
                <w:rFonts w:hint="eastAsia" w:ascii="宋体" w:hAnsi="宋体" w:cs="宋体"/>
                <w:bCs/>
                <w:spacing w:val="2"/>
                <w:sz w:val="24"/>
                <w:lang w:val="zh-CN"/>
              </w:rPr>
              <w:t>正本壹份、副本贰份。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314"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5</w:t>
            </w:r>
          </w:p>
        </w:tc>
        <w:tc>
          <w:tcPr>
            <w:tcW w:w="812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ind w:firstLine="122" w:firstLineChars="50"/>
              <w:rPr>
                <w:rFonts w:ascii="宋体" w:hAnsi="宋体" w:cs="宋体"/>
                <w:spacing w:val="2"/>
                <w:sz w:val="24"/>
                <w:lang w:val="zh-CN"/>
              </w:rPr>
            </w:pPr>
            <w:r>
              <w:rPr>
                <w:rFonts w:hint="eastAsia" w:ascii="宋体" w:hAnsi="宋体" w:cs="宋体"/>
                <w:spacing w:val="2"/>
                <w:sz w:val="24"/>
                <w:lang w:val="zh-CN"/>
              </w:rPr>
              <w:t>响应文件接收时间：</w:t>
            </w:r>
            <w:r>
              <w:rPr>
                <w:rFonts w:ascii="宋体" w:hAnsi="宋体" w:eastAsia="宋体"/>
                <w:bCs/>
                <w:sz w:val="24"/>
                <w:szCs w:val="24"/>
                <w:u w:val="single"/>
              </w:rPr>
              <w:t>20</w:t>
            </w:r>
            <w:r>
              <w:rPr>
                <w:rFonts w:hint="eastAsia" w:ascii="宋体" w:hAnsi="宋体" w:eastAsia="宋体"/>
                <w:bCs/>
                <w:sz w:val="24"/>
                <w:szCs w:val="24"/>
                <w:u w:val="single"/>
              </w:rPr>
              <w:t>22</w:t>
            </w:r>
            <w:r>
              <w:rPr>
                <w:rFonts w:ascii="宋体" w:hAnsi="宋体" w:eastAsia="宋体"/>
                <w:bCs/>
                <w:sz w:val="24"/>
                <w:szCs w:val="24"/>
                <w:u w:val="single"/>
              </w:rPr>
              <w:t>年</w:t>
            </w:r>
            <w:r>
              <w:rPr>
                <w:rFonts w:hint="eastAsia" w:ascii="宋体" w:hAnsi="宋体" w:eastAsia="宋体"/>
                <w:bCs/>
                <w:sz w:val="24"/>
                <w:szCs w:val="24"/>
                <w:u w:val="single"/>
                <w:lang w:val="en-US" w:eastAsia="zh-CN"/>
              </w:rPr>
              <w:t>9</w:t>
            </w:r>
            <w:r>
              <w:rPr>
                <w:rFonts w:ascii="宋体" w:hAnsi="宋体" w:eastAsia="宋体"/>
                <w:bCs/>
                <w:sz w:val="24"/>
                <w:szCs w:val="24"/>
                <w:u w:val="single"/>
              </w:rPr>
              <w:t>月</w:t>
            </w:r>
            <w:r>
              <w:rPr>
                <w:rFonts w:hint="eastAsia" w:ascii="宋体" w:hAnsi="宋体" w:eastAsia="宋体"/>
                <w:bCs/>
                <w:sz w:val="24"/>
                <w:szCs w:val="24"/>
                <w:u w:val="single"/>
                <w:lang w:val="en-US" w:eastAsia="zh-CN"/>
              </w:rPr>
              <w:t>26</w:t>
            </w:r>
            <w:r>
              <w:rPr>
                <w:rFonts w:ascii="宋体" w:hAnsi="宋体" w:eastAsia="宋体"/>
                <w:bCs/>
                <w:sz w:val="24"/>
                <w:szCs w:val="24"/>
                <w:u w:val="single"/>
              </w:rPr>
              <w:t>日</w:t>
            </w:r>
            <w:r>
              <w:rPr>
                <w:rFonts w:hint="eastAsia" w:ascii="宋体" w:hAnsi="宋体" w:eastAsia="宋体"/>
                <w:bCs/>
                <w:sz w:val="24"/>
                <w:szCs w:val="24"/>
                <w:u w:val="single"/>
                <w:lang w:val="en-US" w:eastAsia="zh-CN"/>
              </w:rPr>
              <w:t>9</w:t>
            </w:r>
            <w:r>
              <w:rPr>
                <w:rFonts w:ascii="宋体" w:hAnsi="宋体" w:eastAsia="宋体"/>
                <w:bCs/>
                <w:sz w:val="24"/>
                <w:szCs w:val="24"/>
                <w:u w:val="single"/>
              </w:rPr>
              <w:t>点</w:t>
            </w:r>
            <w:r>
              <w:rPr>
                <w:rFonts w:hint="eastAsia" w:ascii="宋体" w:hAnsi="宋体" w:eastAsia="宋体"/>
                <w:bCs/>
                <w:sz w:val="24"/>
                <w:szCs w:val="24"/>
                <w:u w:val="single"/>
                <w:lang w:val="en-US" w:eastAsia="zh-CN"/>
              </w:rPr>
              <w:t>30</w:t>
            </w:r>
            <w:r>
              <w:rPr>
                <w:rFonts w:ascii="宋体" w:hAnsi="宋体" w:eastAsia="宋体"/>
                <w:bCs/>
                <w:sz w:val="24"/>
                <w:szCs w:val="24"/>
                <w:u w:val="single"/>
              </w:rPr>
              <w:t>分</w:t>
            </w:r>
          </w:p>
          <w:p>
            <w:pPr>
              <w:snapToGrid w:val="0"/>
              <w:spacing w:line="26" w:lineRule="atLeast"/>
              <w:ind w:firstLine="122" w:firstLineChars="50"/>
              <w:rPr>
                <w:rFonts w:ascii="宋体" w:hAnsi="宋体" w:cs="宋体"/>
                <w:spacing w:val="2"/>
                <w:sz w:val="24"/>
                <w:lang w:val="zh-CN"/>
              </w:rPr>
            </w:pPr>
            <w:r>
              <w:rPr>
                <w:rFonts w:hint="eastAsia" w:ascii="宋体" w:hAnsi="宋体" w:cs="宋体"/>
                <w:spacing w:val="2"/>
                <w:sz w:val="24"/>
                <w:lang w:val="zh-CN"/>
              </w:rPr>
              <w:t>响应文件提交截止时间：</w:t>
            </w:r>
            <w:r>
              <w:rPr>
                <w:rFonts w:ascii="宋体" w:hAnsi="宋体" w:eastAsia="宋体"/>
                <w:bCs/>
                <w:sz w:val="24"/>
                <w:szCs w:val="24"/>
                <w:u w:val="single"/>
              </w:rPr>
              <w:t>20</w:t>
            </w:r>
            <w:r>
              <w:rPr>
                <w:rFonts w:hint="eastAsia" w:ascii="宋体" w:hAnsi="宋体" w:eastAsia="宋体"/>
                <w:bCs/>
                <w:sz w:val="24"/>
                <w:szCs w:val="24"/>
                <w:u w:val="single"/>
              </w:rPr>
              <w:t>22</w:t>
            </w:r>
            <w:r>
              <w:rPr>
                <w:rFonts w:ascii="宋体" w:hAnsi="宋体" w:eastAsia="宋体"/>
                <w:bCs/>
                <w:sz w:val="24"/>
                <w:szCs w:val="24"/>
                <w:u w:val="single"/>
              </w:rPr>
              <w:t>年</w:t>
            </w:r>
            <w:r>
              <w:rPr>
                <w:rFonts w:hint="eastAsia" w:ascii="宋体" w:hAnsi="宋体" w:eastAsia="宋体"/>
                <w:bCs/>
                <w:sz w:val="24"/>
                <w:szCs w:val="24"/>
                <w:u w:val="single"/>
                <w:lang w:val="en-US" w:eastAsia="zh-CN"/>
              </w:rPr>
              <w:t>9</w:t>
            </w:r>
            <w:r>
              <w:rPr>
                <w:rFonts w:ascii="宋体" w:hAnsi="宋体" w:eastAsia="宋体"/>
                <w:bCs/>
                <w:sz w:val="24"/>
                <w:szCs w:val="24"/>
                <w:u w:val="single"/>
              </w:rPr>
              <w:t>月</w:t>
            </w:r>
            <w:r>
              <w:rPr>
                <w:rFonts w:hint="eastAsia" w:ascii="宋体" w:hAnsi="宋体" w:eastAsia="宋体"/>
                <w:bCs/>
                <w:sz w:val="24"/>
                <w:szCs w:val="24"/>
                <w:u w:val="single"/>
                <w:lang w:val="en-US" w:eastAsia="zh-CN"/>
              </w:rPr>
              <w:t>26</w:t>
            </w:r>
            <w:r>
              <w:rPr>
                <w:rFonts w:ascii="宋体" w:hAnsi="宋体" w:eastAsia="宋体"/>
                <w:bCs/>
                <w:sz w:val="24"/>
                <w:szCs w:val="24"/>
                <w:u w:val="single"/>
              </w:rPr>
              <w:t>日</w:t>
            </w:r>
            <w:r>
              <w:rPr>
                <w:rFonts w:hint="eastAsia" w:ascii="宋体" w:hAnsi="宋体" w:eastAsia="宋体"/>
                <w:bCs/>
                <w:sz w:val="24"/>
                <w:szCs w:val="24"/>
                <w:u w:val="single"/>
                <w:lang w:val="en-US" w:eastAsia="zh-CN"/>
              </w:rPr>
              <w:t>9</w:t>
            </w:r>
            <w:r>
              <w:rPr>
                <w:rFonts w:ascii="宋体" w:hAnsi="宋体" w:eastAsia="宋体"/>
                <w:bCs/>
                <w:sz w:val="24"/>
                <w:szCs w:val="24"/>
                <w:u w:val="single"/>
              </w:rPr>
              <w:t>点</w:t>
            </w:r>
            <w:r>
              <w:rPr>
                <w:rFonts w:hint="eastAsia" w:ascii="宋体" w:hAnsi="宋体" w:eastAsia="宋体"/>
                <w:bCs/>
                <w:sz w:val="24"/>
                <w:szCs w:val="24"/>
                <w:u w:val="single"/>
                <w:lang w:val="en-US" w:eastAsia="zh-CN"/>
              </w:rPr>
              <w:t>30</w:t>
            </w:r>
            <w:r>
              <w:rPr>
                <w:rFonts w:ascii="宋体" w:hAnsi="宋体" w:eastAsia="宋体"/>
                <w:bCs/>
                <w:sz w:val="24"/>
                <w:szCs w:val="24"/>
                <w:u w:val="single"/>
              </w:rPr>
              <w:t>分</w:t>
            </w:r>
          </w:p>
          <w:p>
            <w:pPr>
              <w:snapToGrid w:val="0"/>
              <w:spacing w:line="26" w:lineRule="atLeast"/>
              <w:ind w:firstLine="122" w:firstLineChars="50"/>
              <w:rPr>
                <w:rFonts w:ascii="宋体" w:hAnsi="宋体" w:eastAsia="宋体" w:cs="宋体"/>
                <w:sz w:val="24"/>
                <w:lang w:val="zh-CN"/>
              </w:rPr>
            </w:pPr>
            <w:r>
              <w:rPr>
                <w:rFonts w:hint="eastAsia" w:ascii="宋体" w:hAnsi="宋体" w:cs="宋体"/>
                <w:spacing w:val="2"/>
                <w:sz w:val="24"/>
                <w:lang w:val="zh-CN"/>
              </w:rPr>
              <w:t>响应文件提交地点：</w:t>
            </w:r>
            <w:r>
              <w:rPr>
                <w:rFonts w:hint="eastAsia" w:ascii="宋体" w:hAnsi="宋体" w:eastAsia="宋体"/>
                <w:bCs/>
                <w:sz w:val="24"/>
                <w:szCs w:val="24"/>
              </w:rPr>
              <w:t>钟楼区玉龙南路280号常州大数据产业园2号楼19楼1905开标室。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215"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6</w:t>
            </w:r>
          </w:p>
        </w:tc>
        <w:tc>
          <w:tcPr>
            <w:tcW w:w="812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ind w:firstLine="122" w:firstLineChars="50"/>
              <w:rPr>
                <w:rFonts w:ascii="宋体" w:hAnsi="宋体" w:cs="宋体"/>
                <w:spacing w:val="2"/>
                <w:sz w:val="24"/>
                <w:lang w:val="zh-CN"/>
              </w:rPr>
            </w:pPr>
            <w:r>
              <w:rPr>
                <w:rFonts w:hint="eastAsia" w:ascii="宋体" w:hAnsi="宋体" w:cs="宋体"/>
                <w:spacing w:val="2"/>
                <w:sz w:val="24"/>
                <w:lang w:val="zh-CN"/>
              </w:rPr>
              <w:t>开标时间：</w:t>
            </w:r>
            <w:r>
              <w:rPr>
                <w:rFonts w:ascii="宋体" w:hAnsi="宋体" w:eastAsia="宋体"/>
                <w:bCs/>
                <w:sz w:val="24"/>
                <w:szCs w:val="24"/>
                <w:u w:val="single"/>
              </w:rPr>
              <w:t>20</w:t>
            </w:r>
            <w:r>
              <w:rPr>
                <w:rFonts w:hint="eastAsia" w:ascii="宋体" w:hAnsi="宋体" w:eastAsia="宋体"/>
                <w:bCs/>
                <w:sz w:val="24"/>
                <w:szCs w:val="24"/>
                <w:u w:val="single"/>
              </w:rPr>
              <w:t>22</w:t>
            </w:r>
            <w:r>
              <w:rPr>
                <w:rFonts w:ascii="宋体" w:hAnsi="宋体" w:eastAsia="宋体"/>
                <w:bCs/>
                <w:sz w:val="24"/>
                <w:szCs w:val="24"/>
                <w:u w:val="single"/>
              </w:rPr>
              <w:t>年</w:t>
            </w:r>
            <w:r>
              <w:rPr>
                <w:rFonts w:hint="eastAsia" w:ascii="宋体" w:hAnsi="宋体" w:eastAsia="宋体"/>
                <w:bCs/>
                <w:sz w:val="24"/>
                <w:szCs w:val="24"/>
                <w:u w:val="single"/>
                <w:lang w:val="en-US" w:eastAsia="zh-CN"/>
              </w:rPr>
              <w:t>9</w:t>
            </w:r>
            <w:r>
              <w:rPr>
                <w:rFonts w:ascii="宋体" w:hAnsi="宋体" w:eastAsia="宋体"/>
                <w:bCs/>
                <w:sz w:val="24"/>
                <w:szCs w:val="24"/>
                <w:u w:val="single"/>
              </w:rPr>
              <w:t>月</w:t>
            </w:r>
            <w:r>
              <w:rPr>
                <w:rFonts w:hint="eastAsia" w:ascii="宋体" w:hAnsi="宋体" w:eastAsia="宋体"/>
                <w:bCs/>
                <w:sz w:val="24"/>
                <w:szCs w:val="24"/>
                <w:u w:val="single"/>
                <w:lang w:val="en-US" w:eastAsia="zh-CN"/>
              </w:rPr>
              <w:t>26</w:t>
            </w:r>
            <w:r>
              <w:rPr>
                <w:rFonts w:ascii="宋体" w:hAnsi="宋体" w:eastAsia="宋体"/>
                <w:bCs/>
                <w:sz w:val="24"/>
                <w:szCs w:val="24"/>
                <w:u w:val="single"/>
              </w:rPr>
              <w:t>日</w:t>
            </w:r>
            <w:r>
              <w:rPr>
                <w:rFonts w:hint="eastAsia" w:ascii="宋体" w:hAnsi="宋体" w:eastAsia="宋体"/>
                <w:bCs/>
                <w:sz w:val="24"/>
                <w:szCs w:val="24"/>
                <w:u w:val="single"/>
                <w:lang w:val="en-US" w:eastAsia="zh-CN"/>
              </w:rPr>
              <w:t>9</w:t>
            </w:r>
            <w:r>
              <w:rPr>
                <w:rFonts w:ascii="宋体" w:hAnsi="宋体" w:eastAsia="宋体"/>
                <w:bCs/>
                <w:sz w:val="24"/>
                <w:szCs w:val="24"/>
                <w:u w:val="single"/>
              </w:rPr>
              <w:t>点</w:t>
            </w:r>
            <w:r>
              <w:rPr>
                <w:rFonts w:hint="eastAsia" w:ascii="宋体" w:hAnsi="宋体" w:eastAsia="宋体"/>
                <w:bCs/>
                <w:sz w:val="24"/>
                <w:szCs w:val="24"/>
                <w:u w:val="single"/>
                <w:lang w:val="en-US" w:eastAsia="zh-CN"/>
              </w:rPr>
              <w:t>30</w:t>
            </w:r>
            <w:r>
              <w:rPr>
                <w:rFonts w:ascii="宋体" w:hAnsi="宋体" w:eastAsia="宋体"/>
                <w:bCs/>
                <w:sz w:val="24"/>
                <w:szCs w:val="24"/>
                <w:u w:val="single"/>
              </w:rPr>
              <w:t>分</w:t>
            </w:r>
          </w:p>
          <w:p>
            <w:pPr>
              <w:snapToGrid w:val="0"/>
              <w:spacing w:line="26" w:lineRule="atLeast"/>
              <w:ind w:firstLine="122" w:firstLineChars="50"/>
              <w:rPr>
                <w:rFonts w:ascii="宋体" w:hAnsi="宋体" w:eastAsia="宋体" w:cs="宋体"/>
                <w:spacing w:val="2"/>
                <w:sz w:val="24"/>
              </w:rPr>
            </w:pPr>
            <w:r>
              <w:rPr>
                <w:rFonts w:hint="eastAsia" w:ascii="宋体" w:hAnsi="宋体" w:cs="宋体"/>
                <w:spacing w:val="2"/>
                <w:sz w:val="24"/>
                <w:lang w:val="zh-CN"/>
              </w:rPr>
              <w:t>地　　点：</w:t>
            </w:r>
            <w:r>
              <w:rPr>
                <w:rFonts w:hint="eastAsia" w:ascii="宋体" w:hAnsi="宋体" w:eastAsia="宋体"/>
                <w:bCs/>
                <w:sz w:val="24"/>
                <w:szCs w:val="24"/>
              </w:rPr>
              <w:t>钟楼区玉龙南路280号常州大数据产业园2号楼19楼1905开标室。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5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7</w:t>
            </w:r>
          </w:p>
        </w:tc>
        <w:tc>
          <w:tcPr>
            <w:tcW w:w="812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spacing w:val="2"/>
                <w:sz w:val="24"/>
              </w:rPr>
            </w:pPr>
            <w:r>
              <w:rPr>
                <w:rFonts w:hint="eastAsia" w:ascii="宋体" w:hAnsi="宋体" w:cs="宋体"/>
                <w:spacing w:val="2"/>
                <w:sz w:val="24"/>
              </w:rPr>
              <w:t xml:space="preserve"> </w:t>
            </w:r>
            <w:r>
              <w:rPr>
                <w:rFonts w:hint="eastAsia" w:ascii="宋体" w:hAnsi="宋体" w:cs="宋体"/>
                <w:spacing w:val="2"/>
                <w:sz w:val="24"/>
                <w:lang w:val="zh-CN"/>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11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8</w:t>
            </w:r>
          </w:p>
        </w:tc>
        <w:tc>
          <w:tcPr>
            <w:tcW w:w="812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rPr>
                <w:rFonts w:ascii="宋体" w:hAnsi="宋体" w:cs="宋体"/>
                <w:b/>
                <w:bCs/>
                <w:sz w:val="24"/>
              </w:rPr>
            </w:pPr>
            <w:r>
              <w:rPr>
                <w:rFonts w:hint="eastAsia" w:ascii="宋体" w:hAnsi="宋体" w:cs="宋体"/>
                <w:spacing w:val="2"/>
                <w:sz w:val="24"/>
              </w:rPr>
              <w:t xml:space="preserve"> </w:t>
            </w:r>
            <w:r>
              <w:rPr>
                <w:rFonts w:hint="eastAsia" w:ascii="宋体" w:hAnsi="宋体" w:cs="宋体"/>
                <w:spacing w:val="2"/>
                <w:sz w:val="24"/>
                <w:lang w:val="zh-CN"/>
              </w:rPr>
              <w:t>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5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9</w:t>
            </w:r>
          </w:p>
        </w:tc>
        <w:tc>
          <w:tcPr>
            <w:tcW w:w="812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ind w:firstLine="122" w:firstLineChars="50"/>
              <w:rPr>
                <w:rFonts w:ascii="宋体" w:hAnsi="宋体" w:cs="宋体"/>
                <w:spacing w:val="2"/>
                <w:sz w:val="24"/>
              </w:rPr>
            </w:pPr>
            <w:r>
              <w:rPr>
                <w:rFonts w:hint="eastAsia" w:ascii="宋体" w:hAnsi="宋体" w:cs="宋体"/>
                <w:spacing w:val="2"/>
                <w:sz w:val="24"/>
              </w:rPr>
              <w:t>投标有效期：</w:t>
            </w:r>
            <w:r>
              <w:rPr>
                <w:rFonts w:hint="eastAsia" w:ascii="宋体" w:hAnsi="宋体" w:cs="宋体"/>
                <w:sz w:val="24"/>
                <w:shd w:val="clear" w:color="auto" w:fill="FFFFFF"/>
              </w:rPr>
              <w:t>从提交投标文件的截止之日起</w:t>
            </w:r>
            <w:r>
              <w:rPr>
                <w:rFonts w:hint="eastAsia" w:ascii="宋体" w:hAnsi="宋体" w:cs="宋体"/>
                <w:sz w:val="24"/>
                <w:u w:val="single"/>
                <w:shd w:val="clear" w:color="auto" w:fill="FFFFFF"/>
              </w:rPr>
              <w:t>60</w:t>
            </w:r>
            <w:r>
              <w:rPr>
                <w:rFonts w:hint="eastAsia" w:ascii="宋体" w:hAnsi="宋体" w:cs="宋体"/>
                <w:sz w:val="24"/>
                <w:shd w:val="clear" w:color="auto" w:fill="FFFFFF"/>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80" w:hRule="exact"/>
          <w:jc w:val="center"/>
        </w:trPr>
        <w:tc>
          <w:tcPr>
            <w:tcW w:w="757"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jc w:val="center"/>
              <w:rPr>
                <w:rFonts w:ascii="宋体" w:hAnsi="宋体" w:cs="宋体"/>
                <w:spacing w:val="2"/>
                <w:sz w:val="24"/>
                <w:lang w:val="zh-CN"/>
              </w:rPr>
            </w:pPr>
            <w:r>
              <w:rPr>
                <w:rFonts w:hint="eastAsia" w:ascii="宋体" w:hAnsi="宋体" w:cs="宋体"/>
                <w:spacing w:val="2"/>
                <w:sz w:val="24"/>
                <w:lang w:val="zh-CN"/>
              </w:rPr>
              <w:t>10</w:t>
            </w:r>
          </w:p>
        </w:tc>
        <w:tc>
          <w:tcPr>
            <w:tcW w:w="8128" w:type="dxa"/>
            <w:tcBorders>
              <w:top w:val="single" w:color="auto" w:sz="4" w:space="0"/>
              <w:left w:val="single" w:color="auto" w:sz="4" w:space="0"/>
              <w:bottom w:val="single" w:color="auto" w:sz="4" w:space="0"/>
              <w:right w:val="single" w:color="auto" w:sz="4" w:space="0"/>
            </w:tcBorders>
            <w:vAlign w:val="center"/>
          </w:tcPr>
          <w:p>
            <w:pPr>
              <w:snapToGrid w:val="0"/>
              <w:spacing w:line="26" w:lineRule="atLeast"/>
              <w:ind w:firstLine="122" w:firstLineChars="50"/>
              <w:rPr>
                <w:rFonts w:ascii="宋体" w:hAnsi="宋体" w:cs="宋体"/>
                <w:spacing w:val="2"/>
                <w:sz w:val="24"/>
                <w:lang w:val="zh-CN"/>
              </w:rPr>
            </w:pPr>
            <w:r>
              <w:rPr>
                <w:rFonts w:hint="eastAsia" w:ascii="宋体" w:hAnsi="宋体" w:cs="宋体"/>
                <w:spacing w:val="2"/>
                <w:sz w:val="24"/>
                <w:lang w:val="zh-CN"/>
              </w:rPr>
              <w:t>供应商信用信息查询渠道:</w:t>
            </w:r>
          </w:p>
          <w:p>
            <w:pPr>
              <w:snapToGrid w:val="0"/>
              <w:spacing w:line="26" w:lineRule="atLeast"/>
              <w:ind w:firstLine="122" w:firstLineChars="50"/>
              <w:rPr>
                <w:rFonts w:ascii="宋体" w:hAnsi="宋体" w:cs="宋体"/>
                <w:spacing w:val="2"/>
                <w:sz w:val="24"/>
                <w:lang w:val="zh-CN"/>
              </w:rPr>
            </w:pPr>
            <w:r>
              <w:rPr>
                <w:rFonts w:hint="eastAsia" w:ascii="宋体" w:hAnsi="宋体" w:cs="宋体"/>
                <w:spacing w:val="2"/>
                <w:sz w:val="24"/>
                <w:lang w:val="zh-CN"/>
              </w:rPr>
              <w:t>信用中国网站（</w:t>
            </w:r>
            <w:r>
              <w:rPr>
                <w:spacing w:val="2"/>
                <w:sz w:val="24"/>
                <w:lang w:val="zh-CN"/>
              </w:rPr>
              <w:t>www.creditchina.gov.cn</w:t>
            </w:r>
            <w:r>
              <w:rPr>
                <w:rFonts w:hint="eastAsia" w:ascii="宋体" w:hAnsi="宋体" w:cs="宋体"/>
                <w:spacing w:val="2"/>
                <w:sz w:val="24"/>
                <w:lang w:val="zh-CN"/>
              </w:rPr>
              <w:t>）、中国政府采购网（</w:t>
            </w:r>
            <w:r>
              <w:rPr>
                <w:spacing w:val="2"/>
                <w:sz w:val="24"/>
                <w:lang w:val="zh-CN"/>
              </w:rPr>
              <w:t>www.ccgp.gov.cn</w:t>
            </w:r>
            <w:r>
              <w:rPr>
                <w:rFonts w:hint="eastAsia" w:ascii="宋体" w:hAnsi="宋体" w:cs="宋体"/>
                <w:spacing w:val="2"/>
                <w:sz w:val="24"/>
                <w:lang w:val="zh-CN"/>
              </w:rPr>
              <w:t>）</w:t>
            </w:r>
          </w:p>
          <w:p>
            <w:pPr>
              <w:snapToGrid w:val="0"/>
              <w:spacing w:line="26" w:lineRule="atLeast"/>
              <w:ind w:firstLine="122" w:firstLineChars="50"/>
              <w:rPr>
                <w:rFonts w:ascii="宋体" w:hAnsi="宋体" w:cs="宋体"/>
                <w:spacing w:val="2"/>
                <w:sz w:val="24"/>
                <w:lang w:val="zh-CN"/>
              </w:rPr>
            </w:pPr>
            <w:r>
              <w:rPr>
                <w:rFonts w:hint="eastAsia" w:ascii="宋体" w:hAnsi="宋体" w:cs="宋体"/>
                <w:spacing w:val="2"/>
                <w:sz w:val="24"/>
                <w:lang w:val="zh-CN"/>
              </w:rPr>
              <w:t>查询截止时点:投标文件提交截止时间</w:t>
            </w:r>
          </w:p>
          <w:p>
            <w:pPr>
              <w:snapToGrid w:val="0"/>
              <w:spacing w:line="26" w:lineRule="atLeast"/>
              <w:ind w:firstLine="122" w:firstLineChars="50"/>
              <w:rPr>
                <w:rFonts w:ascii="宋体" w:hAnsi="宋体" w:cs="宋体"/>
                <w:spacing w:val="2"/>
                <w:sz w:val="24"/>
                <w:lang w:val="zh-CN"/>
              </w:rPr>
            </w:pPr>
            <w:r>
              <w:rPr>
                <w:rFonts w:hint="eastAsia" w:ascii="宋体" w:hAnsi="宋体" w:cs="宋体"/>
                <w:spacing w:val="2"/>
                <w:sz w:val="24"/>
                <w:lang w:val="zh-CN"/>
              </w:rPr>
              <w:t>查询结果将以网页打印的形式留存并归档。</w:t>
            </w:r>
          </w:p>
        </w:tc>
      </w:tr>
    </w:tbl>
    <w:p>
      <w:pPr>
        <w:pStyle w:val="121"/>
        <w:outlineLvl w:val="9"/>
        <w:rPr>
          <w:rFonts w:hAnsi="华文中宋"/>
          <w:bCs w:val="0"/>
          <w:color w:val="000000" w:themeColor="text1"/>
          <w:sz w:val="30"/>
          <w:szCs w:val="30"/>
          <w14:textFill>
            <w14:solidFill>
              <w14:schemeClr w14:val="tx1"/>
            </w14:solidFill>
          </w14:textFill>
        </w:rPr>
      </w:pPr>
      <w:r>
        <w:rPr>
          <w:rFonts w:hAnsi="华文中宋"/>
          <w:bCs w:val="0"/>
          <w:color w:val="000000" w:themeColor="text1"/>
          <w:sz w:val="30"/>
          <w:szCs w:val="30"/>
          <w14:textFill>
            <w14:solidFill>
              <w14:schemeClr w14:val="tx1"/>
            </w14:solidFill>
          </w14:textFill>
        </w:rPr>
        <w:br w:type="page"/>
      </w:r>
    </w:p>
    <w:sdt>
      <w:sdtPr>
        <w:rPr>
          <w:rFonts w:ascii="黑体" w:hAnsi="黑体" w:eastAsia="黑体"/>
          <w:b/>
          <w:bCs/>
          <w:sz w:val="44"/>
          <w:szCs w:val="44"/>
        </w:rPr>
        <w:id w:val="-1880626030"/>
      </w:sdtPr>
      <w:sdtEndPr>
        <w:rPr>
          <w:rFonts w:eastAsia="黑体" w:asciiTheme="minorHAnsi" w:hAnsiTheme="minorHAnsi" w:cstheme="minorHAnsi"/>
          <w:b w:val="0"/>
          <w:bCs w:val="0"/>
          <w:sz w:val="30"/>
          <w:szCs w:val="30"/>
        </w:rPr>
      </w:sdtEndPr>
      <w:sdtContent>
        <w:p>
          <w:pPr>
            <w:spacing w:line="360" w:lineRule="auto"/>
            <w:jc w:val="center"/>
            <w:rPr>
              <w:rFonts w:ascii="黑体" w:hAnsi="黑体" w:eastAsia="黑体"/>
              <w:bCs/>
              <w:sz w:val="48"/>
              <w:szCs w:val="48"/>
            </w:rPr>
          </w:pPr>
          <w:r>
            <w:rPr>
              <w:rFonts w:ascii="黑体" w:hAnsi="黑体" w:eastAsia="黑体"/>
              <w:bCs/>
              <w:sz w:val="48"/>
              <w:szCs w:val="48"/>
            </w:rPr>
            <w:t>目</w:t>
          </w:r>
          <w:r>
            <w:rPr>
              <w:rFonts w:hint="eastAsia" w:ascii="黑体" w:hAnsi="黑体" w:eastAsia="黑体"/>
              <w:bCs/>
              <w:sz w:val="48"/>
              <w:szCs w:val="48"/>
            </w:rPr>
            <w:t xml:space="preserve"> </w:t>
          </w:r>
          <w:r>
            <w:rPr>
              <w:rFonts w:ascii="黑体" w:hAnsi="黑体" w:eastAsia="黑体"/>
              <w:bCs/>
              <w:sz w:val="48"/>
              <w:szCs w:val="48"/>
            </w:rPr>
            <w:t>录</w:t>
          </w:r>
        </w:p>
        <w:p>
          <w:pPr>
            <w:rPr>
              <w:lang w:val="zh-CN"/>
            </w:rPr>
          </w:pPr>
        </w:p>
        <w:p>
          <w:pPr>
            <w:pStyle w:val="22"/>
            <w:rPr>
              <w:rFonts w:eastAsiaTheme="minorEastAsia"/>
              <w:sz w:val="21"/>
              <w:szCs w:val="22"/>
            </w:rPr>
          </w:pPr>
          <w:r>
            <w:rPr>
              <w:rFonts w:cstheme="minorHAnsi"/>
              <w:sz w:val="32"/>
              <w:szCs w:val="32"/>
            </w:rPr>
            <w:fldChar w:fldCharType="begin"/>
          </w:r>
          <w:r>
            <w:rPr>
              <w:rFonts w:cstheme="minorHAnsi"/>
              <w:sz w:val="32"/>
              <w:szCs w:val="32"/>
            </w:rPr>
            <w:instrText xml:space="preserve">TOC \o "1-3" \h \z \u</w:instrText>
          </w:r>
          <w:r>
            <w:rPr>
              <w:rFonts w:cstheme="minorHAnsi"/>
              <w:sz w:val="32"/>
              <w:szCs w:val="32"/>
            </w:rPr>
            <w:fldChar w:fldCharType="separate"/>
          </w:r>
          <w:r>
            <w:fldChar w:fldCharType="begin"/>
          </w:r>
          <w:r>
            <w:instrText xml:space="preserve"> HYPERLINK \l "_Toc70512790" </w:instrText>
          </w:r>
          <w:r>
            <w:fldChar w:fldCharType="separate"/>
          </w:r>
          <w:r>
            <w:rPr>
              <w:rStyle w:val="38"/>
              <w:rFonts w:hint="eastAsia"/>
            </w:rPr>
            <w:t>一．磋商邀请函</w:t>
          </w:r>
          <w:r>
            <w:tab/>
          </w:r>
          <w:r>
            <w:fldChar w:fldCharType="begin"/>
          </w:r>
          <w:r>
            <w:instrText xml:space="preserve"> PAGEREF _Toc70512790 \h </w:instrText>
          </w:r>
          <w:r>
            <w:fldChar w:fldCharType="separate"/>
          </w:r>
          <w:r>
            <w:t>1</w:t>
          </w:r>
          <w:r>
            <w:fldChar w:fldCharType="end"/>
          </w:r>
          <w:r>
            <w:fldChar w:fldCharType="end"/>
          </w:r>
        </w:p>
        <w:p>
          <w:pPr>
            <w:pStyle w:val="22"/>
            <w:rPr>
              <w:rFonts w:eastAsiaTheme="minorEastAsia"/>
              <w:sz w:val="21"/>
              <w:szCs w:val="22"/>
            </w:rPr>
          </w:pPr>
          <w:r>
            <w:fldChar w:fldCharType="begin"/>
          </w:r>
          <w:r>
            <w:instrText xml:space="preserve"> HYPERLINK \l "_Toc70512791" </w:instrText>
          </w:r>
          <w:r>
            <w:fldChar w:fldCharType="separate"/>
          </w:r>
          <w:r>
            <w:rPr>
              <w:rStyle w:val="38"/>
              <w:rFonts w:hint="eastAsia"/>
            </w:rPr>
            <w:t>二．磋商须知</w:t>
          </w:r>
          <w:r>
            <w:tab/>
          </w:r>
          <w:r>
            <w:fldChar w:fldCharType="begin"/>
          </w:r>
          <w:r>
            <w:instrText xml:space="preserve"> PAGEREF _Toc70512791 \h </w:instrText>
          </w:r>
          <w:r>
            <w:fldChar w:fldCharType="separate"/>
          </w:r>
          <w:r>
            <w:t>4</w:t>
          </w:r>
          <w:r>
            <w:fldChar w:fldCharType="end"/>
          </w:r>
          <w:r>
            <w:fldChar w:fldCharType="end"/>
          </w:r>
        </w:p>
        <w:p>
          <w:pPr>
            <w:pStyle w:val="22"/>
            <w:rPr>
              <w:rFonts w:eastAsiaTheme="minorEastAsia"/>
              <w:sz w:val="21"/>
              <w:szCs w:val="22"/>
            </w:rPr>
          </w:pPr>
          <w:r>
            <w:fldChar w:fldCharType="begin"/>
          </w:r>
          <w:r>
            <w:instrText xml:space="preserve"> HYPERLINK \l "_Toc70512792" </w:instrText>
          </w:r>
          <w:r>
            <w:fldChar w:fldCharType="separate"/>
          </w:r>
          <w:r>
            <w:rPr>
              <w:rStyle w:val="38"/>
              <w:rFonts w:hint="eastAsia"/>
            </w:rPr>
            <w:t>三．项目技术要求和有关说明</w:t>
          </w:r>
          <w:r>
            <w:tab/>
          </w:r>
          <w:r>
            <w:fldChar w:fldCharType="begin"/>
          </w:r>
          <w:r>
            <w:instrText xml:space="preserve"> PAGEREF _Toc70512792 \h </w:instrText>
          </w:r>
          <w:r>
            <w:fldChar w:fldCharType="separate"/>
          </w:r>
          <w:r>
            <w:t>11</w:t>
          </w:r>
          <w:r>
            <w:fldChar w:fldCharType="end"/>
          </w:r>
          <w:r>
            <w:fldChar w:fldCharType="end"/>
          </w:r>
        </w:p>
        <w:p>
          <w:pPr>
            <w:pStyle w:val="22"/>
            <w:rPr>
              <w:rFonts w:eastAsiaTheme="minorEastAsia"/>
              <w:sz w:val="21"/>
              <w:szCs w:val="22"/>
            </w:rPr>
          </w:pPr>
          <w:r>
            <w:fldChar w:fldCharType="begin"/>
          </w:r>
          <w:r>
            <w:instrText xml:space="preserve"> HYPERLINK \l "_Toc70512793" </w:instrText>
          </w:r>
          <w:r>
            <w:fldChar w:fldCharType="separate"/>
          </w:r>
          <w:r>
            <w:rPr>
              <w:rStyle w:val="38"/>
              <w:rFonts w:hint="eastAsia"/>
            </w:rPr>
            <w:t>四．合同条款及格式</w:t>
          </w:r>
          <w:r>
            <w:tab/>
          </w:r>
          <w:r>
            <w:fldChar w:fldCharType="begin"/>
          </w:r>
          <w:r>
            <w:instrText xml:space="preserve"> PAGEREF _Toc70512793 \h </w:instrText>
          </w:r>
          <w:r>
            <w:fldChar w:fldCharType="separate"/>
          </w:r>
          <w:r>
            <w:t>17</w:t>
          </w:r>
          <w:r>
            <w:fldChar w:fldCharType="end"/>
          </w:r>
          <w:r>
            <w:fldChar w:fldCharType="end"/>
          </w:r>
        </w:p>
        <w:p>
          <w:pPr>
            <w:pStyle w:val="22"/>
            <w:rPr>
              <w:rFonts w:eastAsiaTheme="minorEastAsia"/>
              <w:sz w:val="21"/>
              <w:szCs w:val="22"/>
            </w:rPr>
          </w:pPr>
          <w:r>
            <w:fldChar w:fldCharType="begin"/>
          </w:r>
          <w:r>
            <w:instrText xml:space="preserve"> HYPERLINK \l "_Toc70512794" </w:instrText>
          </w:r>
          <w:r>
            <w:fldChar w:fldCharType="separate"/>
          </w:r>
          <w:r>
            <w:rPr>
              <w:rStyle w:val="38"/>
              <w:rFonts w:hint="eastAsia"/>
            </w:rPr>
            <w:t>五</w:t>
          </w:r>
          <w:r>
            <w:rPr>
              <w:rStyle w:val="38"/>
            </w:rPr>
            <w:t xml:space="preserve">. </w:t>
          </w:r>
          <w:r>
            <w:rPr>
              <w:rStyle w:val="38"/>
              <w:rFonts w:hint="eastAsia"/>
            </w:rPr>
            <w:t>评分标准</w:t>
          </w:r>
          <w:r>
            <w:tab/>
          </w:r>
          <w:r>
            <w:fldChar w:fldCharType="begin"/>
          </w:r>
          <w:r>
            <w:instrText xml:space="preserve"> PAGEREF _Toc70512794 \h </w:instrText>
          </w:r>
          <w:r>
            <w:fldChar w:fldCharType="separate"/>
          </w:r>
          <w:r>
            <w:t>22</w:t>
          </w:r>
          <w:r>
            <w:fldChar w:fldCharType="end"/>
          </w:r>
          <w:r>
            <w:fldChar w:fldCharType="end"/>
          </w:r>
        </w:p>
        <w:p>
          <w:pPr>
            <w:pStyle w:val="22"/>
            <w:rPr>
              <w:rFonts w:eastAsiaTheme="minorEastAsia"/>
              <w:sz w:val="21"/>
              <w:szCs w:val="22"/>
            </w:rPr>
          </w:pPr>
          <w:r>
            <w:fldChar w:fldCharType="begin"/>
          </w:r>
          <w:r>
            <w:instrText xml:space="preserve"> HYPERLINK \l "_Toc70512795" </w:instrText>
          </w:r>
          <w:r>
            <w:fldChar w:fldCharType="separate"/>
          </w:r>
          <w:r>
            <w:rPr>
              <w:rStyle w:val="38"/>
              <w:rFonts w:hint="eastAsia"/>
            </w:rPr>
            <w:t>六．响应文件格式</w:t>
          </w:r>
          <w:r>
            <w:tab/>
          </w:r>
          <w:r>
            <w:fldChar w:fldCharType="begin"/>
          </w:r>
          <w:r>
            <w:instrText xml:space="preserve"> PAGEREF _Toc70512795 \h </w:instrText>
          </w:r>
          <w:r>
            <w:fldChar w:fldCharType="separate"/>
          </w:r>
          <w:r>
            <w:t>25</w:t>
          </w:r>
          <w:r>
            <w:fldChar w:fldCharType="end"/>
          </w:r>
          <w:r>
            <w:fldChar w:fldCharType="end"/>
          </w:r>
        </w:p>
        <w:p>
          <w:pPr>
            <w:pStyle w:val="22"/>
            <w:rPr>
              <w:rFonts w:eastAsiaTheme="minorEastAsia"/>
              <w:sz w:val="21"/>
              <w:szCs w:val="22"/>
            </w:rPr>
          </w:pPr>
          <w:r>
            <w:fldChar w:fldCharType="begin"/>
          </w:r>
          <w:r>
            <w:instrText xml:space="preserve"> HYPERLINK \l "_Toc70512796" </w:instrText>
          </w:r>
          <w:r>
            <w:fldChar w:fldCharType="separate"/>
          </w:r>
          <w:r>
            <w:rPr>
              <w:rStyle w:val="38"/>
              <w:rFonts w:hint="eastAsia"/>
            </w:rPr>
            <w:t>友</w:t>
          </w:r>
          <w:r>
            <w:rPr>
              <w:rStyle w:val="38"/>
            </w:rPr>
            <w:t xml:space="preserve"> </w:t>
          </w:r>
          <w:r>
            <w:rPr>
              <w:rStyle w:val="38"/>
              <w:rFonts w:hint="eastAsia"/>
            </w:rPr>
            <w:t>情</w:t>
          </w:r>
          <w:r>
            <w:rPr>
              <w:rStyle w:val="38"/>
            </w:rPr>
            <w:t xml:space="preserve"> </w:t>
          </w:r>
          <w:r>
            <w:rPr>
              <w:rStyle w:val="38"/>
              <w:rFonts w:hint="eastAsia"/>
            </w:rPr>
            <w:t>提</w:t>
          </w:r>
          <w:r>
            <w:rPr>
              <w:rStyle w:val="38"/>
            </w:rPr>
            <w:t xml:space="preserve"> </w:t>
          </w:r>
          <w:r>
            <w:rPr>
              <w:rStyle w:val="38"/>
              <w:rFonts w:hint="eastAsia"/>
            </w:rPr>
            <w:t>醒</w:t>
          </w:r>
          <w:r>
            <w:tab/>
          </w:r>
          <w:r>
            <w:fldChar w:fldCharType="begin"/>
          </w:r>
          <w:r>
            <w:instrText xml:space="preserve"> PAGEREF _Toc70512796 \h </w:instrText>
          </w:r>
          <w:r>
            <w:fldChar w:fldCharType="separate"/>
          </w:r>
          <w:r>
            <w:t>45</w:t>
          </w:r>
          <w:r>
            <w:fldChar w:fldCharType="end"/>
          </w:r>
          <w:r>
            <w:fldChar w:fldCharType="end"/>
          </w:r>
        </w:p>
        <w:p>
          <w:pPr>
            <w:spacing w:before="120" w:after="120" w:line="360" w:lineRule="auto"/>
            <w:rPr>
              <w:rFonts w:eastAsia="黑体" w:asciiTheme="minorHAnsi" w:hAnsiTheme="minorHAnsi" w:cstheme="minorHAnsi"/>
              <w:b w:val="0"/>
              <w:bCs w:val="0"/>
              <w:sz w:val="30"/>
              <w:szCs w:val="30"/>
            </w:rPr>
          </w:pPr>
          <w:r>
            <w:rPr>
              <w:rFonts w:eastAsia="黑体" w:cstheme="minorHAnsi"/>
              <w:sz w:val="32"/>
              <w:szCs w:val="32"/>
            </w:rPr>
            <w:fldChar w:fldCharType="end"/>
          </w:r>
        </w:p>
      </w:sdtContent>
    </w:sdt>
    <w:p>
      <w:pPr>
        <w:bidi w:val="0"/>
        <w:rPr>
          <w:rFonts w:asciiTheme="minorHAnsi" w:hAnsiTheme="minorHAnsi" w:eastAsiaTheme="minorEastAsia" w:cstheme="minorBidi"/>
          <w:kern w:val="2"/>
          <w:sz w:val="21"/>
          <w:szCs w:val="22"/>
          <w:lang w:val="en-US" w:eastAsia="zh-CN" w:bidi="ar-SA"/>
        </w:rPr>
      </w:pPr>
    </w:p>
    <w:p>
      <w:pPr>
        <w:tabs>
          <w:tab w:val="left" w:pos="1858"/>
        </w:tabs>
        <w:bidi w:val="0"/>
        <w:jc w:val="left"/>
        <w:rPr>
          <w:lang w:val="en-US" w:eastAsia="zh-CN"/>
        </w:rPr>
        <w:sectPr>
          <w:headerReference r:id="rId5" w:type="first"/>
          <w:headerReference r:id="rId3" w:type="default"/>
          <w:headerReference r:id="rId4" w:type="even"/>
          <w:footerReference r:id="rId6" w:type="even"/>
          <w:pgSz w:w="11906" w:h="16838"/>
          <w:pgMar w:top="1239" w:right="1133" w:bottom="1276" w:left="1134" w:header="567" w:footer="477" w:gutter="0"/>
          <w:pgNumType w:start="0"/>
          <w:cols w:space="425" w:num="1"/>
          <w:titlePg/>
          <w:docGrid w:type="linesAndChars" w:linePitch="312" w:charSpace="0"/>
        </w:sectPr>
      </w:pPr>
      <w:r>
        <w:rPr>
          <w:rFonts w:hint="eastAsia"/>
          <w:lang w:val="en-US" w:eastAsia="zh-CN"/>
        </w:rPr>
        <w:tab/>
      </w:r>
    </w:p>
    <w:p>
      <w:pPr>
        <w:pStyle w:val="121"/>
      </w:pPr>
      <w:bookmarkStart w:id="2" w:name="_Toc70512790"/>
      <w:r>
        <w:rPr>
          <w:rFonts w:hint="eastAsia"/>
        </w:rPr>
        <w:t>一．磋商邀请函</w:t>
      </w:r>
      <w:bookmarkEnd w:id="1"/>
      <w:bookmarkEnd w:id="2"/>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u w:val="single"/>
        </w:rPr>
        <w:t>常州市戚墅堰高级中学文档输出及教学诊断服务外包</w:t>
      </w:r>
      <w:r>
        <w:rPr>
          <w:rFonts w:hint="eastAsia" w:ascii="宋体" w:hAnsi="宋体" w:eastAsia="宋体"/>
          <w:sz w:val="24"/>
          <w:szCs w:val="24"/>
        </w:rPr>
        <w:t>项目的潜在供应商应在</w:t>
      </w:r>
      <w:r>
        <w:rPr>
          <w:rFonts w:hint="eastAsia" w:ascii="宋体" w:hAnsi="宋体" w:eastAsia="宋体"/>
          <w:sz w:val="24"/>
          <w:szCs w:val="24"/>
          <w:u w:val="single"/>
        </w:rPr>
        <w:t>“政采云”市场资源交易服务中心（平台）（http://www.czzczb.com/）</w:t>
      </w:r>
      <w:r>
        <w:rPr>
          <w:rFonts w:hint="eastAsia" w:ascii="宋体" w:hAnsi="宋体" w:eastAsia="宋体"/>
          <w:sz w:val="24"/>
          <w:szCs w:val="24"/>
        </w:rPr>
        <w:t>获取采购文件，并于</w:t>
      </w:r>
      <w:r>
        <w:rPr>
          <w:rFonts w:hint="eastAsia" w:ascii="宋体" w:hAnsi="宋体" w:eastAsia="宋体"/>
          <w:bCs/>
          <w:sz w:val="24"/>
          <w:szCs w:val="24"/>
          <w:u w:val="single"/>
        </w:rPr>
        <w:t>2022年9月26日9点30分（</w:t>
      </w:r>
      <w:r>
        <w:rPr>
          <w:rFonts w:hint="eastAsia" w:ascii="宋体" w:hAnsi="宋体" w:eastAsia="宋体"/>
          <w:bCs/>
          <w:sz w:val="24"/>
          <w:szCs w:val="24"/>
        </w:rPr>
        <w:t>北京时间）前递交响应文件</w:t>
      </w:r>
      <w:r>
        <w:rPr>
          <w:rFonts w:hint="eastAsia" w:ascii="宋体" w:hAnsi="宋体" w:eastAsia="宋体"/>
          <w:sz w:val="24"/>
          <w:szCs w:val="24"/>
        </w:rPr>
        <w:t>。</w:t>
      </w:r>
    </w:p>
    <w:p>
      <w:pPr>
        <w:snapToGrid w:val="0"/>
        <w:spacing w:line="360" w:lineRule="auto"/>
        <w:ind w:firstLine="240" w:firstLineChars="100"/>
        <w:rPr>
          <w:rFonts w:ascii="Times New Roman" w:hAnsi="Times New Roman"/>
          <w:sz w:val="24"/>
          <w:szCs w:val="24"/>
        </w:rPr>
      </w:pPr>
      <w:bookmarkStart w:id="3" w:name="_Toc35393790"/>
      <w:bookmarkStart w:id="4" w:name="_Toc28359079"/>
      <w:bookmarkStart w:id="5" w:name="_Toc28359002"/>
      <w:bookmarkStart w:id="6" w:name="_Toc35393621"/>
      <w:bookmarkStart w:id="7" w:name="_Hlk24379207"/>
    </w:p>
    <w:p>
      <w:pPr>
        <w:spacing w:line="360" w:lineRule="auto"/>
        <w:ind w:firstLine="482" w:firstLineChars="200"/>
        <w:rPr>
          <w:b/>
          <w:bCs/>
          <w:sz w:val="24"/>
          <w:szCs w:val="24"/>
        </w:rPr>
      </w:pPr>
      <w:r>
        <w:rPr>
          <w:rFonts w:hint="eastAsia"/>
          <w:b/>
          <w:bCs/>
          <w:sz w:val="24"/>
          <w:szCs w:val="24"/>
        </w:rPr>
        <w:t>一、项目基本情况</w:t>
      </w:r>
      <w:bookmarkEnd w:id="3"/>
      <w:bookmarkEnd w:id="4"/>
      <w:bookmarkEnd w:id="5"/>
      <w:bookmarkEnd w:id="6"/>
    </w:p>
    <w:p>
      <w:pPr>
        <w:snapToGrid w:val="0"/>
        <w:spacing w:line="360" w:lineRule="auto"/>
        <w:ind w:firstLine="480" w:firstLineChars="200"/>
        <w:rPr>
          <w:rFonts w:asciiTheme="minorEastAsia" w:hAnsiTheme="minorEastAsia"/>
          <w:color w:val="FF0000"/>
          <w:sz w:val="24"/>
          <w:szCs w:val="24"/>
        </w:rPr>
      </w:pPr>
      <w:r>
        <w:rPr>
          <w:rFonts w:hint="eastAsia" w:asciiTheme="minorEastAsia" w:hAnsiTheme="minorEastAsia"/>
          <w:sz w:val="24"/>
          <w:szCs w:val="24"/>
        </w:rPr>
        <w:t>项目编号：CZZCJC2022057</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项目名称：常州市戚墅堰高级中学文档输出及教学诊断服务外包项目</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采购方式：竞争性磋商</w:t>
      </w:r>
    </w:p>
    <w:bookmarkEnd w:id="7"/>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预算金额：不固定总价，采用按实结算方式。  </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最高限价：不固定总价，采用按实结算方式。 </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需求：常州市戚墅堰高级中学，是江苏省常州高级中学分校。随着信息技术的发展，一方面为进一步学校提高文印输出服务质量水平及服务时效，更好地服务广大师生，适当降低成本、简化报修、报废等流程，有效提高后勤服务的工作效率及信息化管理水平。另一方面为了更好的运用大数据技术实现精准教与个性学，提高教与学质量。现就学校文档输出及教学诊断服务外包，由专业公司驻校提供专业的服务。</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合同履行期限：服务期限三年，合同一年一签，服务期满经考核合格可续签下一年合同，最多续签二年。</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本项目</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不接受</w:t>
      </w:r>
      <w:r>
        <w:rPr>
          <w:rFonts w:asciiTheme="minorEastAsia" w:hAnsiTheme="minorEastAsia"/>
          <w:sz w:val="24"/>
          <w:szCs w:val="24"/>
          <w:u w:val="single"/>
        </w:rPr>
        <w:t xml:space="preserve">   </w:t>
      </w:r>
      <w:r>
        <w:rPr>
          <w:rFonts w:hint="eastAsia" w:asciiTheme="minorEastAsia" w:hAnsiTheme="minorEastAsia"/>
          <w:sz w:val="24"/>
          <w:szCs w:val="24"/>
        </w:rPr>
        <w:t>联合体报价。</w:t>
      </w:r>
    </w:p>
    <w:p>
      <w:pPr>
        <w:spacing w:line="360" w:lineRule="auto"/>
        <w:ind w:firstLine="482" w:firstLineChars="200"/>
        <w:rPr>
          <w:b/>
          <w:bCs/>
          <w:sz w:val="24"/>
          <w:szCs w:val="24"/>
        </w:rPr>
      </w:pPr>
      <w:bookmarkStart w:id="8" w:name="_Toc28359080"/>
      <w:bookmarkStart w:id="9" w:name="_Toc35393622"/>
      <w:bookmarkStart w:id="10" w:name="_Toc28359003"/>
      <w:bookmarkStart w:id="11" w:name="_Toc35393791"/>
      <w:r>
        <w:rPr>
          <w:rFonts w:hint="eastAsia"/>
          <w:b/>
          <w:bCs/>
          <w:sz w:val="24"/>
          <w:szCs w:val="24"/>
        </w:rPr>
        <w:t>二、申请人的资格要求</w:t>
      </w:r>
      <w:bookmarkEnd w:id="8"/>
      <w:bookmarkEnd w:id="9"/>
      <w:bookmarkEnd w:id="10"/>
      <w:bookmarkEnd w:id="11"/>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1.满足《中华人民共和国政府采购法》第二十二条规定；</w:t>
      </w:r>
    </w:p>
    <w:p>
      <w:pPr>
        <w:snapToGrid w:val="0"/>
        <w:spacing w:line="360" w:lineRule="auto"/>
        <w:ind w:firstLine="480" w:firstLineChars="200"/>
        <w:rPr>
          <w:rFonts w:asciiTheme="minorEastAsia" w:hAnsiTheme="minorEastAsia"/>
          <w:sz w:val="24"/>
          <w:szCs w:val="24"/>
        </w:rPr>
      </w:pPr>
      <w:bookmarkStart w:id="12" w:name="_Toc28359004"/>
      <w:bookmarkStart w:id="13" w:name="_Toc28359081"/>
      <w:r>
        <w:rPr>
          <w:rFonts w:hint="eastAsia" w:asciiTheme="minorEastAsia" w:hAnsiTheme="minorEastAsia"/>
          <w:sz w:val="24"/>
          <w:szCs w:val="24"/>
        </w:rPr>
        <w:t>2.落实政府采购政策需满足的资格要求：无</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3.本项目的特定资格要求：</w:t>
      </w:r>
      <w:bookmarkStart w:id="14" w:name="_Toc35393623"/>
      <w:bookmarkStart w:id="15" w:name="_Toc35393792"/>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（1）未被“信用中国”网站（www.creditchina.gov.cn）或“中国政府采购网”网站（www.ccgp.gov.cn）列入失信被执行人、重大税收违法案件当事人名单、政府采购严重失信行为记录名单；</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（2）单位负责人为同一人或者存在直接控股、管理关系的不同供应商（包含法定代表人为同一个人的两个及两个以上法人，母公司、全资子公司及其控股公司），不得参加同一合同项下的政府采购活动。</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（3）采购人的其他特定资格要求：无</w:t>
      </w:r>
      <w:r>
        <w:rPr>
          <w:rFonts w:asciiTheme="minorEastAsia" w:hAnsiTheme="minorEastAsia"/>
          <w:sz w:val="24"/>
          <w:szCs w:val="24"/>
        </w:rPr>
        <w:t xml:space="preserve"> </w:t>
      </w:r>
    </w:p>
    <w:p>
      <w:pPr>
        <w:spacing w:line="360" w:lineRule="auto"/>
        <w:ind w:firstLine="482" w:firstLineChars="200"/>
        <w:rPr>
          <w:b/>
          <w:bCs/>
          <w:sz w:val="24"/>
          <w:szCs w:val="24"/>
        </w:rPr>
      </w:pPr>
      <w:r>
        <w:rPr>
          <w:rFonts w:hint="eastAsia"/>
          <w:b/>
          <w:bCs/>
          <w:sz w:val="24"/>
          <w:szCs w:val="24"/>
        </w:rPr>
        <w:t>三、获取采购文件</w:t>
      </w:r>
      <w:bookmarkEnd w:id="12"/>
      <w:bookmarkEnd w:id="13"/>
      <w:bookmarkEnd w:id="14"/>
      <w:bookmarkEnd w:id="15"/>
    </w:p>
    <w:p>
      <w:pPr>
        <w:spacing w:line="360" w:lineRule="auto"/>
        <w:ind w:firstLine="480" w:firstLineChars="200"/>
        <w:rPr>
          <w:rFonts w:ascii="宋体" w:hAnsi="宋体" w:eastAsia="宋体"/>
          <w:bCs/>
          <w:sz w:val="24"/>
          <w:szCs w:val="24"/>
        </w:rPr>
      </w:pPr>
      <w:bookmarkStart w:id="16" w:name="_Toc28359005"/>
      <w:bookmarkStart w:id="17" w:name="_Toc28359082"/>
      <w:bookmarkStart w:id="18" w:name="_Toc35393793"/>
      <w:bookmarkStart w:id="19" w:name="_Toc35393624"/>
      <w:r>
        <w:rPr>
          <w:rFonts w:hint="eastAsia" w:ascii="宋体" w:hAnsi="宋体" w:eastAsia="宋体"/>
          <w:bCs/>
          <w:sz w:val="24"/>
          <w:szCs w:val="24"/>
        </w:rPr>
        <w:t>1．时间：2022年</w:t>
      </w:r>
      <w:r>
        <w:rPr>
          <w:rFonts w:hint="eastAsia" w:ascii="宋体" w:hAnsi="宋体" w:eastAsia="宋体"/>
          <w:bCs/>
          <w:sz w:val="24"/>
          <w:szCs w:val="24"/>
          <w:lang w:val="en-US" w:eastAsia="zh-CN"/>
        </w:rPr>
        <w:t>9</w:t>
      </w:r>
      <w:r>
        <w:rPr>
          <w:rFonts w:hint="eastAsia" w:ascii="宋体" w:hAnsi="宋体" w:eastAsia="宋体"/>
          <w:bCs/>
          <w:sz w:val="24"/>
          <w:szCs w:val="24"/>
        </w:rPr>
        <w:t>月1</w:t>
      </w:r>
      <w:r>
        <w:rPr>
          <w:rFonts w:hint="eastAsia" w:ascii="宋体" w:hAnsi="宋体" w:eastAsia="宋体"/>
          <w:bCs/>
          <w:sz w:val="24"/>
          <w:szCs w:val="24"/>
          <w:lang w:val="en-US" w:eastAsia="zh-CN"/>
        </w:rPr>
        <w:t>5</w:t>
      </w:r>
      <w:r>
        <w:rPr>
          <w:rFonts w:hint="eastAsia" w:ascii="宋体" w:hAnsi="宋体" w:eastAsia="宋体"/>
          <w:bCs/>
          <w:sz w:val="24"/>
          <w:szCs w:val="24"/>
        </w:rPr>
        <w:t>日至2022年</w:t>
      </w:r>
      <w:r>
        <w:rPr>
          <w:rFonts w:hint="eastAsia" w:ascii="宋体" w:hAnsi="宋体" w:eastAsia="宋体"/>
          <w:bCs/>
          <w:sz w:val="24"/>
          <w:szCs w:val="24"/>
          <w:lang w:val="en-US" w:eastAsia="zh-CN"/>
        </w:rPr>
        <w:t>9</w:t>
      </w:r>
      <w:r>
        <w:rPr>
          <w:rFonts w:hint="eastAsia" w:ascii="宋体" w:hAnsi="宋体" w:eastAsia="宋体"/>
          <w:bCs/>
          <w:sz w:val="24"/>
          <w:szCs w:val="24"/>
        </w:rPr>
        <w:t>月</w:t>
      </w:r>
      <w:r>
        <w:rPr>
          <w:rFonts w:hint="eastAsia" w:ascii="宋体" w:hAnsi="宋体" w:eastAsia="宋体"/>
          <w:bCs/>
          <w:sz w:val="24"/>
          <w:szCs w:val="24"/>
          <w:lang w:val="en-US" w:eastAsia="zh-CN"/>
        </w:rPr>
        <w:t>22</w:t>
      </w:r>
      <w:r>
        <w:rPr>
          <w:rFonts w:hint="eastAsia" w:ascii="宋体" w:hAnsi="宋体" w:eastAsia="宋体"/>
          <w:bCs/>
          <w:sz w:val="24"/>
          <w:szCs w:val="24"/>
        </w:rPr>
        <w:t>日，正常工作日上午8:30至11:30，下午13:00至17:00（北京时间，周末、法定节假日除外）。</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 xml:space="preserve">2．地点：钟楼区玉龙南路280号常州大数据产业园2号楼19楼1903室常州中采招投标有限公司。 </w:t>
      </w:r>
    </w:p>
    <w:p>
      <w:pPr>
        <w:spacing w:line="360" w:lineRule="auto"/>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．领购时须提供以下材料：</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（1）《投标报名申请表》原件一份（</w:t>
      </w:r>
      <w:r>
        <w:rPr>
          <w:rFonts w:hint="eastAsia" w:ascii="宋体" w:hAnsi="宋体" w:eastAsia="宋体"/>
          <w:b/>
          <w:bCs/>
          <w:sz w:val="24"/>
          <w:szCs w:val="24"/>
        </w:rPr>
        <w:t>格式见附件</w:t>
      </w:r>
      <w:r>
        <w:rPr>
          <w:rFonts w:hint="eastAsia" w:ascii="宋体" w:hAnsi="宋体" w:eastAsia="宋体"/>
          <w:bCs/>
          <w:sz w:val="24"/>
          <w:szCs w:val="24"/>
        </w:rPr>
        <w:t>）；</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（2）提供有效企业法人营业执照复印件加盖公章。</w:t>
      </w:r>
    </w:p>
    <w:p>
      <w:pPr>
        <w:spacing w:line="360" w:lineRule="auto"/>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．方式：（供应商可采取以下任一种方式获取采购文件）</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（1）现场领购：提供领购资料至钟楼区玉龙南路280号常州大数据产业园2号楼19楼1903室，常州中采招投标有限公司办理。</w:t>
      </w:r>
    </w:p>
    <w:p>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（2）网络领购：若无法现金交纳，请联系熊女士，电 话：0519-86661066。交纳成功后，将符合要求的领购资料扫描件和报名费交纳凭证一并发送至邮箱：</w:t>
      </w:r>
      <w:r>
        <w:rPr>
          <w:rFonts w:ascii="宋体" w:hAnsi="宋体" w:eastAsia="宋体"/>
          <w:bCs/>
          <w:sz w:val="24"/>
          <w:szCs w:val="24"/>
        </w:rPr>
        <w:t>czzczb@126.com</w:t>
      </w:r>
      <w:r>
        <w:rPr>
          <w:rFonts w:hint="eastAsia" w:ascii="宋体" w:hAnsi="宋体" w:eastAsia="宋体"/>
          <w:bCs/>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bCs/>
          <w:sz w:val="24"/>
          <w:szCs w:val="24"/>
        </w:rPr>
        <w:t>5</w:t>
      </w:r>
      <w:r>
        <w:rPr>
          <w:rFonts w:ascii="宋体" w:hAnsi="宋体" w:eastAsia="宋体"/>
          <w:bCs/>
          <w:sz w:val="24"/>
          <w:szCs w:val="24"/>
        </w:rPr>
        <w:t>.</w:t>
      </w:r>
      <w:r>
        <w:rPr>
          <w:rFonts w:hint="eastAsia" w:ascii="宋体" w:hAnsi="宋体" w:eastAsia="宋体"/>
          <w:bCs/>
          <w:sz w:val="24"/>
          <w:szCs w:val="24"/>
        </w:rPr>
        <w:t xml:space="preserve"> 售价：人民币伍佰元整(现金交纳或以公司指定方式支付)，采购文件售后一概不退。</w:t>
      </w:r>
    </w:p>
    <w:p>
      <w:pPr>
        <w:spacing w:line="360" w:lineRule="auto"/>
        <w:ind w:firstLine="482" w:firstLineChars="200"/>
        <w:rPr>
          <w:b/>
          <w:bCs/>
          <w:sz w:val="24"/>
          <w:szCs w:val="24"/>
        </w:rPr>
      </w:pPr>
      <w:r>
        <w:rPr>
          <w:rFonts w:hint="eastAsia"/>
          <w:b/>
          <w:bCs/>
          <w:sz w:val="24"/>
          <w:szCs w:val="24"/>
        </w:rPr>
        <w:t>四、提交响应文件</w:t>
      </w:r>
      <w:bookmarkEnd w:id="16"/>
      <w:bookmarkEnd w:id="17"/>
      <w:r>
        <w:rPr>
          <w:rFonts w:hint="eastAsia"/>
          <w:b/>
          <w:bCs/>
          <w:sz w:val="24"/>
          <w:szCs w:val="24"/>
        </w:rPr>
        <w:t>截止时间、地点</w:t>
      </w:r>
      <w:bookmarkEnd w:id="18"/>
      <w:bookmarkEnd w:id="19"/>
    </w:p>
    <w:p>
      <w:pPr>
        <w:snapToGrid w:val="0"/>
        <w:spacing w:line="360" w:lineRule="auto"/>
        <w:ind w:firstLine="480" w:firstLineChars="200"/>
        <w:rPr>
          <w:rFonts w:ascii="黑体" w:hAnsi="黑体" w:eastAsia="黑体"/>
          <w:sz w:val="24"/>
          <w:szCs w:val="24"/>
        </w:rPr>
      </w:pPr>
      <w:r>
        <w:rPr>
          <w:rFonts w:hint="eastAsia" w:ascii="宋体" w:hAnsi="宋体" w:eastAsia="宋体"/>
          <w:sz w:val="24"/>
          <w:szCs w:val="24"/>
        </w:rPr>
        <w:t>截止时间：</w:t>
      </w:r>
      <w:r>
        <w:rPr>
          <w:rFonts w:hint="eastAsia" w:ascii="宋体" w:hAnsi="宋体" w:eastAsia="宋体"/>
          <w:bCs/>
          <w:sz w:val="24"/>
          <w:szCs w:val="24"/>
          <w:u w:val="single"/>
        </w:rPr>
        <w:t>2022年9月26日9点30分</w:t>
      </w:r>
      <w:r>
        <w:rPr>
          <w:rFonts w:hint="eastAsia" w:ascii="宋体" w:hAnsi="宋体" w:eastAsia="宋体"/>
          <w:bCs/>
          <w:sz w:val="24"/>
          <w:szCs w:val="24"/>
        </w:rPr>
        <w:t>（北京时间）</w:t>
      </w:r>
    </w:p>
    <w:p>
      <w:pPr>
        <w:snapToGrid w:val="0"/>
        <w:spacing w:line="360" w:lineRule="auto"/>
        <w:ind w:firstLine="480" w:firstLineChars="200"/>
        <w:rPr>
          <w:rFonts w:ascii="宋体" w:hAnsi="宋体" w:eastAsia="宋体"/>
          <w:bCs/>
          <w:sz w:val="24"/>
          <w:szCs w:val="24"/>
        </w:rPr>
      </w:pPr>
      <w:r>
        <w:rPr>
          <w:rFonts w:hint="eastAsia" w:ascii="宋体" w:hAnsi="宋体" w:eastAsia="宋体"/>
          <w:sz w:val="24"/>
          <w:szCs w:val="24"/>
        </w:rPr>
        <w:t xml:space="preserve">地点：钟楼区玉龙南路280号常州大数据产业园2号楼19楼1905开标室。 </w:t>
      </w:r>
    </w:p>
    <w:p>
      <w:pPr>
        <w:spacing w:line="360" w:lineRule="auto"/>
        <w:ind w:firstLine="482" w:firstLineChars="200"/>
        <w:rPr>
          <w:b/>
          <w:bCs/>
          <w:sz w:val="24"/>
          <w:szCs w:val="24"/>
        </w:rPr>
      </w:pPr>
      <w:bookmarkStart w:id="20" w:name="_Toc35393794"/>
      <w:bookmarkStart w:id="21" w:name="_Toc28359084"/>
      <w:bookmarkStart w:id="22" w:name="_Toc35393625"/>
      <w:bookmarkStart w:id="23" w:name="_Toc28359007"/>
      <w:r>
        <w:rPr>
          <w:rFonts w:hint="eastAsia"/>
          <w:b/>
          <w:bCs/>
          <w:sz w:val="24"/>
          <w:szCs w:val="24"/>
        </w:rPr>
        <w:t>五、开启</w:t>
      </w:r>
    </w:p>
    <w:p>
      <w:pPr>
        <w:spacing w:line="360" w:lineRule="auto"/>
        <w:ind w:firstLine="480" w:firstLineChars="200"/>
        <w:rPr>
          <w:bCs/>
          <w:sz w:val="24"/>
          <w:szCs w:val="24"/>
        </w:rPr>
      </w:pPr>
      <w:r>
        <w:rPr>
          <w:rFonts w:hint="eastAsia"/>
          <w:bCs/>
          <w:sz w:val="24"/>
          <w:szCs w:val="24"/>
        </w:rPr>
        <w:t>时间</w:t>
      </w:r>
      <w:r>
        <w:rPr>
          <w:rFonts w:hint="eastAsia" w:ascii="宋体" w:hAnsi="宋体" w:eastAsia="宋体"/>
          <w:bCs/>
          <w:sz w:val="24"/>
          <w:szCs w:val="24"/>
        </w:rPr>
        <w:t>：</w:t>
      </w:r>
      <w:r>
        <w:rPr>
          <w:rFonts w:hint="eastAsia" w:ascii="宋体" w:hAnsi="宋体" w:eastAsia="宋体"/>
          <w:bCs/>
          <w:sz w:val="24"/>
          <w:szCs w:val="24"/>
          <w:u w:val="single"/>
        </w:rPr>
        <w:t>2022年9月26日9点30分</w:t>
      </w:r>
      <w:r>
        <w:rPr>
          <w:rFonts w:hint="eastAsia"/>
          <w:bCs/>
          <w:sz w:val="24"/>
          <w:szCs w:val="24"/>
        </w:rPr>
        <w:t>（北京时间）</w:t>
      </w:r>
    </w:p>
    <w:p>
      <w:pPr>
        <w:spacing w:line="360" w:lineRule="auto"/>
        <w:ind w:firstLine="480" w:firstLineChars="200"/>
        <w:rPr>
          <w:bCs/>
          <w:sz w:val="24"/>
          <w:szCs w:val="24"/>
        </w:rPr>
      </w:pPr>
      <w:r>
        <w:rPr>
          <w:rFonts w:hint="eastAsia"/>
          <w:bCs/>
          <w:sz w:val="24"/>
          <w:szCs w:val="24"/>
        </w:rPr>
        <w:t>地点：</w:t>
      </w:r>
      <w:r>
        <w:rPr>
          <w:rFonts w:hint="eastAsia" w:ascii="宋体" w:hAnsi="宋体" w:eastAsia="宋体" w:cs="宋体"/>
          <w:bCs/>
          <w:sz w:val="24"/>
          <w:szCs w:val="24"/>
        </w:rPr>
        <w:t>钟楼区玉龙南路280号常州大数据产业园2号楼19楼1905开标室。</w:t>
      </w:r>
    </w:p>
    <w:p>
      <w:pPr>
        <w:spacing w:line="360" w:lineRule="auto"/>
        <w:ind w:firstLine="482" w:firstLineChars="200"/>
        <w:rPr>
          <w:b/>
          <w:bCs/>
          <w:sz w:val="24"/>
          <w:szCs w:val="24"/>
        </w:rPr>
      </w:pPr>
      <w:r>
        <w:rPr>
          <w:rFonts w:hint="eastAsia"/>
          <w:b/>
          <w:bCs/>
          <w:sz w:val="24"/>
          <w:szCs w:val="24"/>
        </w:rPr>
        <w:t>六、公告期限</w:t>
      </w:r>
      <w:bookmarkEnd w:id="20"/>
      <w:bookmarkEnd w:id="21"/>
      <w:bookmarkEnd w:id="22"/>
      <w:bookmarkEnd w:id="23"/>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自本公告发布之日起</w:t>
      </w:r>
      <w:r>
        <w:rPr>
          <w:rFonts w:hint="eastAsia" w:ascii="宋体" w:hAnsi="宋体" w:eastAsia="宋体"/>
          <w:sz w:val="24"/>
          <w:szCs w:val="24"/>
          <w:lang w:val="en-US" w:eastAsia="zh-CN"/>
        </w:rPr>
        <w:t>3</w:t>
      </w:r>
      <w:r>
        <w:rPr>
          <w:rFonts w:hint="eastAsia" w:ascii="宋体" w:hAnsi="宋体" w:eastAsia="宋体"/>
          <w:sz w:val="24"/>
          <w:szCs w:val="24"/>
        </w:rPr>
        <w:t>个工作日。</w:t>
      </w:r>
    </w:p>
    <w:p>
      <w:pPr>
        <w:spacing w:line="360" w:lineRule="auto"/>
        <w:ind w:firstLine="482" w:firstLineChars="200"/>
        <w:rPr>
          <w:b/>
          <w:bCs/>
          <w:sz w:val="24"/>
          <w:szCs w:val="24"/>
        </w:rPr>
      </w:pPr>
      <w:bookmarkStart w:id="24" w:name="_Toc35393795"/>
      <w:bookmarkStart w:id="25" w:name="_Toc35393626"/>
      <w:r>
        <w:rPr>
          <w:rFonts w:hint="eastAsia"/>
          <w:b/>
          <w:bCs/>
          <w:sz w:val="24"/>
          <w:szCs w:val="24"/>
        </w:rPr>
        <w:t>七、其他补充事宜</w:t>
      </w:r>
      <w:bookmarkEnd w:id="24"/>
      <w:bookmarkEnd w:id="25"/>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现场踏勘：供应商自行踏勘现场。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投标保证金：无</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3．有关本次采购项目的事项若存在变动或修改，采购代理机构将通过补充或更正形式在网站上发布，因未能及时了解相关最新信息所引起的投标失误责任由供应商自负。</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疫情防控措施</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对于参与开评标活动的投标人、采购人授权代表，应如实填报《疫情期间参与政府采购活动开评标人员健康信息登记表》（格式见附件）并加盖单位公章。请凭《疫情期间参与政府采购活动开评标人员健康信息登记表》和本人身份证原件方能到指定开评标场所。各投标人委派人数不得超过2人，除投标人授权代表外，其他人员原则上不得进入开评标场所。</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对于参与评标活动的评审专家，在进入公司时，请主动出示当日参与项目评审项目手机短信进入指定场所。进入评标场所前，须如实填写《疫情期间参与政府采购活动开评标人员健康信息登记表》。对有疫情接触史及身体发烧等症状的评标专家不得应答专家随机抽取短信而参加评标活动。</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进入采购代理机构办公场所前，凡是参与采购活动的相关人员必须戴口罩并出示“苏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苏财购〔2020〕13号）执行。</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（4）因防控工作需要，给采购当事人带来诸多不便，还望多多理解和予以配合。</w:t>
      </w:r>
    </w:p>
    <w:p>
      <w:pPr>
        <w:spacing w:line="360" w:lineRule="auto"/>
        <w:ind w:firstLine="482" w:firstLineChars="200"/>
        <w:rPr>
          <w:b/>
          <w:bCs/>
          <w:sz w:val="24"/>
          <w:szCs w:val="24"/>
        </w:rPr>
      </w:pPr>
      <w:bookmarkStart w:id="26" w:name="_Toc28359008"/>
      <w:bookmarkStart w:id="27" w:name="_Toc35393627"/>
      <w:bookmarkStart w:id="28" w:name="_Toc28359085"/>
      <w:bookmarkStart w:id="29" w:name="_Toc35393796"/>
      <w:r>
        <w:rPr>
          <w:rFonts w:hint="eastAsia"/>
          <w:b/>
          <w:bCs/>
          <w:sz w:val="24"/>
          <w:szCs w:val="24"/>
        </w:rPr>
        <w:t>八、对本次采购提出询问，请按以下方式联系。</w:t>
      </w:r>
      <w:bookmarkEnd w:id="26"/>
      <w:bookmarkEnd w:id="27"/>
      <w:bookmarkEnd w:id="28"/>
      <w:bookmarkEnd w:id="29"/>
      <w:bookmarkStart w:id="30" w:name="_Toc35393786"/>
      <w:bookmarkStart w:id="31" w:name="_Toc28359075"/>
      <w:bookmarkStart w:id="32" w:name="_Toc35393617"/>
      <w:bookmarkStart w:id="33" w:name="_Toc28358998"/>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1.采购人信息</w:t>
      </w:r>
      <w:bookmarkEnd w:id="30"/>
      <w:bookmarkEnd w:id="31"/>
      <w:bookmarkEnd w:id="32"/>
      <w:bookmarkEnd w:id="33"/>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名    称：常州市戚墅堰高级中学</w:t>
      </w:r>
    </w:p>
    <w:p>
      <w:pPr>
        <w:snapToGrid w:val="0"/>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 xml:space="preserve">地    址：江苏省常州市武进区龙锦路365号 </w:t>
      </w:r>
    </w:p>
    <w:p>
      <w:pPr>
        <w:widowControl/>
        <w:snapToGrid w:val="0"/>
        <w:spacing w:line="360" w:lineRule="auto"/>
        <w:ind w:firstLine="480" w:firstLineChars="200"/>
        <w:jc w:val="left"/>
        <w:rPr>
          <w:rFonts w:cs="宋体" w:asciiTheme="minorEastAsia" w:hAnsiTheme="minorEastAsia"/>
          <w:sz w:val="24"/>
          <w:szCs w:val="24"/>
          <w:highlight w:val="none"/>
        </w:rPr>
      </w:pPr>
      <w:r>
        <w:rPr>
          <w:rFonts w:hint="eastAsia" w:cs="宋体" w:asciiTheme="minorEastAsia" w:hAnsiTheme="minorEastAsia"/>
          <w:sz w:val="24"/>
          <w:szCs w:val="24"/>
          <w:highlight w:val="none"/>
        </w:rPr>
        <w:t>联系方式：</w:t>
      </w:r>
      <w:r>
        <w:rPr>
          <w:rFonts w:hint="eastAsia" w:cs="宋体" w:asciiTheme="minorEastAsia" w:hAnsiTheme="minorEastAsia"/>
          <w:sz w:val="24"/>
          <w:szCs w:val="24"/>
          <w:highlight w:val="none"/>
          <w:lang w:val="en-US" w:eastAsia="zh-CN"/>
        </w:rPr>
        <w:t>朱老师 13915032660</w:t>
      </w:r>
    </w:p>
    <w:p>
      <w:pPr>
        <w:widowControl/>
        <w:snapToGrid w:val="0"/>
        <w:spacing w:line="360" w:lineRule="auto"/>
        <w:ind w:firstLine="480" w:firstLineChars="200"/>
        <w:jc w:val="left"/>
        <w:rPr>
          <w:rFonts w:cs="宋体" w:asciiTheme="minorEastAsia" w:hAnsiTheme="minorEastAsia"/>
          <w:sz w:val="24"/>
          <w:szCs w:val="24"/>
        </w:rPr>
      </w:pPr>
      <w:bookmarkStart w:id="34" w:name="_Toc35393618"/>
      <w:bookmarkStart w:id="35" w:name="_Toc28358999"/>
      <w:bookmarkStart w:id="36" w:name="_Toc28359076"/>
      <w:bookmarkStart w:id="37" w:name="_Toc35393787"/>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2.</w:t>
      </w:r>
      <w:bookmarkEnd w:id="34"/>
      <w:bookmarkEnd w:id="35"/>
      <w:bookmarkEnd w:id="36"/>
      <w:bookmarkEnd w:id="37"/>
      <w:bookmarkStart w:id="38" w:name="_Toc35393619"/>
      <w:bookmarkStart w:id="39" w:name="_Toc35393788"/>
      <w:bookmarkStart w:id="40" w:name="_Toc28359000"/>
      <w:bookmarkStart w:id="41" w:name="_Toc28359077"/>
      <w:r>
        <w:rPr>
          <w:rFonts w:hint="eastAsia"/>
        </w:rPr>
        <w:t xml:space="preserve"> </w:t>
      </w:r>
      <w:r>
        <w:rPr>
          <w:rFonts w:hint="eastAsia" w:cs="宋体" w:asciiTheme="minorEastAsia" w:hAnsiTheme="minorEastAsia"/>
          <w:sz w:val="24"/>
          <w:szCs w:val="24"/>
        </w:rPr>
        <w:t>采购代理机构信息</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名  称：常州中采招投标有限公司</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地  址：钟楼区玉龙南路280号常州大数据产业园2号楼19楼1903室</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联系方式：0519-8666106</w:t>
      </w:r>
      <w:bookmarkEnd w:id="38"/>
      <w:bookmarkEnd w:id="39"/>
      <w:bookmarkEnd w:id="40"/>
      <w:bookmarkEnd w:id="41"/>
      <w:bookmarkStart w:id="42" w:name="_Toc55147046"/>
      <w:r>
        <w:rPr>
          <w:rFonts w:hint="eastAsia" w:cs="宋体" w:asciiTheme="minorEastAsia" w:hAnsiTheme="minorEastAsia"/>
          <w:sz w:val="24"/>
          <w:szCs w:val="24"/>
        </w:rPr>
        <w:t>6</w:t>
      </w:r>
    </w:p>
    <w:p>
      <w:pPr>
        <w:widowControl/>
        <w:snapToGrid w:val="0"/>
        <w:spacing w:line="360" w:lineRule="auto"/>
        <w:ind w:firstLine="480" w:firstLineChars="200"/>
        <w:jc w:val="left"/>
        <w:rPr>
          <w:rFonts w:cs="宋体" w:asciiTheme="minorEastAsia" w:hAnsiTheme="minorEastAsia"/>
          <w:sz w:val="24"/>
          <w:szCs w:val="24"/>
        </w:rPr>
      </w:pP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3.项目联系方式</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项目联系人：董女士</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电      话：0519-86661066</w:t>
      </w:r>
    </w:p>
    <w:p>
      <w:bookmarkStart w:id="43" w:name="_Toc70512791"/>
    </w:p>
    <w:p>
      <w:r>
        <w:rPr>
          <w:rFonts w:hint="eastAsia"/>
        </w:rPr>
        <w:br w:type="page"/>
      </w:r>
    </w:p>
    <w:p>
      <w:pPr>
        <w:pStyle w:val="121"/>
      </w:pPr>
      <w:r>
        <w:rPr>
          <w:rFonts w:hint="eastAsia"/>
        </w:rPr>
        <w:t>二．磋商须知</w:t>
      </w:r>
      <w:bookmarkEnd w:id="42"/>
      <w:bookmarkEnd w:id="43"/>
    </w:p>
    <w:p>
      <w:pPr>
        <w:spacing w:line="360" w:lineRule="auto"/>
        <w:ind w:firstLine="482" w:firstLineChars="200"/>
        <w:rPr>
          <w:b/>
          <w:bCs/>
          <w:sz w:val="24"/>
          <w:szCs w:val="24"/>
        </w:rPr>
      </w:pPr>
      <w:r>
        <w:rPr>
          <w:rFonts w:hint="eastAsia"/>
          <w:b/>
          <w:bCs/>
          <w:sz w:val="24"/>
          <w:szCs w:val="24"/>
        </w:rPr>
        <w:t>一、遵循原则</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公开透明原则、公平竞争原则、公正原则和诚实信用原则。</w:t>
      </w:r>
    </w:p>
    <w:p>
      <w:pPr>
        <w:spacing w:line="360" w:lineRule="auto"/>
        <w:ind w:firstLine="482" w:firstLineChars="200"/>
        <w:rPr>
          <w:b/>
          <w:bCs/>
          <w:sz w:val="24"/>
          <w:szCs w:val="24"/>
        </w:rPr>
      </w:pPr>
      <w:r>
        <w:rPr>
          <w:rFonts w:hint="eastAsia"/>
          <w:b/>
          <w:bCs/>
          <w:sz w:val="24"/>
          <w:szCs w:val="24"/>
        </w:rPr>
        <w:t>二、采购文件</w:t>
      </w:r>
    </w:p>
    <w:p>
      <w:pPr>
        <w:tabs>
          <w:tab w:val="left" w:pos="-126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采购文件包括本文件目录所列全部内容，供应商应仔细阅读，并在响应文件中充分响应采购文件的所有要求。</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采购文件中的“法定代表人”是指供应商的营业执照或相关部门的登记证明文件中的“法定代表人”或“负责人”。</w:t>
      </w:r>
    </w:p>
    <w:p>
      <w:pPr>
        <w:tabs>
          <w:tab w:val="left" w:pos="0"/>
          <w:tab w:val="left" w:pos="525"/>
          <w:tab w:val="left" w:pos="846"/>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3. </w:t>
      </w:r>
      <w:r>
        <w:rPr>
          <w:rFonts w:hint="eastAsia" w:ascii="宋体" w:hAnsi="宋体"/>
          <w:bCs/>
          <w:color w:val="000000"/>
          <w:sz w:val="24"/>
          <w:szCs w:val="24"/>
        </w:rPr>
        <w:t>供应商应在获取采购文件及有关资料后，按要求制作</w:t>
      </w:r>
      <w:r>
        <w:rPr>
          <w:rFonts w:hint="eastAsia" w:ascii="宋体" w:hAnsi="宋体"/>
          <w:sz w:val="24"/>
        </w:rPr>
        <w:t>投标文件</w:t>
      </w:r>
      <w:r>
        <w:rPr>
          <w:rFonts w:hint="eastAsia" w:ascii="宋体" w:hAnsi="宋体"/>
          <w:bCs/>
          <w:color w:val="000000"/>
          <w:sz w:val="24"/>
          <w:szCs w:val="24"/>
        </w:rPr>
        <w:t>，对采购文件各项内容做出实质性响应，否则报价无效。</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采购文件仅作为本次采购报价使用。</w:t>
      </w:r>
    </w:p>
    <w:p>
      <w:pPr>
        <w:spacing w:line="360" w:lineRule="auto"/>
        <w:ind w:firstLine="482" w:firstLineChars="200"/>
        <w:rPr>
          <w:b/>
          <w:bCs/>
          <w:sz w:val="24"/>
          <w:szCs w:val="24"/>
        </w:rPr>
      </w:pPr>
      <w:r>
        <w:rPr>
          <w:rFonts w:hint="eastAsia"/>
          <w:b/>
          <w:bCs/>
          <w:sz w:val="24"/>
          <w:szCs w:val="24"/>
        </w:rPr>
        <w:t>三、采购文件的解释</w:t>
      </w:r>
    </w:p>
    <w:p>
      <w:pPr>
        <w:tabs>
          <w:tab w:val="left" w:pos="945"/>
        </w:tabs>
        <w:spacing w:line="360" w:lineRule="auto"/>
        <w:ind w:left="523"/>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本文件的最终解释权归常州中采招投标有限公司。</w:t>
      </w:r>
    </w:p>
    <w:p>
      <w:pPr>
        <w:spacing w:line="360" w:lineRule="auto"/>
        <w:ind w:firstLine="482" w:firstLineChars="200"/>
        <w:rPr>
          <w:b/>
          <w:bCs/>
          <w:sz w:val="24"/>
          <w:szCs w:val="24"/>
        </w:rPr>
      </w:pPr>
      <w:r>
        <w:rPr>
          <w:rFonts w:hint="eastAsia"/>
          <w:b/>
          <w:bCs/>
          <w:sz w:val="24"/>
          <w:szCs w:val="24"/>
        </w:rPr>
        <w:t>四、采购文件的补充或修正</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供应商在收到采购文件后，如有疑问需要询问和澄清，应在响应文件提交截止时间的15日前以书面形式向采购人提出，如无疑问,视作供应商完全响应采购文件的条款和要求。</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采购人有权对已发出的采购文件进行必要的澄清或修改，可视具体情况延长响应文件提交截止时间，并以更正公告形式通知所有供应商。</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 采购文件的修改和补充文件将作为采购文件的组成部分，并对供应商具有约束力。</w:t>
      </w:r>
    </w:p>
    <w:p>
      <w:pPr>
        <w:tabs>
          <w:tab w:val="left" w:pos="525"/>
          <w:tab w:val="left" w:pos="898"/>
          <w:tab w:val="left" w:pos="945"/>
        </w:tabs>
        <w:wordWrap w:val="0"/>
        <w:overflowPunct w:val="0"/>
        <w:topLinePunct/>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更正公告以“政采云”市场资源交易服务中心（平台）（http://www.czzczb.com/）所发布的为准。</w:t>
      </w:r>
    </w:p>
    <w:p>
      <w:pPr>
        <w:spacing w:line="360" w:lineRule="auto"/>
        <w:ind w:firstLine="482" w:firstLineChars="200"/>
        <w:rPr>
          <w:b/>
          <w:bCs/>
          <w:sz w:val="24"/>
          <w:szCs w:val="24"/>
        </w:rPr>
      </w:pPr>
      <w:r>
        <w:rPr>
          <w:rFonts w:hint="eastAsia"/>
          <w:b/>
          <w:bCs/>
          <w:sz w:val="24"/>
          <w:szCs w:val="24"/>
        </w:rPr>
        <w:t>五、响应文件的组成</w:t>
      </w:r>
    </w:p>
    <w:p>
      <w:pPr>
        <w:numPr>
          <w:ilvl w:val="0"/>
          <w:numId w:val="2"/>
        </w:numPr>
        <w:tabs>
          <w:tab w:val="left" w:pos="525"/>
          <w:tab w:val="left" w:pos="945"/>
        </w:tabs>
        <w:spacing w:line="360" w:lineRule="auto"/>
        <w:ind w:left="0"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供应商情况说明</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供应商简介（含供应商规模、技术能力及装备水平等）、人员情况、典型项目介绍。</w:t>
      </w:r>
    </w:p>
    <w:p>
      <w:pPr>
        <w:numPr>
          <w:ilvl w:val="0"/>
          <w:numId w:val="2"/>
        </w:numPr>
        <w:tabs>
          <w:tab w:val="left" w:pos="525"/>
          <w:tab w:val="left" w:pos="945"/>
        </w:tabs>
        <w:spacing w:line="360" w:lineRule="auto"/>
        <w:ind w:left="1"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响应函（格式见附件）</w:t>
      </w:r>
    </w:p>
    <w:p>
      <w:pPr>
        <w:numPr>
          <w:ilvl w:val="0"/>
          <w:numId w:val="2"/>
        </w:numPr>
        <w:tabs>
          <w:tab w:val="left" w:pos="525"/>
          <w:tab w:val="left" w:pos="945"/>
        </w:tabs>
        <w:spacing w:line="360" w:lineRule="auto"/>
        <w:ind w:left="1"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资格、资信证明文件：</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（1）关于资格的声明函（</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s="宋体"/>
          <w:sz w:val="24"/>
        </w:rPr>
        <w:t>（2）法定代表人资格证明书/法定代表人授权委托书（</w:t>
      </w:r>
      <w:r>
        <w:rPr>
          <w:rFonts w:hint="eastAsia" w:ascii="宋体" w:hAnsi="宋体" w:cs="宋体"/>
          <w:b/>
          <w:sz w:val="24"/>
        </w:rPr>
        <w:t>格式见附件</w:t>
      </w:r>
      <w:r>
        <w:rPr>
          <w:rFonts w:hint="eastAsia" w:ascii="宋体" w:hAnsi="宋体" w:cs="宋体"/>
          <w:sz w:val="24"/>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（3）具有独立承担民事责任能力的供应商营业执照或相关部门的登记证明文件复印件；</w:t>
      </w:r>
    </w:p>
    <w:p>
      <w:pPr>
        <w:tabs>
          <w:tab w:val="left" w:pos="630"/>
          <w:tab w:val="left" w:pos="945"/>
          <w:tab w:val="left" w:pos="1276"/>
        </w:tabs>
        <w:spacing w:line="360" w:lineRule="auto"/>
        <w:ind w:firstLine="480" w:firstLineChars="200"/>
        <w:rPr>
          <w:rFonts w:ascii="宋体" w:hAnsi="宋体"/>
          <w:sz w:val="24"/>
        </w:rPr>
      </w:pPr>
      <w:r>
        <w:rPr>
          <w:rFonts w:hint="eastAsia" w:ascii="宋体" w:hAnsi="宋体"/>
          <w:bCs/>
          <w:color w:val="000000" w:themeColor="text1"/>
          <w:sz w:val="24"/>
          <w:szCs w:val="24"/>
          <w14:textFill>
            <w14:solidFill>
              <w14:schemeClr w14:val="tx1"/>
            </w14:solidFill>
          </w14:textFill>
        </w:rPr>
        <w:t>（4）</w:t>
      </w:r>
      <w:r>
        <w:rPr>
          <w:rFonts w:hint="eastAsia" w:ascii="宋体" w:hAnsi="宋体"/>
          <w:sz w:val="24"/>
        </w:rPr>
        <w:t>具备履行合同所必需的设备和专业技术能力的书面声明（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（5）参加政府采购活动前 3 年内在经营活动中没有重大违法记录的书面声明（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（6）采购人要求的特定资质证明（</w:t>
      </w:r>
      <w:r>
        <w:rPr>
          <w:rFonts w:hint="eastAsia" w:ascii="宋体" w:hAnsi="宋体"/>
          <w:b/>
          <w:bCs/>
          <w:color w:val="000000" w:themeColor="text1"/>
          <w:sz w:val="24"/>
          <w:szCs w:val="24"/>
          <w14:textFill>
            <w14:solidFill>
              <w14:schemeClr w14:val="tx1"/>
            </w14:solidFill>
          </w14:textFill>
        </w:rPr>
        <w:t>详见“磋商邀请函”-“申请人的资格要求”）</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报价一览表（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明细报价表（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技术参数偏离表（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评分标准中对应的其它所需证明材料（</w:t>
      </w:r>
      <w:r>
        <w:rPr>
          <w:rFonts w:hint="eastAsia" w:ascii="宋体" w:hAnsi="宋体"/>
          <w:b/>
          <w:bCs/>
          <w:color w:val="000000" w:themeColor="text1"/>
          <w:sz w:val="24"/>
          <w:szCs w:val="24"/>
          <w14:textFill>
            <w14:solidFill>
              <w14:schemeClr w14:val="tx1"/>
            </w14:solidFill>
          </w14:textFill>
        </w:rPr>
        <w:t>如有自行添加</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采购文件要求供应商提供的和供应商认为与本项目有关的并可以提供的其它相关的证明材料（</w:t>
      </w:r>
      <w:r>
        <w:rPr>
          <w:rFonts w:hint="eastAsia" w:ascii="宋体" w:hAnsi="宋体"/>
          <w:b/>
          <w:bCs/>
          <w:color w:val="000000" w:themeColor="text1"/>
          <w:sz w:val="24"/>
          <w:szCs w:val="24"/>
          <w14:textFill>
            <w14:solidFill>
              <w14:schemeClr w14:val="tx1"/>
            </w14:solidFill>
          </w14:textFill>
        </w:rPr>
        <w:t>如有自拟并自行添加</w:t>
      </w:r>
      <w:r>
        <w:rPr>
          <w:rFonts w:hint="eastAsia" w:ascii="宋体" w:hAnsi="宋体"/>
          <w:bCs/>
          <w:color w:val="000000" w:themeColor="text1"/>
          <w:sz w:val="24"/>
          <w:szCs w:val="24"/>
          <w14:textFill>
            <w14:solidFill>
              <w14:schemeClr w14:val="tx1"/>
            </w14:solidFill>
          </w14:textFill>
        </w:rPr>
        <w:t>）；</w:t>
      </w:r>
    </w:p>
    <w:p>
      <w:pPr>
        <w:tabs>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上述2-6项供应商必须按要求全部提供</w:t>
      </w:r>
      <w:r>
        <w:rPr>
          <w:rFonts w:hint="eastAsia" w:ascii="宋体" w:hAnsi="宋体"/>
          <w:b/>
          <w:bCs/>
          <w:color w:val="000000" w:themeColor="text1"/>
          <w:sz w:val="24"/>
          <w:szCs w:val="24"/>
          <w14:textFill>
            <w14:solidFill>
              <w14:schemeClr w14:val="tx1"/>
            </w14:solidFill>
          </w14:textFill>
        </w:rPr>
        <w:t>（如投标人组成联合体投标，参加联合体的各方均需提供）</w:t>
      </w:r>
      <w:r>
        <w:rPr>
          <w:rFonts w:hint="eastAsia" w:ascii="宋体" w:hAnsi="宋体"/>
          <w:bCs/>
          <w:color w:val="000000" w:themeColor="text1"/>
          <w:sz w:val="24"/>
          <w:szCs w:val="24"/>
          <w14:textFill>
            <w14:solidFill>
              <w14:schemeClr w14:val="tx1"/>
            </w14:solidFill>
          </w14:textFill>
        </w:rPr>
        <w:t>，否则响应文件无效。</w:t>
      </w:r>
      <w:r>
        <w:rPr>
          <w:rFonts w:hint="eastAsia" w:ascii="Tahoma" w:hAnsi="Tahoma" w:cs="Tahoma"/>
          <w:color w:val="000000" w:themeColor="text1"/>
          <w:sz w:val="24"/>
          <w:szCs w:val="24"/>
          <w14:textFill>
            <w14:solidFill>
              <w14:schemeClr w14:val="tx1"/>
            </w14:solidFill>
          </w14:textFill>
        </w:rPr>
        <w:t>如上述资格证明文件遇年检、换证，则必须提供法定年检、换证单位出具的有效证明复印件。</w:t>
      </w:r>
      <w:r>
        <w:rPr>
          <w:rFonts w:hint="eastAsia" w:ascii="宋体" w:hAnsi="宋体"/>
          <w:bCs/>
          <w:color w:val="000000" w:themeColor="text1"/>
          <w:sz w:val="24"/>
          <w:szCs w:val="24"/>
          <w14:textFill>
            <w14:solidFill>
              <w14:schemeClr w14:val="tx1"/>
            </w14:solidFill>
          </w14:textFill>
        </w:rPr>
        <w:t>供应商法定代表人或法定代表人授权代表为外籍、港、澳、台地区人士的，其身份证明须提供有效的护照或港澳同胞来往内地通行证、台湾同胞来往大陆通行证，或其它可在中国大陆有效居留的许可证明。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2" w:firstLineChars="200"/>
        <w:rPr>
          <w:b/>
          <w:bCs/>
          <w:sz w:val="24"/>
          <w:szCs w:val="24"/>
        </w:rPr>
      </w:pPr>
      <w:r>
        <w:rPr>
          <w:rFonts w:hint="eastAsia"/>
          <w:b/>
          <w:bCs/>
          <w:sz w:val="24"/>
          <w:szCs w:val="24"/>
        </w:rPr>
        <w:t>六、响应文件的制作</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1. 响应文件共一式叁份，“正本”壹份、“副本”贰份。在每一份响应文件上要标明“正本”或“副本”字样，一旦正本和副本有差异，以正本为准,正本、副本应分别装订成册并密封。</w:t>
      </w:r>
    </w:p>
    <w:p>
      <w:pPr>
        <w:tabs>
          <w:tab w:val="left" w:pos="525"/>
          <w:tab w:val="left" w:pos="898"/>
          <w:tab w:val="left" w:pos="945"/>
        </w:tabs>
        <w:spacing w:line="360" w:lineRule="auto"/>
        <w:ind w:firstLine="480" w:firstLineChars="200"/>
        <w:rPr>
          <w:rFonts w:ascii="宋体" w:hAnsi="宋体"/>
          <w:sz w:val="24"/>
        </w:rPr>
      </w:pPr>
      <w:r>
        <w:rPr>
          <w:rFonts w:hint="eastAsia" w:ascii="宋体" w:hAnsi="宋体"/>
          <w:sz w:val="24"/>
        </w:rPr>
        <w:t>2. 响应文件密封口须加盖供应商公章、法定代表人或授权委托人签字或盖章，封皮上写明采购编号、采购项目名称、供应商名称。所有响应文件都必须密封盖章。</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3. 如果供应商未按上述要求密封及加写标记，其响应文件将被拒收。采购代理机构对响应文件的误投和提前启封概不负责，对由此造成提前开封的响应文件，采购代理机构有权拒绝。</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所有文件、往来函件均应使用简体中文（规格、型号辅助符号例外）。</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 响应</w:t>
      </w:r>
      <w:r>
        <w:rPr>
          <w:rFonts w:hint="eastAsia" w:ascii="宋体" w:hAnsi="宋体"/>
          <w:bCs/>
          <w:color w:val="000000" w:themeColor="text1"/>
          <w:sz w:val="24"/>
          <w:szCs w:val="24"/>
          <w14:textFill>
            <w14:solidFill>
              <w14:schemeClr w14:val="tx1"/>
            </w14:solidFill>
          </w14:textFill>
        </w:rPr>
        <w:t>文件由供应商按要求如实填写，须有供应商（签章）、法定代表人或法定代表人授权代表签章，方为有效，未尽事宜可自行补充。</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6. 如无特别说明，</w:t>
      </w:r>
      <w:r>
        <w:rPr>
          <w:rFonts w:hint="eastAsia" w:ascii="宋体" w:hAnsi="宋体"/>
          <w:bCs/>
          <w:color w:val="000000" w:themeColor="text1"/>
          <w:sz w:val="24"/>
          <w:szCs w:val="24"/>
          <w14:textFill>
            <w14:solidFill>
              <w14:schemeClr w14:val="tx1"/>
            </w14:solidFill>
          </w14:textFill>
        </w:rPr>
        <w:t>供应商报价一律以人民币为投标结算货币</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结算单位为“元”。</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 报价费用自理。</w:t>
      </w:r>
    </w:p>
    <w:p>
      <w:pPr>
        <w:spacing w:line="360" w:lineRule="auto"/>
        <w:ind w:firstLine="482" w:firstLineChars="200"/>
        <w:rPr>
          <w:b/>
          <w:bCs/>
          <w:sz w:val="24"/>
          <w:szCs w:val="24"/>
        </w:rPr>
      </w:pPr>
      <w:r>
        <w:rPr>
          <w:rFonts w:hint="eastAsia"/>
          <w:b/>
          <w:bCs/>
          <w:sz w:val="24"/>
          <w:szCs w:val="24"/>
        </w:rPr>
        <w:t>七、无效响应文件的确认：</w:t>
      </w:r>
    </w:p>
    <w:p>
      <w:pPr>
        <w:tabs>
          <w:tab w:val="left" w:pos="945"/>
        </w:tabs>
        <w:spacing w:line="360" w:lineRule="auto"/>
        <w:ind w:firstLine="480" w:firstLineChars="200"/>
        <w:rPr>
          <w:rFonts w:ascii="宋体" w:hAnsi="宋体" w:cs="宋体"/>
          <w:sz w:val="24"/>
        </w:rPr>
      </w:pPr>
      <w:r>
        <w:rPr>
          <w:rFonts w:hint="eastAsia" w:ascii="宋体" w:hAnsi="宋体"/>
          <w:sz w:val="24"/>
        </w:rPr>
        <w:t>供应商</w:t>
      </w:r>
      <w:r>
        <w:rPr>
          <w:rFonts w:hint="eastAsia" w:ascii="宋体" w:hAnsi="宋体"/>
          <w:bCs/>
          <w:color w:val="000000" w:themeColor="text1"/>
          <w:sz w:val="24"/>
          <w:szCs w:val="24"/>
          <w14:textFill>
            <w14:solidFill>
              <w14:schemeClr w14:val="tx1"/>
            </w14:solidFill>
          </w14:textFill>
        </w:rPr>
        <w:t>有下列情况之一者，</w:t>
      </w:r>
      <w:r>
        <w:rPr>
          <w:rFonts w:hint="eastAsia" w:ascii="宋体" w:hAnsi="宋体"/>
          <w:sz w:val="24"/>
        </w:rPr>
        <w:t>响应</w:t>
      </w:r>
      <w:r>
        <w:rPr>
          <w:rFonts w:hint="eastAsia" w:ascii="宋体" w:hAnsi="宋体"/>
          <w:bCs/>
          <w:color w:val="000000" w:themeColor="text1"/>
          <w:sz w:val="24"/>
          <w:szCs w:val="24"/>
          <w14:textFill>
            <w14:solidFill>
              <w14:schemeClr w14:val="tx1"/>
            </w14:solidFill>
          </w14:textFill>
        </w:rPr>
        <w:t>文件无效：</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1. 响应</w:t>
      </w:r>
      <w:r>
        <w:rPr>
          <w:rFonts w:hint="eastAsia" w:ascii="宋体" w:hAnsi="宋体" w:cs="宋体"/>
          <w:sz w:val="24"/>
        </w:rPr>
        <w:t>文件</w:t>
      </w:r>
      <w:r>
        <w:rPr>
          <w:rFonts w:hint="eastAsia" w:ascii="宋体" w:hAnsi="宋体" w:cs="宋体"/>
          <w:color w:val="000000" w:themeColor="text1"/>
          <w:sz w:val="24"/>
          <w14:textFill>
            <w14:solidFill>
              <w14:schemeClr w14:val="tx1"/>
            </w14:solidFill>
          </w14:textFill>
        </w:rPr>
        <w:t>封装</w:t>
      </w:r>
      <w:r>
        <w:rPr>
          <w:rFonts w:hint="eastAsia" w:ascii="宋体" w:hAnsi="宋体" w:cs="宋体"/>
          <w:sz w:val="24"/>
        </w:rPr>
        <w:t>未按规定标志、密封、盖章的；</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2. 响应</w:t>
      </w:r>
      <w:r>
        <w:rPr>
          <w:rFonts w:hint="eastAsia" w:ascii="宋体" w:hAnsi="宋体" w:cs="宋体"/>
          <w:sz w:val="24"/>
        </w:rPr>
        <w:t>文件未加盖供应商公章的；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3. 法定</w:t>
      </w:r>
      <w:r>
        <w:rPr>
          <w:rFonts w:hint="eastAsia" w:ascii="宋体" w:hAnsi="宋体" w:cs="宋体"/>
          <w:sz w:val="24"/>
        </w:rPr>
        <w:t>代表人资格证明书或授权委托书未提供的、无供应商公章的、无法定代表人或委托代理人签字或盖章的、非原件的；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不具备采购文件中规定的资格要求或未按采购文件规定的要求提供资格、资信证明文件的；</w:t>
      </w:r>
    </w:p>
    <w:p>
      <w:pPr>
        <w:tabs>
          <w:tab w:val="left" w:pos="762"/>
          <w:tab w:val="left" w:pos="945"/>
        </w:tabs>
        <w:wordWrap w:val="0"/>
        <w:overflowPunct w:val="0"/>
        <w:topLinePunct/>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 被“信用中国”网站（</w:t>
      </w:r>
      <w:r>
        <w:fldChar w:fldCharType="begin"/>
      </w:r>
      <w:r>
        <w:instrText xml:space="preserve"> HYPERLINK "http://www.creditchina.gov.cn" </w:instrText>
      </w:r>
      <w:r>
        <w:fldChar w:fldCharType="separate"/>
      </w:r>
      <w:r>
        <w:rPr>
          <w:rFonts w:hint="eastAsia" w:ascii="宋体" w:hAnsi="宋体"/>
          <w:bCs/>
          <w:color w:val="000000" w:themeColor="text1"/>
          <w:sz w:val="24"/>
          <w:szCs w:val="24"/>
          <w14:textFill>
            <w14:solidFill>
              <w14:schemeClr w14:val="tx1"/>
            </w14:solidFill>
          </w14:textFill>
        </w:rPr>
        <w:t>www.creditchina.gov.cn</w:t>
      </w:r>
      <w:r>
        <w:rPr>
          <w:rFonts w:hint="eastAsia" w:ascii="宋体" w:hAnsi="宋体"/>
          <w:bCs/>
          <w:color w:val="000000" w:themeColor="text1"/>
          <w:sz w:val="24"/>
          <w:szCs w:val="24"/>
          <w14:textFill>
            <w14:solidFill>
              <w14:schemeClr w14:val="tx1"/>
            </w14:solidFill>
          </w14:textFill>
        </w:rPr>
        <w:fldChar w:fldCharType="end"/>
      </w:r>
      <w:r>
        <w:rPr>
          <w:rFonts w:hint="eastAsia" w:ascii="宋体" w:hAnsi="宋体"/>
          <w:bCs/>
          <w:color w:val="000000" w:themeColor="text1"/>
          <w:sz w:val="24"/>
          <w:szCs w:val="24"/>
          <w14:textFill>
            <w14:solidFill>
              <w14:schemeClr w14:val="tx1"/>
            </w14:solidFill>
          </w14:textFill>
        </w:rPr>
        <w:t>）、中国政府采购网(www.ccgp.gov.cn)列入失信被执行人、重大税收违法案件当事人名单、</w:t>
      </w:r>
      <w:r>
        <w:rPr>
          <w:rFonts w:hint="eastAsia" w:ascii="宋体" w:hAnsi="宋体"/>
          <w:color w:val="000000" w:themeColor="text1"/>
          <w:sz w:val="24"/>
          <w:szCs w:val="24"/>
          <w14:textFill>
            <w14:solidFill>
              <w14:schemeClr w14:val="tx1"/>
            </w14:solidFill>
          </w14:textFill>
        </w:rPr>
        <w:t>政府采购严重违法失信行为记录名单的；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sz w:val="24"/>
        </w:rPr>
        <w:t>6. 响应</w:t>
      </w:r>
      <w:r>
        <w:rPr>
          <w:rFonts w:hint="eastAsia" w:ascii="宋体" w:hAnsi="宋体"/>
          <w:bCs/>
          <w:color w:val="000000" w:themeColor="text1"/>
          <w:sz w:val="24"/>
          <w:szCs w:val="24"/>
          <w14:textFill>
            <w14:solidFill>
              <w14:schemeClr w14:val="tx1"/>
            </w14:solidFill>
          </w14:textFill>
        </w:rPr>
        <w:t>文件未按采购文件规定的内容和要求填写的；</w:t>
      </w:r>
      <w:r>
        <w:rPr>
          <w:rFonts w:ascii="宋体" w:hAnsi="宋体"/>
          <w:bCs/>
          <w:color w:val="000000" w:themeColor="text1"/>
          <w:sz w:val="24"/>
          <w:szCs w:val="24"/>
          <w14:textFill>
            <w14:solidFill>
              <w14:schemeClr w14:val="tx1"/>
            </w14:solidFill>
          </w14:textFill>
        </w:rPr>
        <w:t xml:space="preserve"> </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7. 响应</w:t>
      </w:r>
      <w:r>
        <w:rPr>
          <w:rFonts w:hint="eastAsia" w:ascii="宋体" w:hAnsi="宋体"/>
          <w:bCs/>
          <w:color w:val="000000" w:themeColor="text1"/>
          <w:sz w:val="24"/>
          <w:szCs w:val="24"/>
          <w14:textFill>
            <w14:solidFill>
              <w14:schemeClr w14:val="tx1"/>
            </w14:solidFill>
          </w14:textFill>
        </w:rPr>
        <w:t>文件中有采购文件未允许提供的选择性内容；</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 不同供应商委托同一单位或者个人办理报价事宜的；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 不同供应商的单位负责人为同一人或者存在直接控股、管理关系的；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10.不同供应商的响应文件由同一单位或者同一个人编制的；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11.不同供应商响应文件内容存在非正常一致、项目组成员出现同一人、响应文件中错误（或异常）一致或雷同、报价呈规律性差异的；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12.不同供应商的报价资料相互混装、不同供应商的委托代理人、项目负责人以及其他相关人员有在同一个单位缴纳社会保险、同一响应文件中单位名称落款与公章不是同一单位的；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13.项目（标段）报价总价超过本项目（标段）预算或最高限价的；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14.提供虚假材料的（包括工商营业执照、财务报表、资格证明文件等）；</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15.响应文件含有采购人不能接受的附加条件的；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16.评审委员会认定供应商的报价明显低于其他通过符合性审查供应商的报价，有可能影响产品质量或者不能诚信履约，且供应商不能应评审委员会要求在评审现场合理的时间内提供书面说明（必要时评审委员会可要求供应商提交相关证明材料）证明其报价合理性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17.除单一来源采购项目外，为采购项目提供整体设计、规范编制或者项目管理、监理、检测等服务的；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18.响应文件内容不全或不符合采购文件中规定的其它实质性要求的；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19.法律法规和采购文件规定的其它无效情形。</w:t>
      </w:r>
    </w:p>
    <w:p>
      <w:pPr>
        <w:spacing w:line="360" w:lineRule="auto"/>
        <w:ind w:firstLine="482" w:firstLineChars="200"/>
        <w:rPr>
          <w:b/>
          <w:bCs/>
          <w:sz w:val="24"/>
          <w:szCs w:val="24"/>
        </w:rPr>
      </w:pPr>
      <w:r>
        <w:rPr>
          <w:rFonts w:hint="eastAsia"/>
          <w:b/>
          <w:bCs/>
          <w:sz w:val="24"/>
          <w:szCs w:val="24"/>
        </w:rPr>
        <w:t>八、磋商、评审</w:t>
      </w:r>
    </w:p>
    <w:p>
      <w:pPr>
        <w:tabs>
          <w:tab w:val="left" w:pos="630"/>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磋商、评审工作由</w:t>
      </w:r>
      <w:r>
        <w:rPr>
          <w:rFonts w:hint="eastAsia" w:ascii="宋体" w:hAnsi="宋体"/>
          <w:sz w:val="24"/>
        </w:rPr>
        <w:t>采购代理机构</w:t>
      </w:r>
      <w:r>
        <w:rPr>
          <w:rFonts w:hint="eastAsia" w:ascii="宋体" w:hAnsi="宋体"/>
          <w:bCs/>
          <w:color w:val="000000"/>
          <w:sz w:val="24"/>
          <w:szCs w:val="24"/>
        </w:rPr>
        <w:t>负责组织。</w:t>
      </w:r>
    </w:p>
    <w:p>
      <w:pPr>
        <w:tabs>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具体磋商、评审事务由依法组建的磋商小组负责。如有争议最终由磋商小组认定。</w:t>
      </w:r>
    </w:p>
    <w:p>
      <w:pPr>
        <w:numPr>
          <w:ilvl w:val="1"/>
          <w:numId w:val="3"/>
        </w:numPr>
        <w:tabs>
          <w:tab w:val="left" w:pos="525"/>
          <w:tab w:val="left" w:pos="630"/>
          <w:tab w:val="left" w:pos="945"/>
          <w:tab w:val="clear" w:pos="1290"/>
        </w:tabs>
        <w:spacing w:line="360" w:lineRule="auto"/>
        <w:ind w:left="0" w:firstLine="480" w:firstLineChars="200"/>
        <w:rPr>
          <w:rFonts w:ascii="宋体" w:hAnsi="宋体"/>
          <w:bCs/>
          <w:color w:val="000000"/>
          <w:sz w:val="24"/>
          <w:szCs w:val="24"/>
        </w:rPr>
      </w:pPr>
      <w:r>
        <w:rPr>
          <w:rFonts w:hint="eastAsia" w:ascii="宋体" w:hAnsi="宋体"/>
          <w:bCs/>
          <w:color w:val="000000"/>
          <w:sz w:val="24"/>
          <w:szCs w:val="24"/>
        </w:rPr>
        <w:t>响应文件的审查</w:t>
      </w:r>
    </w:p>
    <w:p>
      <w:pPr>
        <w:tabs>
          <w:tab w:val="left" w:pos="510"/>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w:t>
      </w:r>
      <w:r>
        <w:rPr>
          <w:rFonts w:ascii="宋体" w:hAnsi="宋体"/>
          <w:bCs/>
          <w:color w:val="000000"/>
          <w:sz w:val="24"/>
          <w:szCs w:val="24"/>
        </w:rPr>
        <w:t>报价</w:t>
      </w:r>
      <w:r>
        <w:rPr>
          <w:rFonts w:hint="eastAsia" w:ascii="宋体" w:hAnsi="宋体"/>
          <w:bCs/>
          <w:color w:val="000000"/>
          <w:sz w:val="24"/>
          <w:szCs w:val="24"/>
        </w:rPr>
        <w:t>一览表</w:t>
      </w:r>
      <w:r>
        <w:rPr>
          <w:rFonts w:ascii="宋体" w:hAnsi="宋体"/>
          <w:bCs/>
          <w:color w:val="000000"/>
          <w:sz w:val="24"/>
          <w:szCs w:val="24"/>
        </w:rPr>
        <w:t>内容与明细表内容不一致的，以报价</w:t>
      </w:r>
      <w:r>
        <w:rPr>
          <w:rFonts w:hint="eastAsia" w:ascii="宋体" w:hAnsi="宋体"/>
          <w:bCs/>
          <w:color w:val="000000"/>
          <w:sz w:val="24"/>
          <w:szCs w:val="24"/>
        </w:rPr>
        <w:t>一览表</w:t>
      </w:r>
      <w:r>
        <w:rPr>
          <w:rFonts w:ascii="宋体" w:hAnsi="宋体"/>
          <w:bCs/>
          <w:color w:val="000000"/>
          <w:sz w:val="24"/>
          <w:szCs w:val="24"/>
        </w:rPr>
        <w:t>为准</w:t>
      </w:r>
      <w:r>
        <w:rPr>
          <w:rFonts w:hint="eastAsia" w:ascii="宋体" w:hAnsi="宋体"/>
          <w:bCs/>
          <w:color w:val="000000"/>
          <w:sz w:val="24"/>
          <w:szCs w:val="24"/>
        </w:rPr>
        <w:t>。</w:t>
      </w:r>
    </w:p>
    <w:p>
      <w:pPr>
        <w:tabs>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510"/>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（2）正本与副本不符，以正本为准。</w:t>
      </w:r>
    </w:p>
    <w:p>
      <w:pPr>
        <w:numPr>
          <w:ilvl w:val="1"/>
          <w:numId w:val="3"/>
        </w:numPr>
        <w:tabs>
          <w:tab w:val="left" w:pos="525"/>
          <w:tab w:val="left" w:pos="840"/>
          <w:tab w:val="left" w:pos="945"/>
          <w:tab w:val="clear" w:pos="1290"/>
        </w:tabs>
        <w:spacing w:line="360" w:lineRule="auto"/>
        <w:ind w:left="0" w:firstLine="480" w:firstLineChars="200"/>
        <w:rPr>
          <w:rFonts w:ascii="宋体" w:hAnsi="宋体"/>
          <w:bCs/>
          <w:color w:val="000000"/>
          <w:sz w:val="24"/>
          <w:szCs w:val="24"/>
        </w:rPr>
      </w:pPr>
      <w:r>
        <w:rPr>
          <w:rFonts w:hint="eastAsia" w:ascii="宋体" w:hAnsi="宋体"/>
          <w:bCs/>
          <w:color w:val="000000"/>
          <w:sz w:val="24"/>
        </w:rPr>
        <w:t>磋商、</w:t>
      </w:r>
      <w:r>
        <w:rPr>
          <w:rFonts w:ascii="宋体" w:hAnsi="宋体"/>
          <w:bCs/>
          <w:color w:val="000000"/>
          <w:sz w:val="24"/>
        </w:rPr>
        <w:t>评</w:t>
      </w:r>
      <w:r>
        <w:rPr>
          <w:rFonts w:hint="eastAsia" w:ascii="宋体" w:hAnsi="宋体"/>
          <w:bCs/>
          <w:color w:val="000000"/>
          <w:sz w:val="24"/>
        </w:rPr>
        <w:t>审</w:t>
      </w:r>
      <w:r>
        <w:rPr>
          <w:rFonts w:ascii="宋体" w:hAnsi="宋体"/>
          <w:bCs/>
          <w:color w:val="000000"/>
          <w:sz w:val="24"/>
        </w:rPr>
        <w:t>程序</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rPr>
        <w:t>（1）</w:t>
      </w:r>
      <w:r>
        <w:rPr>
          <w:rFonts w:ascii="宋体" w:hAnsi="宋体"/>
          <w:bCs/>
          <w:color w:val="000000"/>
          <w:sz w:val="24"/>
        </w:rPr>
        <w:t>响应文件初审。初审分为资格性审查和符合性审查</w:t>
      </w:r>
      <w:r>
        <w:rPr>
          <w:rFonts w:ascii="宋体" w:hAnsi="宋体"/>
          <w:bCs/>
          <w:color w:val="000000"/>
          <w:sz w:val="24"/>
          <w:szCs w:val="24"/>
        </w:rPr>
        <w:t>。</w:t>
      </w:r>
      <w:r>
        <w:rPr>
          <w:rFonts w:hint="eastAsia" w:ascii="宋体" w:hAnsi="宋体"/>
          <w:bCs/>
          <w:color w:val="000000"/>
          <w:sz w:val="24"/>
          <w:szCs w:val="24"/>
        </w:rPr>
        <w:t xml:space="preserve"> </w:t>
      </w:r>
    </w:p>
    <w:p>
      <w:pPr>
        <w:numPr>
          <w:ilvl w:val="0"/>
          <w:numId w:val="4"/>
        </w:numPr>
        <w:tabs>
          <w:tab w:val="left" w:pos="210"/>
          <w:tab w:val="left" w:pos="945"/>
          <w:tab w:val="left" w:pos="1365"/>
          <w:tab w:val="clear" w:pos="570"/>
        </w:tabs>
        <w:spacing w:line="360" w:lineRule="auto"/>
        <w:ind w:left="0" w:firstLine="480" w:firstLineChars="200"/>
        <w:rPr>
          <w:rFonts w:ascii="宋体" w:hAnsi="宋体"/>
          <w:bCs/>
          <w:color w:val="000000"/>
          <w:sz w:val="24"/>
        </w:rPr>
      </w:pPr>
      <w:r>
        <w:rPr>
          <w:rFonts w:ascii="宋体" w:hAnsi="宋体"/>
          <w:bCs/>
          <w:color w:val="000000"/>
          <w:sz w:val="24"/>
        </w:rPr>
        <w:t>资格性审查。依据法律法规和采购文件的规定，对响应文件中的资格证明、</w:t>
      </w:r>
      <w:r>
        <w:rPr>
          <w:rFonts w:hint="eastAsia" w:ascii="宋体" w:hAnsi="宋体"/>
          <w:bCs/>
          <w:color w:val="000000"/>
          <w:sz w:val="24"/>
        </w:rPr>
        <w:t>投标</w:t>
      </w:r>
      <w:r>
        <w:rPr>
          <w:rFonts w:ascii="宋体" w:hAnsi="宋体"/>
          <w:bCs/>
          <w:color w:val="000000"/>
          <w:sz w:val="24"/>
        </w:rPr>
        <w:t>保证金等进行审查</w:t>
      </w:r>
      <w:r>
        <w:rPr>
          <w:rFonts w:hint="eastAsia" w:ascii="宋体" w:hAnsi="宋体"/>
          <w:bCs/>
          <w:color w:val="000000"/>
          <w:sz w:val="24"/>
        </w:rPr>
        <w:t>；</w:t>
      </w:r>
      <w:r>
        <w:rPr>
          <w:rFonts w:hint="eastAsia" w:ascii="宋体" w:hAnsi="宋体"/>
          <w:bCs/>
          <w:color w:val="000000"/>
          <w:sz w:val="24"/>
          <w:szCs w:val="24"/>
        </w:rPr>
        <w:t>通过“信用中国”网站（</w:t>
      </w:r>
      <w:r>
        <w:fldChar w:fldCharType="begin"/>
      </w:r>
      <w:r>
        <w:instrText xml:space="preserve"> HYPERLINK "http://www.creditchina.gov.cn" </w:instrText>
      </w:r>
      <w:r>
        <w:fldChar w:fldCharType="separate"/>
      </w:r>
      <w:r>
        <w:rPr>
          <w:rFonts w:hint="eastAsia" w:ascii="宋体" w:hAnsi="宋体"/>
          <w:bCs/>
          <w:color w:val="000000"/>
          <w:sz w:val="24"/>
          <w:szCs w:val="24"/>
        </w:rPr>
        <w:t>www.creditchina.gov.cn</w:t>
      </w:r>
      <w:r>
        <w:rPr>
          <w:rFonts w:hint="eastAsia" w:ascii="宋体" w:hAnsi="宋体"/>
          <w:bCs/>
          <w:color w:val="000000"/>
          <w:sz w:val="24"/>
          <w:szCs w:val="24"/>
        </w:rPr>
        <w:fldChar w:fldCharType="end"/>
      </w:r>
      <w:r>
        <w:rPr>
          <w:rFonts w:hint="eastAsia" w:ascii="宋体" w:hAnsi="宋体"/>
          <w:bCs/>
          <w:color w:val="000000"/>
          <w:sz w:val="24"/>
          <w:szCs w:val="24"/>
        </w:rPr>
        <w:t>）查询报价供应商在报价截止时间之前，是否被列入</w:t>
      </w:r>
      <w:r>
        <w:rPr>
          <w:rFonts w:hint="eastAsia" w:ascii="宋体" w:hAnsi="宋体"/>
          <w:color w:val="000000"/>
          <w:sz w:val="24"/>
          <w:szCs w:val="24"/>
        </w:rPr>
        <w:t>失信被执行人、重大税收违法案件当事人名单、政府采购严重违法失信行为记录名单，</w:t>
      </w:r>
      <w:r>
        <w:rPr>
          <w:rFonts w:hint="eastAsia" w:ascii="宋体" w:hAnsi="宋体"/>
          <w:bCs/>
          <w:color w:val="000000"/>
          <w:sz w:val="24"/>
        </w:rPr>
        <w:t>以确定供应商是否具备报价资格。</w:t>
      </w:r>
    </w:p>
    <w:p>
      <w:pPr>
        <w:numPr>
          <w:ilvl w:val="0"/>
          <w:numId w:val="4"/>
        </w:numPr>
        <w:tabs>
          <w:tab w:val="left" w:pos="210"/>
          <w:tab w:val="left" w:pos="945"/>
          <w:tab w:val="left" w:pos="1365"/>
          <w:tab w:val="clear" w:pos="570"/>
        </w:tabs>
        <w:spacing w:line="360" w:lineRule="auto"/>
        <w:ind w:left="0" w:firstLine="523" w:firstLineChars="218"/>
        <w:rPr>
          <w:rFonts w:ascii="宋体" w:hAnsi="宋体"/>
          <w:bCs/>
          <w:color w:val="000000"/>
          <w:sz w:val="24"/>
        </w:rPr>
      </w:pPr>
      <w:r>
        <w:rPr>
          <w:rFonts w:ascii="宋体" w:hAnsi="宋体"/>
          <w:bCs/>
          <w:color w:val="000000"/>
          <w:sz w:val="24"/>
        </w:rPr>
        <w:t>符合性审查。依据采购文件的规定，从响应文件的有效性、完整性和对采购文件的响应程度进行审查，以确定是否对采购文件的实质性要求作出响应</w:t>
      </w:r>
      <w:r>
        <w:rPr>
          <w:rFonts w:hint="eastAsia" w:ascii="宋体" w:hAnsi="宋体"/>
          <w:bCs/>
          <w:color w:val="000000"/>
          <w:sz w:val="24"/>
        </w:rPr>
        <w:t>。</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w:t>
      </w:r>
      <w:r>
        <w:rPr>
          <w:rFonts w:ascii="宋体" w:hAnsi="宋体"/>
          <w:bCs/>
          <w:color w:val="000000"/>
          <w:sz w:val="24"/>
          <w:szCs w:val="24"/>
        </w:rPr>
        <w:t>澄清有关问题。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w:t>
      </w:r>
      <w:r>
        <w:rPr>
          <w:rFonts w:hint="eastAsia" w:ascii="宋体" w:hAnsi="宋体"/>
          <w:bCs/>
          <w:color w:val="000000"/>
          <w:sz w:val="24"/>
          <w:szCs w:val="24"/>
        </w:rPr>
        <w:t>。</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（3）磋商小组讨论、确定磋商程序和磋商内容。</w:t>
      </w:r>
    </w:p>
    <w:p>
      <w:pPr>
        <w:tabs>
          <w:tab w:val="left" w:pos="945"/>
          <w:tab w:val="left" w:pos="1104"/>
        </w:tabs>
        <w:spacing w:line="360" w:lineRule="auto"/>
        <w:ind w:firstLine="482" w:firstLineChars="200"/>
        <w:rPr>
          <w:rFonts w:ascii="宋体" w:hAnsi="宋体"/>
          <w:b/>
          <w:bCs/>
          <w:color w:val="000000"/>
          <w:sz w:val="24"/>
          <w:szCs w:val="24"/>
        </w:rPr>
      </w:pPr>
      <w:r>
        <w:rPr>
          <w:rFonts w:hint="eastAsia" w:ascii="宋体" w:hAnsi="宋体"/>
          <w:b/>
          <w:bCs/>
          <w:color w:val="000000"/>
          <w:sz w:val="24"/>
          <w:szCs w:val="24"/>
          <w:highlight w:val="yellow"/>
        </w:rPr>
        <w:t>（4）响应文件中的报价即为最终报价。</w:t>
      </w:r>
    </w:p>
    <w:p>
      <w:pPr>
        <w:tabs>
          <w:tab w:val="left" w:pos="945"/>
          <w:tab w:val="left" w:pos="1104"/>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（5）</w:t>
      </w:r>
      <w:r>
        <w:rPr>
          <w:rFonts w:ascii="宋体" w:hAnsi="宋体"/>
          <w:bCs/>
          <w:color w:val="000000"/>
          <w:sz w:val="24"/>
          <w:szCs w:val="24"/>
        </w:rPr>
        <w:t>在磋商过程中，磋商小组可以根据采购文件和磋商情况实质性变动采购需求中的技术、服务要求以及合同草案条款，但不得变动采购文件中的其他内容。对采购文件作出的实质性变动是采购文件的有效组成部分</w:t>
      </w:r>
      <w:r>
        <w:rPr>
          <w:rFonts w:hint="eastAsia" w:ascii="宋体" w:hAnsi="宋体"/>
          <w:bCs/>
          <w:color w:val="000000"/>
          <w:sz w:val="24"/>
          <w:szCs w:val="24"/>
        </w:rPr>
        <w:t>。如有实质性变动，磋商小组将以书面形式通知所有参加磋商的供应商。</w:t>
      </w:r>
      <w:r>
        <w:rPr>
          <w:rFonts w:ascii="宋体" w:hAnsi="宋体"/>
          <w:bCs/>
          <w:color w:val="000000"/>
          <w:sz w:val="24"/>
          <w:szCs w:val="24"/>
        </w:rPr>
        <w:t>供应商应当按照采购文件的变动情况和磋商小组的要求</w:t>
      </w:r>
      <w:r>
        <w:rPr>
          <w:rFonts w:hint="eastAsia" w:ascii="宋体" w:hAnsi="宋体"/>
          <w:bCs/>
          <w:color w:val="000000"/>
          <w:sz w:val="24"/>
          <w:szCs w:val="24"/>
        </w:rPr>
        <w:t>在规定的时间内</w:t>
      </w:r>
      <w:r>
        <w:rPr>
          <w:rFonts w:ascii="宋体" w:hAnsi="宋体"/>
          <w:bCs/>
          <w:color w:val="000000"/>
          <w:sz w:val="24"/>
          <w:szCs w:val="24"/>
        </w:rPr>
        <w:t>重新提交响应文件，并由其法定代表人或授权代表签字或者加盖公章。</w:t>
      </w:r>
      <w:r>
        <w:rPr>
          <w:rFonts w:hint="eastAsia" w:ascii="宋体" w:hAnsi="宋体"/>
          <w:bCs/>
          <w:color w:val="000000"/>
          <w:sz w:val="24"/>
          <w:szCs w:val="24"/>
        </w:rPr>
        <w:t>如有负偏离，将作为无效报价。</w:t>
      </w:r>
    </w:p>
    <w:p>
      <w:pPr>
        <w:tabs>
          <w:tab w:val="left" w:pos="945"/>
        </w:tabs>
        <w:spacing w:line="360" w:lineRule="auto"/>
        <w:ind w:firstLine="480" w:firstLineChars="200"/>
        <w:rPr>
          <w:rFonts w:ascii="宋体" w:hAnsi="宋体"/>
          <w:bCs/>
          <w:color w:val="000000"/>
          <w:sz w:val="24"/>
        </w:rPr>
      </w:pPr>
      <w:r>
        <w:rPr>
          <w:rFonts w:hint="eastAsia" w:ascii="宋体" w:hAnsi="宋体"/>
          <w:bCs/>
          <w:color w:val="000000"/>
          <w:sz w:val="24"/>
        </w:rPr>
        <w:t>3. 评审方法</w:t>
      </w:r>
    </w:p>
    <w:p>
      <w:pPr>
        <w:tabs>
          <w:tab w:val="left" w:pos="900"/>
        </w:tabs>
        <w:spacing w:line="360" w:lineRule="auto"/>
        <w:ind w:firstLine="477" w:firstLineChars="199"/>
        <w:rPr>
          <w:rFonts w:ascii="宋体" w:hAnsi="宋体"/>
          <w:sz w:val="24"/>
          <w:szCs w:val="24"/>
        </w:rPr>
      </w:pPr>
      <w:r>
        <w:rPr>
          <w:rFonts w:hint="eastAsia" w:ascii="宋体" w:hAnsi="宋体"/>
          <w:sz w:val="24"/>
          <w:szCs w:val="24"/>
        </w:rPr>
        <w:t>经磋商确定最终采购需求和提交最后报价的供应商后，由磋商小组采用综合评分法对提交最后报价的供应商的响应文件和最后报价进行综合评分。</w:t>
      </w:r>
    </w:p>
    <w:p>
      <w:pPr>
        <w:tabs>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磋商小组遵循公平、公正、择优原则，独立按照评分标准分别评定供应商的分值；各供应商的评审得分为各评委所评定分值的平均值，并按高低顺序排列，响应文件满足采购文件全部实质性要求且按评审因素的量化指标评审得分最高的供应商排名第一，为成交单位。若评审</w:t>
      </w:r>
      <w:r>
        <w:rPr>
          <w:rFonts w:ascii="宋体" w:hAnsi="宋体"/>
          <w:bCs/>
          <w:color w:val="000000"/>
          <w:sz w:val="24"/>
          <w:szCs w:val="24"/>
        </w:rPr>
        <w:t>得分相同</w:t>
      </w:r>
      <w:r>
        <w:rPr>
          <w:rFonts w:hint="eastAsia" w:ascii="宋体" w:hAnsi="宋体"/>
          <w:bCs/>
          <w:color w:val="000000"/>
          <w:sz w:val="24"/>
          <w:szCs w:val="24"/>
        </w:rPr>
        <w:t>的</w:t>
      </w:r>
      <w:r>
        <w:rPr>
          <w:rFonts w:ascii="宋体" w:hAnsi="宋体"/>
          <w:bCs/>
          <w:color w:val="000000"/>
          <w:sz w:val="24"/>
          <w:szCs w:val="24"/>
        </w:rPr>
        <w:t>，按</w:t>
      </w:r>
      <w:r>
        <w:rPr>
          <w:rFonts w:hint="eastAsia" w:ascii="宋体" w:hAnsi="宋体"/>
          <w:bCs/>
          <w:color w:val="000000"/>
          <w:sz w:val="24"/>
          <w:szCs w:val="24"/>
        </w:rPr>
        <w:t>最后</w:t>
      </w:r>
      <w:r>
        <w:rPr>
          <w:rFonts w:ascii="宋体" w:hAnsi="宋体"/>
          <w:bCs/>
          <w:color w:val="000000"/>
          <w:sz w:val="24"/>
          <w:szCs w:val="24"/>
        </w:rPr>
        <w:t>报价由低到高顺序排列</w:t>
      </w:r>
      <w:r>
        <w:rPr>
          <w:rFonts w:hint="eastAsia" w:ascii="宋体" w:hAnsi="宋体"/>
          <w:bCs/>
          <w:color w:val="000000"/>
          <w:sz w:val="24"/>
          <w:szCs w:val="24"/>
        </w:rPr>
        <w:t>；评审</w:t>
      </w:r>
      <w:r>
        <w:rPr>
          <w:rFonts w:ascii="宋体" w:hAnsi="宋体"/>
          <w:bCs/>
          <w:color w:val="000000"/>
          <w:sz w:val="24"/>
          <w:szCs w:val="24"/>
        </w:rPr>
        <w:t>得分且</w:t>
      </w:r>
      <w:r>
        <w:rPr>
          <w:rFonts w:hint="eastAsia" w:ascii="宋体" w:hAnsi="宋体"/>
          <w:bCs/>
          <w:color w:val="000000"/>
          <w:sz w:val="24"/>
          <w:szCs w:val="24"/>
        </w:rPr>
        <w:t>最后</w:t>
      </w:r>
      <w:r>
        <w:rPr>
          <w:rFonts w:ascii="宋体" w:hAnsi="宋体"/>
          <w:bCs/>
          <w:color w:val="000000"/>
          <w:sz w:val="24"/>
          <w:szCs w:val="24"/>
        </w:rPr>
        <w:t>报价相同</w:t>
      </w:r>
      <w:r>
        <w:rPr>
          <w:rFonts w:hint="eastAsia" w:ascii="宋体" w:hAnsi="宋体"/>
          <w:bCs/>
          <w:color w:val="000000"/>
          <w:sz w:val="24"/>
          <w:szCs w:val="24"/>
        </w:rPr>
        <w:t>的</w:t>
      </w:r>
      <w:r>
        <w:rPr>
          <w:rFonts w:ascii="宋体" w:hAnsi="宋体"/>
          <w:bCs/>
          <w:color w:val="000000"/>
          <w:sz w:val="24"/>
          <w:szCs w:val="24"/>
        </w:rPr>
        <w:t>，</w:t>
      </w:r>
      <w:r>
        <w:rPr>
          <w:rFonts w:hint="eastAsia" w:ascii="宋体" w:hAnsi="宋体"/>
          <w:bCs/>
          <w:color w:val="000000"/>
          <w:sz w:val="24"/>
          <w:szCs w:val="24"/>
        </w:rPr>
        <w:t>按</w:t>
      </w:r>
      <w:r>
        <w:rPr>
          <w:rFonts w:ascii="宋体" w:hAnsi="宋体"/>
          <w:bCs/>
          <w:color w:val="000000"/>
          <w:sz w:val="24"/>
          <w:szCs w:val="24"/>
        </w:rPr>
        <w:t>技术指标优劣顺序排列</w:t>
      </w:r>
      <w:r>
        <w:rPr>
          <w:rFonts w:hint="eastAsia" w:ascii="宋体" w:hAnsi="宋体"/>
          <w:bCs/>
          <w:color w:val="000000"/>
          <w:sz w:val="24"/>
          <w:szCs w:val="24"/>
        </w:rPr>
        <w:t>。</w:t>
      </w:r>
    </w:p>
    <w:p>
      <w:pPr>
        <w:tabs>
          <w:tab w:val="left" w:pos="945"/>
        </w:tabs>
        <w:spacing w:line="360" w:lineRule="auto"/>
        <w:ind w:firstLine="480" w:firstLineChars="200"/>
        <w:rPr>
          <w:rFonts w:ascii="宋体" w:hAnsi="宋体"/>
          <w:bCs/>
          <w:color w:val="000000"/>
          <w:sz w:val="24"/>
        </w:rPr>
      </w:pPr>
      <w:r>
        <w:rPr>
          <w:rFonts w:hint="eastAsia" w:ascii="宋体" w:hAnsi="宋体"/>
          <w:bCs/>
          <w:color w:val="000000"/>
          <w:sz w:val="24"/>
        </w:rPr>
        <w:t>4. 评分标准</w:t>
      </w:r>
    </w:p>
    <w:p>
      <w:pPr>
        <w:tabs>
          <w:tab w:val="left" w:pos="945"/>
        </w:tabs>
        <w:spacing w:line="360" w:lineRule="auto"/>
        <w:ind w:firstLine="480" w:firstLineChars="200"/>
        <w:rPr>
          <w:rFonts w:ascii="宋体" w:hAnsi="宋体"/>
          <w:bCs/>
          <w:sz w:val="24"/>
        </w:rPr>
      </w:pPr>
      <w:r>
        <w:rPr>
          <w:rFonts w:hint="eastAsia" w:ascii="宋体" w:hAnsi="宋体"/>
          <w:bCs/>
          <w:sz w:val="24"/>
        </w:rPr>
        <w:t>详见第五章 评分标准。</w:t>
      </w:r>
    </w:p>
    <w:p>
      <w:pPr>
        <w:spacing w:line="360" w:lineRule="auto"/>
        <w:ind w:firstLine="482" w:firstLineChars="200"/>
        <w:rPr>
          <w:b/>
          <w:bCs/>
          <w:sz w:val="24"/>
          <w:szCs w:val="24"/>
        </w:rPr>
      </w:pPr>
      <w:r>
        <w:rPr>
          <w:rFonts w:hint="eastAsia"/>
          <w:b/>
          <w:bCs/>
          <w:sz w:val="24"/>
          <w:szCs w:val="24"/>
        </w:rPr>
        <w:t>九、确定成交供应商</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 磋商小组根据采购文件规定的评审方法和评分标准进行评审，按采购文件的要求依法确定成交供应商。</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 采购代理机构将评审结果通知所有参加报价的未成交供应商，并在“政采云”市场资源交易服务中心（平台）（http://www.czzczb.com/）发布成交公告。采购代理机构和磋商小组对未成交原因不做解释。</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sz w:val="24"/>
        </w:rPr>
        <w:t>3. 采购代理机构</w:t>
      </w:r>
      <w:r>
        <w:rPr>
          <w:rFonts w:hint="eastAsia" w:ascii="宋体" w:hAnsi="宋体"/>
          <w:bCs/>
          <w:color w:val="000000"/>
          <w:sz w:val="24"/>
          <w:szCs w:val="24"/>
        </w:rPr>
        <w:t>向成交供应商发成交通知书。</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themeColor="text1"/>
          <w:sz w:val="24"/>
          <w:szCs w:val="24"/>
          <w14:textFill>
            <w14:solidFill>
              <w14:schemeClr w14:val="tx1"/>
            </w14:solidFill>
          </w14:textFill>
        </w:rPr>
        <w:t>4. 报价供应商提交的纸质响应文件将作为存档依据，不予退回</w:t>
      </w:r>
      <w:r>
        <w:rPr>
          <w:rFonts w:hint="eastAsia" w:ascii="宋体" w:hAnsi="宋体"/>
          <w:bCs/>
          <w:color w:val="000000"/>
          <w:sz w:val="24"/>
          <w:szCs w:val="24"/>
        </w:rPr>
        <w:t>。</w:t>
      </w:r>
    </w:p>
    <w:p>
      <w:pPr>
        <w:spacing w:line="360" w:lineRule="auto"/>
        <w:ind w:firstLine="482" w:firstLineChars="200"/>
        <w:rPr>
          <w:b/>
          <w:bCs/>
          <w:sz w:val="24"/>
          <w:szCs w:val="24"/>
        </w:rPr>
      </w:pPr>
      <w:r>
        <w:rPr>
          <w:rFonts w:hint="eastAsia"/>
          <w:b/>
          <w:bCs/>
          <w:sz w:val="24"/>
          <w:szCs w:val="24"/>
        </w:rPr>
        <w:t>十、采购终止</w:t>
      </w:r>
    </w:p>
    <w:p>
      <w:pPr>
        <w:spacing w:line="360" w:lineRule="auto"/>
        <w:ind w:firstLine="523" w:firstLineChars="218"/>
        <w:rPr>
          <w:rFonts w:ascii="宋体" w:hAnsi="宋体"/>
          <w:bCs/>
          <w:color w:val="000000"/>
          <w:sz w:val="24"/>
          <w:szCs w:val="24"/>
        </w:rPr>
      </w:pPr>
      <w:r>
        <w:rPr>
          <w:rFonts w:hint="eastAsia" w:ascii="宋体" w:hAnsi="宋体"/>
          <w:bCs/>
          <w:color w:val="000000"/>
          <w:sz w:val="24"/>
          <w:szCs w:val="24"/>
        </w:rPr>
        <w:t>在竞争性磋商采购中，出现下列情况之一的，本次采购活动终止：</w:t>
      </w:r>
    </w:p>
    <w:p>
      <w:pPr>
        <w:tabs>
          <w:tab w:val="right" w:pos="180"/>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1. </w:t>
      </w:r>
      <w:r>
        <w:rPr>
          <w:rFonts w:ascii="宋体" w:hAnsi="宋体"/>
          <w:bCs/>
          <w:color w:val="000000"/>
          <w:sz w:val="24"/>
          <w:szCs w:val="24"/>
        </w:rPr>
        <w:t>因情况变化，不再符合规定的竞争性磋商采购方式适用情形的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2. </w:t>
      </w:r>
      <w:r>
        <w:rPr>
          <w:rFonts w:ascii="宋体" w:hAnsi="宋体"/>
          <w:bCs/>
          <w:color w:val="000000"/>
          <w:sz w:val="24"/>
          <w:szCs w:val="24"/>
        </w:rPr>
        <w:t>出现影响采购公正的违法、违规行为的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 除《</w:t>
      </w:r>
      <w:r>
        <w:rPr>
          <w:rFonts w:ascii="宋体" w:hAnsi="宋体"/>
          <w:bCs/>
          <w:color w:val="000000"/>
          <w:sz w:val="24"/>
          <w:szCs w:val="24"/>
        </w:rPr>
        <w:t>政府采购</w:t>
      </w:r>
      <w:r>
        <w:rPr>
          <w:rFonts w:hint="eastAsia" w:ascii="宋体" w:hAnsi="宋体"/>
          <w:bCs/>
          <w:color w:val="000000"/>
          <w:sz w:val="24"/>
          <w:szCs w:val="24"/>
        </w:rPr>
        <w:t>竞争性磋商</w:t>
      </w:r>
      <w:r>
        <w:rPr>
          <w:rFonts w:ascii="宋体" w:hAnsi="宋体"/>
          <w:bCs/>
          <w:color w:val="000000"/>
          <w:sz w:val="24"/>
          <w:szCs w:val="24"/>
        </w:rPr>
        <w:t>采购方式管理</w:t>
      </w:r>
      <w:r>
        <w:rPr>
          <w:rFonts w:hint="eastAsia" w:ascii="宋体" w:hAnsi="宋体"/>
          <w:bCs/>
          <w:color w:val="000000"/>
          <w:sz w:val="24"/>
          <w:szCs w:val="24"/>
        </w:rPr>
        <w:t>暂行</w:t>
      </w:r>
      <w:r>
        <w:rPr>
          <w:rFonts w:ascii="宋体" w:hAnsi="宋体"/>
          <w:bCs/>
          <w:color w:val="000000"/>
          <w:sz w:val="24"/>
          <w:szCs w:val="24"/>
        </w:rPr>
        <w:t>办法</w:t>
      </w:r>
      <w:r>
        <w:rPr>
          <w:rFonts w:hint="eastAsia" w:ascii="宋体" w:hAnsi="宋体"/>
          <w:bCs/>
          <w:color w:val="000000"/>
          <w:sz w:val="24"/>
          <w:szCs w:val="24"/>
        </w:rPr>
        <w:t>》</w:t>
      </w:r>
      <w:r>
        <w:rPr>
          <w:rFonts w:ascii="宋体" w:hAnsi="宋体"/>
          <w:bCs/>
          <w:color w:val="000000"/>
          <w:sz w:val="24"/>
          <w:szCs w:val="24"/>
        </w:rPr>
        <w:t>第二十</w:t>
      </w:r>
      <w:r>
        <w:rPr>
          <w:rFonts w:hint="eastAsia" w:ascii="宋体" w:hAnsi="宋体"/>
          <w:bCs/>
          <w:color w:val="000000"/>
          <w:sz w:val="24"/>
          <w:szCs w:val="24"/>
        </w:rPr>
        <w:t>一</w:t>
      </w:r>
      <w:r>
        <w:rPr>
          <w:rFonts w:ascii="宋体" w:hAnsi="宋体"/>
          <w:bCs/>
          <w:color w:val="000000"/>
          <w:sz w:val="24"/>
          <w:szCs w:val="24"/>
        </w:rPr>
        <w:t>条第</w:t>
      </w:r>
      <w:r>
        <w:rPr>
          <w:rFonts w:hint="eastAsia" w:ascii="宋体" w:hAnsi="宋体"/>
          <w:bCs/>
          <w:color w:val="000000"/>
          <w:sz w:val="24"/>
          <w:szCs w:val="24"/>
        </w:rPr>
        <w:t>三</w:t>
      </w:r>
      <w:r>
        <w:rPr>
          <w:rFonts w:ascii="宋体" w:hAnsi="宋体"/>
          <w:bCs/>
          <w:color w:val="000000"/>
          <w:sz w:val="24"/>
          <w:szCs w:val="24"/>
        </w:rPr>
        <w:t>款</w:t>
      </w:r>
      <w:r>
        <w:rPr>
          <w:rFonts w:hint="eastAsia" w:ascii="宋体" w:hAnsi="宋体"/>
          <w:bCs/>
          <w:color w:val="000000"/>
          <w:sz w:val="24"/>
          <w:szCs w:val="24"/>
        </w:rPr>
        <w:t>和《财政部关于政府采购竞争性磋商采购方式管理暂行办法有关问题的补充通知》</w:t>
      </w:r>
      <w:r>
        <w:rPr>
          <w:rFonts w:ascii="宋体" w:hAnsi="宋体"/>
          <w:bCs/>
          <w:color w:val="000000"/>
          <w:sz w:val="24"/>
          <w:szCs w:val="24"/>
        </w:rPr>
        <w:t>规定的情形外</w:t>
      </w:r>
      <w:r>
        <w:rPr>
          <w:rFonts w:hint="eastAsia" w:ascii="宋体" w:hAnsi="宋体"/>
          <w:bCs/>
          <w:color w:val="000000"/>
          <w:sz w:val="24"/>
          <w:szCs w:val="24"/>
        </w:rPr>
        <w:t>，</w:t>
      </w:r>
      <w:r>
        <w:rPr>
          <w:rFonts w:ascii="宋体" w:hAnsi="宋体"/>
          <w:bCs/>
          <w:color w:val="000000"/>
          <w:sz w:val="24"/>
          <w:szCs w:val="24"/>
        </w:rPr>
        <w:t>在采购过程中符合要求的供应商或者报价未超过采购预算的供应商数量不符合法律法规要求的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4. 在采购活动中因重大变故，采购任务取消的。</w:t>
      </w:r>
    </w:p>
    <w:p>
      <w:pPr>
        <w:spacing w:line="360" w:lineRule="auto"/>
        <w:ind w:firstLine="482" w:firstLineChars="200"/>
      </w:pPr>
      <w:r>
        <w:rPr>
          <w:rFonts w:hint="eastAsia"/>
          <w:b/>
          <w:bCs/>
          <w:sz w:val="24"/>
          <w:szCs w:val="24"/>
        </w:rPr>
        <w:t>十一、签订、履行合同</w:t>
      </w:r>
    </w:p>
    <w:p>
      <w:pPr>
        <w:tabs>
          <w:tab w:val="left" w:pos="525"/>
          <w:tab w:val="left" w:pos="552"/>
          <w:tab w:val="left" w:pos="945"/>
          <w:tab w:val="left" w:pos="1050"/>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sz w:val="24"/>
          <w:szCs w:val="24"/>
        </w:rPr>
        <w:t>1. 采购人应当自成交通知书发出之日起三十日内，按照采购文件和成交供应商响应文件的约定，与成交供应商签订书面合同。所</w:t>
      </w:r>
      <w:r>
        <w:rPr>
          <w:rFonts w:hint="eastAsia" w:ascii="宋体" w:hAnsi="宋体"/>
          <w:bCs/>
          <w:color w:val="000000" w:themeColor="text1"/>
          <w:sz w:val="24"/>
          <w:szCs w:val="24"/>
          <w14:textFill>
            <w14:solidFill>
              <w14:schemeClr w14:val="tx1"/>
            </w14:solidFill>
          </w14:textFill>
        </w:rPr>
        <w:t>签订的合同不得对采购文件和</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供应商响应文件作实质性修改。采购人不得向</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供应商提出任何不合理的要求，作为签订合同的条件，不得与</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供应商私下订立背离合同实质性内容的协议。合同须在常州中采招投标有限公司备案。</w:t>
      </w:r>
    </w:p>
    <w:p>
      <w:pPr>
        <w:tabs>
          <w:tab w:val="left" w:pos="525"/>
          <w:tab w:val="left" w:pos="552"/>
          <w:tab w:val="left" w:pos="945"/>
          <w:tab w:val="left" w:pos="1050"/>
        </w:tabs>
        <w:spacing w:line="360" w:lineRule="auto"/>
        <w:ind w:firstLine="480" w:firstLineChars="200"/>
        <w:rPr>
          <w:rFonts w:ascii="宋体"/>
          <w:bCs/>
          <w:sz w:val="24"/>
          <w:szCs w:val="24"/>
        </w:rPr>
      </w:pPr>
      <w:r>
        <w:rPr>
          <w:rFonts w:hint="eastAsia" w:ascii="宋体" w:hAnsi="宋体"/>
          <w:bCs/>
          <w:sz w:val="24"/>
          <w:szCs w:val="24"/>
        </w:rPr>
        <w:t>2. 成交供应商</w:t>
      </w:r>
      <w:r>
        <w:rPr>
          <w:rFonts w:hint="eastAsia" w:ascii="宋体" w:hAnsi="宋体"/>
          <w:bCs/>
          <w:color w:val="000000" w:themeColor="text1"/>
          <w:sz w:val="24"/>
          <w:szCs w:val="24"/>
          <w14:textFill>
            <w14:solidFill>
              <w14:schemeClr w14:val="tx1"/>
            </w14:solidFill>
          </w14:textFill>
        </w:rPr>
        <w:t>非因不可抗力未履行采购文件、响应文件和合同规定的义务，一经查实，</w:t>
      </w:r>
      <w:r>
        <w:rPr>
          <w:rFonts w:hint="eastAsia" w:ascii="宋体" w:hAnsi="宋体"/>
          <w:sz w:val="24"/>
        </w:rPr>
        <w:t>采购代理机构</w:t>
      </w:r>
      <w:r>
        <w:rPr>
          <w:rFonts w:hint="eastAsia" w:ascii="宋体" w:hAnsi="宋体"/>
          <w:bCs/>
          <w:color w:val="000000" w:themeColor="text1"/>
          <w:sz w:val="24"/>
          <w:szCs w:val="24"/>
          <w14:textFill>
            <w14:solidFill>
              <w14:schemeClr w14:val="tx1"/>
            </w14:solidFill>
          </w14:textFill>
        </w:rPr>
        <w:t>将根据具体情况提</w:t>
      </w:r>
      <w:r>
        <w:rPr>
          <w:rFonts w:hint="eastAsia" w:ascii="宋体" w:hAnsi="宋体"/>
          <w:bCs/>
          <w:sz w:val="24"/>
          <w:szCs w:val="24"/>
        </w:rPr>
        <w:t>请政府采购管理部门作出相应处理。</w:t>
      </w:r>
    </w:p>
    <w:p>
      <w:pPr>
        <w:tabs>
          <w:tab w:val="left" w:pos="525"/>
          <w:tab w:val="left" w:pos="552"/>
          <w:tab w:val="left" w:pos="945"/>
          <w:tab w:val="left" w:pos="1050"/>
        </w:tabs>
        <w:spacing w:line="360" w:lineRule="auto"/>
        <w:ind w:firstLine="480" w:firstLineChars="200"/>
        <w:rPr>
          <w:rFonts w:ascii="宋体" w:hAnsi="宋体"/>
          <w:bCs/>
          <w:sz w:val="24"/>
        </w:rPr>
      </w:pPr>
      <w:r>
        <w:rPr>
          <w:rFonts w:hint="eastAsia" w:ascii="宋体" w:hAnsi="宋体"/>
          <w:bCs/>
          <w:sz w:val="24"/>
          <w:szCs w:val="24"/>
        </w:rPr>
        <w:t>3. 成交供应商向采购人缴纳的履约保证金不超过政府采购合同金额的</w:t>
      </w:r>
      <w:r>
        <w:rPr>
          <w:rFonts w:ascii="宋体" w:hAnsi="宋体"/>
          <w:bCs/>
          <w:sz w:val="24"/>
          <w:szCs w:val="24"/>
        </w:rPr>
        <w:t>10%</w:t>
      </w:r>
      <w:r>
        <w:rPr>
          <w:rFonts w:hint="eastAsia" w:ascii="宋体" w:hAnsi="宋体"/>
          <w:bCs/>
          <w:sz w:val="24"/>
          <w:szCs w:val="24"/>
        </w:rPr>
        <w:t>。收取履约保证金的，成交供应商须自成交通知书发出之日起十日内向采购人交纳履约保证金。采购人应当与成交供应商在采购合同中约定履约保证金退还的方式、时间、条件和不予退还的情形，明确逾期退还履约保证金的违约责任。履约保证金在项目验收合格后并按相关规定扣除处罚款后退还，不计利息。</w:t>
      </w:r>
    </w:p>
    <w:p>
      <w:pPr>
        <w:spacing w:line="360" w:lineRule="auto"/>
        <w:ind w:firstLine="482" w:firstLineChars="200"/>
        <w:rPr>
          <w:b/>
          <w:bCs/>
          <w:sz w:val="24"/>
          <w:szCs w:val="24"/>
        </w:rPr>
      </w:pPr>
      <w:r>
        <w:rPr>
          <w:rFonts w:hint="eastAsia"/>
          <w:b/>
          <w:bCs/>
          <w:sz w:val="24"/>
          <w:szCs w:val="24"/>
        </w:rPr>
        <w:t>十二、注意事项</w:t>
      </w:r>
    </w:p>
    <w:p>
      <w:pPr>
        <w:tabs>
          <w:tab w:val="left" w:pos="945"/>
          <w:tab w:val="left" w:pos="1050"/>
        </w:tabs>
        <w:spacing w:line="360" w:lineRule="auto"/>
        <w:ind w:firstLine="480" w:firstLineChars="200"/>
        <w:rPr>
          <w:rFonts w:ascii="宋体" w:hAnsi="宋体"/>
          <w:color w:val="000000"/>
          <w:sz w:val="24"/>
          <w:szCs w:val="24"/>
        </w:rPr>
      </w:pPr>
      <w:r>
        <w:rPr>
          <w:rFonts w:hint="eastAsia" w:ascii="宋体" w:hAnsi="宋体"/>
          <w:bCs/>
          <w:color w:val="000000"/>
          <w:sz w:val="24"/>
          <w:szCs w:val="24"/>
        </w:rPr>
        <w:t>成交供应商有下列情形之一的，</w:t>
      </w:r>
      <w:r>
        <w:rPr>
          <w:rFonts w:hint="eastAsia" w:ascii="宋体" w:hAnsi="宋体"/>
          <w:color w:val="000000"/>
          <w:sz w:val="24"/>
          <w:szCs w:val="24"/>
        </w:rPr>
        <w:t>必须</w:t>
      </w:r>
      <w:r>
        <w:rPr>
          <w:rFonts w:ascii="宋体" w:hAnsi="宋体"/>
          <w:color w:val="000000"/>
          <w:sz w:val="24"/>
          <w:szCs w:val="24"/>
        </w:rPr>
        <w:t>限期改正，情节严重的，列入不良行为记录名单，在1至3年内禁止参加政府采购活动，并予以通报：</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未按照采购文件确定的事项签订政府采购合同，或者与采购人另行订立背离合同实质性内容的协议的；</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成交后无正当理由不与采购人签订合同的；</w:t>
      </w:r>
    </w:p>
    <w:p>
      <w:pPr>
        <w:tabs>
          <w:tab w:val="left" w:pos="315"/>
          <w:tab w:val="left" w:pos="735"/>
          <w:tab w:val="left" w:pos="1155"/>
        </w:tabs>
        <w:spacing w:line="360" w:lineRule="auto"/>
        <w:ind w:firstLine="480" w:firstLineChars="200"/>
        <w:rPr>
          <w:rFonts w:ascii="宋体" w:hAnsi="宋体"/>
          <w:bCs/>
          <w:color w:val="000000"/>
          <w:sz w:val="24"/>
          <w:szCs w:val="24"/>
        </w:rPr>
      </w:pPr>
      <w:r>
        <w:rPr>
          <w:rFonts w:hint="eastAsia" w:ascii="宋体" w:hAnsi="宋体"/>
          <w:color w:val="000000"/>
          <w:sz w:val="24"/>
          <w:szCs w:val="24"/>
        </w:rPr>
        <w:t xml:space="preserve">3. </w:t>
      </w:r>
      <w:r>
        <w:rPr>
          <w:rFonts w:hint="eastAsia" w:ascii="宋体" w:hAnsi="宋体"/>
          <w:bCs/>
          <w:color w:val="000000"/>
          <w:sz w:val="24"/>
          <w:szCs w:val="24"/>
        </w:rPr>
        <w:t>拒绝履行合同义务的。</w:t>
      </w:r>
    </w:p>
    <w:p>
      <w:pPr>
        <w:spacing w:line="360" w:lineRule="auto"/>
        <w:ind w:firstLine="482" w:firstLineChars="200"/>
        <w:rPr>
          <w:b/>
          <w:bCs/>
          <w:sz w:val="24"/>
          <w:szCs w:val="24"/>
        </w:rPr>
      </w:pPr>
      <w:r>
        <w:rPr>
          <w:rFonts w:hint="eastAsia"/>
          <w:b/>
          <w:bCs/>
          <w:sz w:val="24"/>
          <w:szCs w:val="24"/>
        </w:rPr>
        <w:t>十三、成交服务费</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highlight w:val="yellow"/>
        </w:rPr>
      </w:pPr>
      <w:r>
        <w:rPr>
          <w:rFonts w:hint="eastAsia" w:ascii="宋体" w:hAnsi="宋体"/>
          <w:bCs/>
          <w:sz w:val="24"/>
          <w:szCs w:val="24"/>
        </w:rPr>
        <w:t>1. 采购代理服务费收费标准为：</w:t>
      </w:r>
    </w:p>
    <w:tbl>
      <w:tblPr>
        <w:tblStyle w:val="31"/>
        <w:tblW w:w="4425" w:type="dxa"/>
        <w:jc w:val="center"/>
        <w:tblLayout w:type="fixed"/>
        <w:tblCellMar>
          <w:top w:w="15" w:type="dxa"/>
          <w:left w:w="15" w:type="dxa"/>
          <w:bottom w:w="15" w:type="dxa"/>
          <w:right w:w="15" w:type="dxa"/>
        </w:tblCellMar>
      </w:tblPr>
      <w:tblGrid>
        <w:gridCol w:w="2580"/>
        <w:gridCol w:w="1845"/>
      </w:tblGrid>
      <w:tr>
        <w:tblPrEx>
          <w:tblCellMar>
            <w:top w:w="15" w:type="dxa"/>
            <w:left w:w="15" w:type="dxa"/>
            <w:bottom w:w="15" w:type="dxa"/>
            <w:right w:w="15" w:type="dxa"/>
          </w:tblCellMar>
        </w:tblPrEx>
        <w:trPr>
          <w:trHeight w:val="1134" w:hRule="atLeast"/>
          <w:jc w:val="center"/>
        </w:trPr>
        <w:tc>
          <w:tcPr>
            <w:tcW w:w="2580" w:type="dxa"/>
            <w:vMerge w:val="restart"/>
            <w:tcBorders>
              <w:top w:val="single" w:color="000000" w:sz="4" w:space="0"/>
              <w:left w:val="single" w:color="000000" w:sz="4" w:space="0"/>
              <w:bottom w:val="single" w:color="000000" w:sz="4" w:space="0"/>
              <w:right w:val="single" w:color="000000" w:sz="4" w:space="0"/>
              <w:tl2br w:val="single" w:color="auto" w:sz="4" w:space="0"/>
            </w:tcBorders>
            <w:shd w:val="clear" w:color="auto" w:fill="auto"/>
          </w:tcPr>
          <w:p>
            <w:pPr>
              <w:widowControl/>
              <w:snapToGrid w:val="0"/>
              <w:jc w:val="right"/>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中标金额（万元）</w:t>
            </w:r>
          </w:p>
          <w:p>
            <w:pPr>
              <w:widowControl/>
              <w:ind w:firstLine="960" w:firstLineChars="400"/>
              <w:jc w:val="left"/>
              <w:textAlignment w:val="top"/>
              <w:rPr>
                <w:rFonts w:ascii="宋体" w:hAnsi="宋体" w:eastAsia="宋体" w:cs="宋体"/>
                <w:color w:val="000000"/>
                <w:sz w:val="24"/>
                <w:szCs w:val="24"/>
              </w:rPr>
            </w:pPr>
          </w:p>
          <w:p>
            <w:pPr>
              <w:widowControl/>
              <w:snapToGrid w:val="0"/>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费率</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服务</w:t>
            </w:r>
          </w:p>
        </w:tc>
      </w:tr>
      <w:tr>
        <w:tblPrEx>
          <w:tblCellMar>
            <w:top w:w="15" w:type="dxa"/>
            <w:left w:w="15" w:type="dxa"/>
            <w:bottom w:w="15" w:type="dxa"/>
            <w:right w:w="15" w:type="dxa"/>
          </w:tblCellMar>
        </w:tblPrEx>
        <w:trPr>
          <w:trHeight w:val="312"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000000"/>
                <w:sz w:val="24"/>
                <w:szCs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495"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100以下</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1.50%</w:t>
            </w:r>
          </w:p>
        </w:tc>
      </w:tr>
      <w:tr>
        <w:tblPrEx>
          <w:tblCellMar>
            <w:top w:w="15" w:type="dxa"/>
            <w:left w:w="15" w:type="dxa"/>
            <w:bottom w:w="15" w:type="dxa"/>
            <w:right w:w="15" w:type="dxa"/>
          </w:tblCellMar>
        </w:tblPrEx>
        <w:trPr>
          <w:trHeight w:val="495"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100-500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0.80%</w:t>
            </w:r>
          </w:p>
        </w:tc>
      </w:tr>
    </w:tbl>
    <w:p>
      <w:pPr>
        <w:tabs>
          <w:tab w:val="left" w:pos="510"/>
          <w:tab w:val="left" w:pos="735"/>
          <w:tab w:val="left" w:pos="945"/>
          <w:tab w:val="left" w:pos="1129"/>
          <w:tab w:val="left" w:pos="1155"/>
        </w:tabs>
        <w:spacing w:line="360" w:lineRule="auto"/>
        <w:rPr>
          <w:rFonts w:ascii="宋体" w:hAnsi="宋体"/>
          <w:bCs/>
          <w:sz w:val="24"/>
          <w:szCs w:val="24"/>
          <w:highlight w:val="yellow"/>
        </w:rPr>
      </w:pPr>
    </w:p>
    <w:p>
      <w:pPr>
        <w:tabs>
          <w:tab w:val="left" w:pos="510"/>
          <w:tab w:val="left" w:pos="735"/>
          <w:tab w:val="left" w:pos="945"/>
          <w:tab w:val="left" w:pos="1155"/>
        </w:tabs>
        <w:spacing w:line="360" w:lineRule="auto"/>
        <w:ind w:firstLine="482" w:firstLineChars="200"/>
        <w:rPr>
          <w:rFonts w:ascii="宋体" w:hAnsi="宋体" w:eastAsia="宋体"/>
          <w:bCs/>
          <w:sz w:val="24"/>
          <w:szCs w:val="24"/>
        </w:rPr>
      </w:pPr>
      <w:r>
        <w:rPr>
          <w:rFonts w:hint="eastAsia" w:ascii="宋体" w:hAnsi="宋体" w:eastAsia="宋体"/>
          <w:b/>
          <w:bCs/>
          <w:sz w:val="24"/>
        </w:rPr>
        <w:t>备注：</w:t>
      </w:r>
      <w:r>
        <w:rPr>
          <w:rFonts w:hint="eastAsia" w:ascii="宋体" w:hAnsi="宋体" w:eastAsia="宋体"/>
          <w:sz w:val="24"/>
        </w:rPr>
        <w:t>收费比例按差额定率累进法计算</w:t>
      </w:r>
      <w:r>
        <w:rPr>
          <w:rFonts w:hint="eastAsia" w:ascii="宋体" w:hAnsi="宋体" w:eastAsia="宋体"/>
          <w:b/>
          <w:bCs/>
          <w:sz w:val="24"/>
        </w:rPr>
        <w:t>，</w:t>
      </w:r>
      <w:r>
        <w:rPr>
          <w:rFonts w:hint="eastAsia" w:ascii="宋体" w:hAnsi="宋体" w:eastAsia="宋体"/>
          <w:sz w:val="24"/>
        </w:rPr>
        <w:t>采购</w:t>
      </w:r>
      <w:r>
        <w:rPr>
          <w:rFonts w:ascii="宋体" w:hAnsi="宋体" w:eastAsia="宋体"/>
          <w:sz w:val="24"/>
        </w:rPr>
        <w:t>代理服务</w:t>
      </w:r>
      <w:r>
        <w:rPr>
          <w:rFonts w:hint="eastAsia" w:ascii="宋体" w:hAnsi="宋体" w:eastAsia="宋体"/>
          <w:sz w:val="24"/>
        </w:rPr>
        <w:t>费</w:t>
      </w:r>
      <w:r>
        <w:rPr>
          <w:rFonts w:ascii="宋体" w:hAnsi="宋体" w:eastAsia="宋体"/>
          <w:sz w:val="24"/>
        </w:rPr>
        <w:t>收费按上述计算方法不足人民币3000元的，按人民币3000元收取</w:t>
      </w:r>
      <w:r>
        <w:rPr>
          <w:rFonts w:hint="eastAsia" w:ascii="宋体" w:hAnsi="宋体" w:eastAsia="宋体"/>
          <w:sz w:val="24"/>
        </w:rPr>
        <w:t>。按年收费的项目代理服务费按服务期限*年服务费收取。</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rPr>
      </w:pPr>
      <w:r>
        <w:rPr>
          <w:rFonts w:hint="eastAsia" w:ascii="宋体" w:hAnsi="宋体"/>
          <w:bCs/>
          <w:sz w:val="24"/>
          <w:szCs w:val="24"/>
        </w:rPr>
        <w:t>2. 成交供应商领取成交通知书时须向常州中采招投标有限公司交纳采购代理服务费。</w:t>
      </w:r>
    </w:p>
    <w:p>
      <w:pPr>
        <w:tabs>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3. 公司账户信息</w:t>
      </w:r>
    </w:p>
    <w:p>
      <w:pPr>
        <w:tabs>
          <w:tab w:val="left" w:pos="735"/>
          <w:tab w:val="left" w:pos="945"/>
          <w:tab w:val="left" w:pos="1155"/>
        </w:tabs>
        <w:spacing w:line="360" w:lineRule="auto"/>
        <w:ind w:left="851" w:firstLine="240" w:firstLineChars="100"/>
        <w:rPr>
          <w:rFonts w:ascii="宋体" w:hAnsi="宋体"/>
          <w:bCs/>
          <w:sz w:val="24"/>
          <w:szCs w:val="24"/>
        </w:rPr>
      </w:pPr>
      <w:r>
        <w:rPr>
          <w:rFonts w:hint="eastAsia" w:ascii="宋体" w:hAnsi="宋体"/>
          <w:bCs/>
          <w:sz w:val="24"/>
          <w:szCs w:val="24"/>
        </w:rPr>
        <w:t>单位名称：常州中采招投标有限公司</w:t>
      </w:r>
    </w:p>
    <w:p>
      <w:pPr>
        <w:tabs>
          <w:tab w:val="left" w:pos="735"/>
          <w:tab w:val="left" w:pos="945"/>
          <w:tab w:val="left" w:pos="1155"/>
        </w:tabs>
        <w:spacing w:line="360" w:lineRule="auto"/>
        <w:ind w:left="851" w:firstLine="240" w:firstLineChars="100"/>
        <w:rPr>
          <w:rFonts w:ascii="宋体" w:hAnsi="宋体"/>
          <w:bCs/>
          <w:sz w:val="24"/>
          <w:szCs w:val="24"/>
        </w:rPr>
      </w:pPr>
      <w:r>
        <w:rPr>
          <w:rFonts w:hint="eastAsia" w:ascii="宋体" w:hAnsi="宋体"/>
          <w:bCs/>
          <w:sz w:val="24"/>
          <w:szCs w:val="24"/>
        </w:rPr>
        <w:t>账  号：32050162970100001741</w:t>
      </w:r>
    </w:p>
    <w:p>
      <w:pPr>
        <w:tabs>
          <w:tab w:val="left" w:pos="510"/>
          <w:tab w:val="left" w:pos="735"/>
          <w:tab w:val="left" w:pos="945"/>
          <w:tab w:val="left" w:pos="1129"/>
          <w:tab w:val="left" w:pos="1155"/>
        </w:tabs>
        <w:spacing w:line="360" w:lineRule="auto"/>
        <w:ind w:left="851" w:firstLine="240" w:firstLineChars="100"/>
        <w:rPr>
          <w:rFonts w:ascii="宋体" w:hAnsi="宋体"/>
          <w:bCs/>
          <w:sz w:val="24"/>
          <w:szCs w:val="24"/>
        </w:rPr>
      </w:pPr>
      <w:r>
        <w:rPr>
          <w:rFonts w:hint="eastAsia" w:ascii="宋体" w:hAnsi="宋体"/>
          <w:bCs/>
          <w:sz w:val="24"/>
          <w:szCs w:val="24"/>
        </w:rPr>
        <w:t>开户行：建行常州惠民支行</w:t>
      </w: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r>
        <w:rPr>
          <w:rFonts w:ascii="宋体" w:hAnsi="宋体"/>
          <w:bCs/>
          <w:sz w:val="24"/>
          <w:szCs w:val="24"/>
        </w:rPr>
        <w:br w:type="page"/>
      </w:r>
    </w:p>
    <w:p>
      <w:pPr>
        <w:pStyle w:val="121"/>
      </w:pPr>
      <w:bookmarkStart w:id="44" w:name="_Toc70512792"/>
      <w:bookmarkStart w:id="45" w:name="_Toc55147047"/>
      <w:r>
        <w:rPr>
          <w:rFonts w:hint="eastAsia"/>
        </w:rPr>
        <w:t>三．项目技术要求和有关说明</w:t>
      </w:r>
      <w:bookmarkEnd w:id="44"/>
      <w:bookmarkEnd w:id="45"/>
    </w:p>
    <w:p>
      <w:pPr>
        <w:spacing w:line="360" w:lineRule="auto"/>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一、项目概况</w:t>
      </w:r>
    </w:p>
    <w:p>
      <w:pPr>
        <w:spacing w:line="360" w:lineRule="auto"/>
        <w:ind w:right="90"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常州市戚墅堰高级中学，是江苏省常州高级中学分校。随着信息技术的发展，一方面为进一步学校提高文印输出服务质量水平及服务时效，更好地服务广大师生，适当降低成本、简化报修、报废等流程，有效提高后勤服务的工作效率及信息化管理水平。另一方面为了更好的运用大数据技术实现精准教与个性学，提高教与学质量。现就学校文档输出及教学诊断服务外包，由专业公司驻校提供专业的服务。</w:t>
      </w:r>
    </w:p>
    <w:p>
      <w:pPr>
        <w:spacing w:line="360" w:lineRule="auto"/>
        <w:ind w:right="90"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服务内容：文档黑白、彩色打印复印扫描，练习卷、试卷印刷、分卷、排版，各类证书的打印及文件的基础装订等文印服务、英语读卡及大型测评教学诊断服务。校方按张按类别进行按实支付费用，校方不承诺保底印量，中标单位自负盈亏。</w:t>
      </w:r>
    </w:p>
    <w:p>
      <w:pPr>
        <w:numPr>
          <w:ilvl w:val="0"/>
          <w:numId w:val="5"/>
        </w:num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具体服务需求</w:t>
      </w:r>
    </w:p>
    <w:p>
      <w:pPr>
        <w:numPr>
          <w:ilvl w:val="0"/>
          <w:numId w:val="6"/>
        </w:num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需最低配制设备数量及要求：</w:t>
      </w:r>
    </w:p>
    <w:tbl>
      <w:tblPr>
        <w:tblStyle w:val="31"/>
        <w:tblpPr w:leftFromText="180" w:rightFromText="180" w:vertAnchor="text" w:horzAnchor="page" w:tblpX="1481" w:tblpY="361"/>
        <w:tblOverlap w:val="never"/>
        <w:tblW w:w="9491" w:type="dxa"/>
        <w:tblInd w:w="0" w:type="dxa"/>
        <w:tblLayout w:type="fixed"/>
        <w:tblCellMar>
          <w:top w:w="0" w:type="dxa"/>
          <w:left w:w="0" w:type="dxa"/>
          <w:bottom w:w="0" w:type="dxa"/>
          <w:right w:w="0" w:type="dxa"/>
        </w:tblCellMar>
      </w:tblPr>
      <w:tblGrid>
        <w:gridCol w:w="746"/>
        <w:gridCol w:w="960"/>
        <w:gridCol w:w="6495"/>
        <w:gridCol w:w="676"/>
        <w:gridCol w:w="614"/>
      </w:tblGrid>
      <w:tr>
        <w:tblPrEx>
          <w:tblCellMar>
            <w:top w:w="0" w:type="dxa"/>
            <w:left w:w="0" w:type="dxa"/>
            <w:bottom w:w="0" w:type="dxa"/>
            <w:right w:w="0" w:type="dxa"/>
          </w:tblCellMar>
        </w:tblPrEx>
        <w:trPr>
          <w:trHeight w:val="346"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序号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类别</w:t>
            </w:r>
          </w:p>
        </w:tc>
        <w:tc>
          <w:tcPr>
            <w:tcW w:w="6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基本参数</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数量</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单位</w:t>
            </w:r>
          </w:p>
        </w:tc>
      </w:tr>
      <w:tr>
        <w:tblPrEx>
          <w:tblCellMar>
            <w:top w:w="0" w:type="dxa"/>
            <w:left w:w="0" w:type="dxa"/>
            <w:bottom w:w="0" w:type="dxa"/>
            <w:right w:w="0" w:type="dxa"/>
          </w:tblCellMar>
        </w:tblPrEx>
        <w:trPr>
          <w:trHeight w:val="90"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★油印一体机</w:t>
            </w:r>
          </w:p>
        </w:tc>
        <w:tc>
          <w:tcPr>
            <w:tcW w:w="6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★扫描分辨率：600x600dpi；★印刷分辨率：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标准：300x600dpi（穿孔密度：600x600dpi）</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设定（快速制版）：300x400dpi（穿孔密度：600x400dpi）</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快速制版关闭时：约16秒（A4，长边进纸），约20秒（A4，短边进纸）</w:t>
            </w:r>
          </w:p>
          <w:p>
            <w:pPr>
              <w:widowControl/>
              <w:jc w:val="left"/>
              <w:textAlignment w:val="center"/>
              <w:rPr>
                <w:rFonts w:ascii="宋体" w:hAnsi="宋体" w:eastAsia="宋体" w:cs="宋体"/>
                <w:szCs w:val="21"/>
                <w:lang w:bidi="ar"/>
              </w:rPr>
            </w:pPr>
            <w:r>
              <w:rPr>
                <w:rFonts w:hint="eastAsia" w:ascii="宋体" w:hAnsi="宋体" w:eastAsia="宋体" w:cs="宋体"/>
                <w:kern w:val="0"/>
                <w:szCs w:val="21"/>
                <w:lang w:bidi="ar"/>
              </w:rPr>
              <w:t>快速制版打开时：约14秒（A4，长边进纸），约18秒（A4，短边进纸）；★扫描面积：≥</w:t>
            </w:r>
            <w:r>
              <w:rPr>
                <w:rFonts w:hint="eastAsia" w:ascii="宋体" w:hAnsi="宋体" w:eastAsia="宋体" w:cs="宋体"/>
                <w:szCs w:val="21"/>
                <w:lang w:bidi="ar"/>
              </w:rPr>
              <w:t>297x432mm；</w:t>
            </w:r>
            <w:r>
              <w:rPr>
                <w:rFonts w:hint="eastAsia" w:ascii="宋体" w:hAnsi="宋体" w:eastAsia="宋体" w:cs="宋体"/>
                <w:kern w:val="0"/>
                <w:szCs w:val="21"/>
                <w:lang w:bidi="ar"/>
              </w:rPr>
              <w:t>★</w:t>
            </w:r>
            <w:r>
              <w:rPr>
                <w:rFonts w:hint="eastAsia" w:ascii="宋体" w:hAnsi="宋体" w:eastAsia="宋体" w:cs="宋体"/>
                <w:szCs w:val="21"/>
                <w:lang w:bidi="ar"/>
              </w:rPr>
              <w:t>印刷面积：</w:t>
            </w:r>
            <w:r>
              <w:rPr>
                <w:rFonts w:hint="eastAsia" w:ascii="宋体" w:hAnsi="宋体" w:eastAsia="宋体" w:cs="宋体"/>
                <w:kern w:val="0"/>
                <w:szCs w:val="21"/>
                <w:lang w:bidi="ar"/>
              </w:rPr>
              <w:t>≥</w:t>
            </w:r>
            <w:r>
              <w:rPr>
                <w:rFonts w:hint="eastAsia" w:ascii="宋体" w:hAnsi="宋体" w:eastAsia="宋体" w:cs="宋体"/>
                <w:szCs w:val="21"/>
                <w:lang w:bidi="ar"/>
              </w:rPr>
              <w:t>251x357mm；印刷缩放比例：无倍缩放（50-200%）、100%缩放比率</w:t>
            </w:r>
          </w:p>
          <w:p>
            <w:pPr>
              <w:widowControl/>
              <w:jc w:val="left"/>
              <w:textAlignment w:val="center"/>
              <w:rPr>
                <w:rFonts w:ascii="宋体" w:hAnsi="宋体" w:eastAsia="宋体" w:cs="宋体"/>
                <w:szCs w:val="21"/>
                <w:lang w:bidi="ar"/>
              </w:rPr>
            </w:pPr>
            <w:r>
              <w:rPr>
                <w:rFonts w:hint="eastAsia" w:ascii="宋体" w:hAnsi="宋体" w:eastAsia="宋体" w:cs="宋体"/>
                <w:szCs w:val="21"/>
                <w:lang w:bidi="ar"/>
              </w:rPr>
              <w:t>标准缩放比率放大：141%，122%，116%</w:t>
            </w:r>
          </w:p>
          <w:p>
            <w:pPr>
              <w:widowControl/>
              <w:jc w:val="left"/>
              <w:textAlignment w:val="center"/>
              <w:rPr>
                <w:rFonts w:ascii="宋体" w:hAnsi="宋体" w:eastAsia="宋体" w:cs="宋体"/>
                <w:szCs w:val="21"/>
              </w:rPr>
            </w:pPr>
            <w:r>
              <w:rPr>
                <w:rFonts w:hint="eastAsia" w:ascii="宋体" w:hAnsi="宋体" w:eastAsia="宋体" w:cs="宋体"/>
                <w:szCs w:val="21"/>
                <w:lang w:bidi="ar"/>
              </w:rPr>
              <w:t>标准缩放比率缩小：94%，87%，82%，71%；纸盘容量：进纸/出纸盘：1600-1000张（110mm堆叠高度以下）；液晶屏LED+中文液晶显示屏（LCD）</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w:t>
            </w:r>
            <w:r>
              <w:rPr>
                <w:rFonts w:hint="eastAsia" w:ascii="宋体" w:hAnsi="宋体" w:eastAsia="宋体" w:cs="宋体"/>
                <w:szCs w:val="21"/>
                <w:lang w:bidi="ar"/>
              </w:rPr>
              <w:t>3</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r>
      <w:tr>
        <w:tblPrEx>
          <w:tblCellMar>
            <w:top w:w="0" w:type="dxa"/>
            <w:left w:w="0" w:type="dxa"/>
            <w:bottom w:w="0" w:type="dxa"/>
            <w:right w:w="0" w:type="dxa"/>
          </w:tblCellMar>
        </w:tblPrEx>
        <w:trPr>
          <w:trHeight w:val="1196"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★黑白多功能一体机</w:t>
            </w:r>
          </w:p>
        </w:tc>
        <w:tc>
          <w:tcPr>
            <w:tcW w:w="6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1、★速度</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25张/分钟；2、自动网络双面打印/自动双面复印/网络扫描；★3、PCL打印语言，★4、自动双面输稿器 5、硬盘</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200G,内存</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4g 6、纸盒数量</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两纸盒+手送7、纸盒容量</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500/张/个；8、输出纸张尺寸，除了国标尺寸，需支持自定义尺寸的双面打印，16K或285*167  9、硒鼓的更换周期</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10万张；10、墨粉的更换周期</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2.3万张 11、提供自动刷卡服务功能</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r>
      <w:tr>
        <w:tblPrEx>
          <w:tblCellMar>
            <w:top w:w="0" w:type="dxa"/>
            <w:left w:w="0" w:type="dxa"/>
            <w:bottom w:w="0" w:type="dxa"/>
            <w:right w:w="0" w:type="dxa"/>
          </w:tblCellMar>
        </w:tblPrEx>
        <w:trPr>
          <w:trHeight w:val="1436"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★彩色多功能一机</w:t>
            </w:r>
          </w:p>
        </w:tc>
        <w:tc>
          <w:tcPr>
            <w:tcW w:w="6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1、★黑白彩色同速度</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20张/分钟；★2、自动网络双面打印；★3、PCL打印语言 4、纸盒数量</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两纸盒+手送 5、纸盒容量</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500/张/个；6、输出纸张尺寸，除了国标尺寸，需支持自定义尺寸的双面打印，16K或285*167；7</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黑鼓/彩鼓的更换周期</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7万张；8、黑粉/彩色粉组件的更换周期</w:t>
            </w:r>
            <w:r>
              <w:rPr>
                <w:rFonts w:hint="eastAsia" w:ascii="宋体" w:hAnsi="宋体" w:eastAsia="宋体" w:cs="宋体"/>
                <w:kern w:val="0"/>
                <w:szCs w:val="21"/>
                <w:lang w:val="en-US" w:eastAsia="zh-CN" w:bidi="ar"/>
              </w:rPr>
              <w:t>≥</w:t>
            </w:r>
            <w:r>
              <w:rPr>
                <w:rFonts w:hint="eastAsia" w:ascii="宋体" w:hAnsi="宋体" w:eastAsia="宋体" w:cs="宋体"/>
                <w:kern w:val="0"/>
                <w:szCs w:val="21"/>
                <w:lang w:bidi="ar"/>
              </w:rPr>
              <w:t>2万张</w:t>
            </w:r>
            <w:r>
              <w:rPr>
                <w:rFonts w:hint="eastAsia" w:ascii="宋体" w:hAnsi="宋体" w:eastAsia="宋体" w:cs="宋体"/>
                <w:kern w:val="0"/>
                <w:szCs w:val="21"/>
                <w:lang w:val="en-US" w:eastAsia="zh-CN" w:bidi="ar"/>
              </w:rPr>
              <w:t>9</w:t>
            </w:r>
            <w:r>
              <w:rPr>
                <w:rFonts w:hint="eastAsia" w:ascii="宋体" w:hAnsi="宋体" w:eastAsia="宋体" w:cs="宋体"/>
                <w:kern w:val="0"/>
                <w:szCs w:val="21"/>
                <w:lang w:bidi="ar"/>
              </w:rPr>
              <w:t>、提供自助刷卡服务功能</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r>
      <w:tr>
        <w:tblPrEx>
          <w:tblCellMar>
            <w:top w:w="0" w:type="dxa"/>
            <w:left w:w="0" w:type="dxa"/>
            <w:bottom w:w="0" w:type="dxa"/>
            <w:right w:w="0" w:type="dxa"/>
          </w:tblCellMar>
        </w:tblPrEx>
        <w:trPr>
          <w:trHeight w:val="1436"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宋体" w:hAnsi="宋体" w:eastAsia="宋体" w:cs="宋体"/>
                <w:kern w:val="0"/>
                <w:szCs w:val="21"/>
                <w:lang w:bidi="ar"/>
              </w:rPr>
            </w:pPr>
            <w:r>
              <w:rPr>
                <w:rFonts w:hint="eastAsia" w:ascii="宋体" w:hAnsi="宋体" w:eastAsia="宋体" w:cs="宋体"/>
                <w:bCs/>
                <w:color w:val="000000"/>
                <w:szCs w:val="21"/>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ascii="宋体" w:hAnsi="宋体" w:eastAsia="宋体" w:cs="宋体"/>
                <w:color w:val="auto"/>
                <w:kern w:val="0"/>
                <w:szCs w:val="21"/>
                <w:lang w:bidi="ar"/>
              </w:rPr>
            </w:pPr>
            <w:r>
              <w:rPr>
                <w:rFonts w:hint="eastAsia" w:ascii="宋体" w:hAnsi="宋体" w:eastAsia="宋体" w:cs="宋体"/>
                <w:bCs/>
                <w:color w:val="auto"/>
                <w:szCs w:val="21"/>
              </w:rPr>
              <w:t>高速多功能一体机</w:t>
            </w:r>
          </w:p>
        </w:tc>
        <w:tc>
          <w:tcPr>
            <w:tcW w:w="6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eastAsia" w:ascii="宋体" w:hAnsi="宋体" w:eastAsia="宋体" w:cs="宋体"/>
                <w:bCs/>
                <w:color w:val="auto"/>
                <w:szCs w:val="21"/>
              </w:rPr>
            </w:pPr>
            <w:r>
              <w:rPr>
                <w:rFonts w:hint="eastAsia" w:ascii="宋体" w:hAnsi="宋体" w:eastAsia="宋体" w:cs="宋体"/>
                <w:bCs/>
                <w:color w:val="auto"/>
                <w:szCs w:val="21"/>
              </w:rPr>
              <w:t>1、速度</w:t>
            </w:r>
            <w:r>
              <w:rPr>
                <w:rFonts w:hint="eastAsia" w:ascii="宋体" w:hAnsi="宋体" w:eastAsia="宋体" w:cs="宋体"/>
                <w:bCs/>
                <w:color w:val="auto"/>
                <w:szCs w:val="21"/>
                <w:lang w:eastAsia="zh-CN"/>
              </w:rPr>
              <w:t>≥</w:t>
            </w:r>
            <w:r>
              <w:rPr>
                <w:rFonts w:hint="eastAsia" w:ascii="宋体" w:hAnsi="宋体" w:eastAsia="宋体" w:cs="宋体"/>
                <w:bCs/>
                <w:color w:val="auto"/>
                <w:szCs w:val="21"/>
              </w:rPr>
              <w:t>95张/分钟；</w:t>
            </w:r>
          </w:p>
          <w:p>
            <w:pPr>
              <w:spacing w:line="300" w:lineRule="exact"/>
              <w:rPr>
                <w:rFonts w:hint="eastAsia" w:ascii="宋体" w:hAnsi="宋体" w:eastAsia="宋体" w:cs="宋体"/>
                <w:bCs/>
                <w:color w:val="auto"/>
                <w:szCs w:val="21"/>
              </w:rPr>
            </w:pPr>
            <w:r>
              <w:rPr>
                <w:rFonts w:hint="eastAsia" w:ascii="宋体" w:hAnsi="宋体" w:eastAsia="宋体" w:cs="宋体"/>
                <w:bCs/>
                <w:color w:val="auto"/>
                <w:szCs w:val="21"/>
              </w:rPr>
              <w:t>2、自动网络双面打印同步扫描输稿器；</w:t>
            </w:r>
          </w:p>
          <w:p>
            <w:pPr>
              <w:spacing w:line="300" w:lineRule="exact"/>
              <w:rPr>
                <w:rFonts w:hint="eastAsia"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w:t>
            </w:r>
            <w:r>
              <w:rPr>
                <w:rFonts w:hint="eastAsia" w:ascii="宋体" w:hAnsi="宋体" w:eastAsia="宋体" w:cs="宋体"/>
                <w:bCs/>
                <w:color w:val="auto"/>
                <w:szCs w:val="21"/>
                <w:lang w:eastAsia="zh-CN"/>
              </w:rPr>
              <w:t>纸盒</w:t>
            </w:r>
            <w:r>
              <w:rPr>
                <w:rFonts w:hint="eastAsia" w:ascii="宋体" w:hAnsi="宋体" w:eastAsia="宋体" w:cs="宋体"/>
                <w:bCs/>
                <w:color w:val="auto"/>
                <w:szCs w:val="21"/>
              </w:rPr>
              <w:t>适用度</w:t>
            </w:r>
            <w:r>
              <w:rPr>
                <w:rFonts w:hint="eastAsia" w:ascii="宋体" w:hAnsi="宋体" w:eastAsia="宋体" w:cs="宋体"/>
                <w:bCs/>
                <w:color w:val="auto"/>
                <w:szCs w:val="21"/>
                <w:lang w:eastAsia="zh-CN"/>
              </w:rPr>
              <w:t>≥</w:t>
            </w:r>
            <w:r>
              <w:rPr>
                <w:rFonts w:hint="eastAsia" w:ascii="宋体" w:hAnsi="宋体" w:eastAsia="宋体" w:cs="宋体"/>
                <w:bCs/>
                <w:color w:val="auto"/>
                <w:szCs w:val="21"/>
              </w:rPr>
              <w:t>4个纸盒，手送托盘，70G双胶纸；</w:t>
            </w:r>
          </w:p>
          <w:p>
            <w:pPr>
              <w:spacing w:line="300" w:lineRule="exact"/>
              <w:rPr>
                <w:rFonts w:hint="eastAsia"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w:t>
            </w:r>
            <w:r>
              <w:rPr>
                <w:rFonts w:hint="eastAsia" w:ascii="宋体" w:hAnsi="宋体" w:eastAsia="宋体" w:cs="宋体"/>
                <w:bCs/>
                <w:color w:val="auto"/>
                <w:szCs w:val="21"/>
                <w:lang w:eastAsia="zh-CN"/>
              </w:rPr>
              <w:t>纸盒</w:t>
            </w:r>
            <w:r>
              <w:rPr>
                <w:rFonts w:hint="eastAsia" w:ascii="宋体" w:hAnsi="宋体" w:eastAsia="宋体" w:cs="宋体"/>
                <w:bCs/>
                <w:color w:val="auto"/>
                <w:szCs w:val="21"/>
              </w:rPr>
              <w:t>容量</w:t>
            </w:r>
            <w:r>
              <w:rPr>
                <w:rFonts w:hint="eastAsia" w:ascii="宋体" w:hAnsi="宋体" w:eastAsia="宋体" w:cs="宋体"/>
                <w:bCs/>
                <w:color w:val="auto"/>
                <w:szCs w:val="21"/>
                <w:lang w:eastAsia="zh-CN"/>
              </w:rPr>
              <w:t>≥</w:t>
            </w:r>
            <w:r>
              <w:rPr>
                <w:rFonts w:hint="eastAsia" w:ascii="宋体" w:hAnsi="宋体" w:eastAsia="宋体" w:cs="宋体"/>
                <w:bCs/>
                <w:color w:val="auto"/>
                <w:szCs w:val="21"/>
              </w:rPr>
              <w:t>8K容量1000/张/个；</w:t>
            </w:r>
          </w:p>
          <w:p>
            <w:pPr>
              <w:spacing w:line="300" w:lineRule="exact"/>
              <w:rPr>
                <w:rFonts w:hint="eastAsia" w:ascii="宋体" w:hAnsi="宋体" w:eastAsia="宋体" w:cs="宋体"/>
                <w:bCs/>
                <w:color w:val="auto"/>
                <w:szCs w:val="21"/>
              </w:rPr>
            </w:pP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、输出纸张尺寸，除了国标尺寸，需支持自定义尺寸的双面打印，8K或长纸打印；</w:t>
            </w:r>
          </w:p>
          <w:p>
            <w:pPr>
              <w:spacing w:line="300" w:lineRule="exact"/>
              <w:rPr>
                <w:rFonts w:hint="eastAsia" w:ascii="宋体" w:hAnsi="宋体" w:eastAsia="宋体" w:cs="宋体"/>
                <w:bCs/>
                <w:color w:val="auto"/>
                <w:szCs w:val="21"/>
              </w:rPr>
            </w:pP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、鼓组件更换周期</w:t>
            </w:r>
            <w:r>
              <w:rPr>
                <w:rFonts w:hint="eastAsia" w:ascii="宋体" w:hAnsi="宋体" w:eastAsia="宋体" w:cs="宋体"/>
                <w:bCs/>
                <w:color w:val="auto"/>
                <w:szCs w:val="21"/>
                <w:lang w:eastAsia="zh-CN"/>
              </w:rPr>
              <w:t>≥</w:t>
            </w:r>
            <w:r>
              <w:rPr>
                <w:rFonts w:hint="eastAsia" w:ascii="宋体" w:hAnsi="宋体" w:eastAsia="宋体" w:cs="宋体"/>
                <w:bCs/>
                <w:color w:val="auto"/>
                <w:szCs w:val="21"/>
              </w:rPr>
              <w:t>40万张；</w:t>
            </w:r>
          </w:p>
          <w:p>
            <w:pPr>
              <w:spacing w:line="300" w:lineRule="exact"/>
              <w:rPr>
                <w:rFonts w:ascii="宋体" w:hAnsi="宋体" w:eastAsia="宋体" w:cs="宋体"/>
                <w:color w:val="auto"/>
                <w:kern w:val="0"/>
                <w:szCs w:val="21"/>
                <w:lang w:bidi="ar"/>
              </w:rPr>
            </w:pPr>
            <w:r>
              <w:rPr>
                <w:rFonts w:hint="eastAsia" w:ascii="宋体" w:hAnsi="宋体" w:eastAsia="宋体" w:cs="宋体"/>
                <w:bCs/>
                <w:color w:val="auto"/>
                <w:szCs w:val="21"/>
                <w:lang w:val="en-US" w:eastAsia="zh-CN"/>
              </w:rPr>
              <w:t>7</w:t>
            </w:r>
            <w:r>
              <w:rPr>
                <w:rFonts w:hint="eastAsia" w:ascii="宋体" w:hAnsi="宋体" w:eastAsia="宋体" w:cs="宋体"/>
                <w:bCs/>
                <w:color w:val="auto"/>
                <w:szCs w:val="21"/>
              </w:rPr>
              <w:t>、碳粉更换周期</w:t>
            </w:r>
            <w:r>
              <w:rPr>
                <w:rFonts w:hint="eastAsia" w:ascii="宋体" w:hAnsi="宋体" w:eastAsia="宋体" w:cs="宋体"/>
                <w:bCs/>
                <w:color w:val="auto"/>
                <w:szCs w:val="21"/>
                <w:lang w:eastAsia="zh-CN"/>
              </w:rPr>
              <w:t>≥</w:t>
            </w:r>
            <w:r>
              <w:rPr>
                <w:rFonts w:hint="eastAsia" w:ascii="宋体" w:hAnsi="宋体" w:eastAsia="宋体" w:cs="宋体"/>
                <w:bCs/>
                <w:color w:val="auto"/>
                <w:szCs w:val="21"/>
              </w:rPr>
              <w:t>4万张。</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台</w:t>
            </w:r>
          </w:p>
        </w:tc>
      </w:tr>
      <w:tr>
        <w:tblPrEx>
          <w:tblCellMar>
            <w:top w:w="0" w:type="dxa"/>
            <w:left w:w="0" w:type="dxa"/>
            <w:bottom w:w="0" w:type="dxa"/>
            <w:right w:w="0" w:type="dxa"/>
          </w:tblCellMar>
        </w:tblPrEx>
        <w:trPr>
          <w:trHeight w:val="90"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szCs w:val="21"/>
                <w:lang w:bidi="ar"/>
              </w:rPr>
              <w:t>★</w:t>
            </w:r>
            <w:r>
              <w:rPr>
                <w:rFonts w:hint="eastAsia" w:ascii="宋体" w:hAnsi="宋体" w:eastAsia="宋体" w:cs="宋体"/>
                <w:color w:val="auto"/>
                <w:kern w:val="0"/>
                <w:szCs w:val="21"/>
                <w:lang w:bidi="ar"/>
              </w:rPr>
              <w:t>高速扫描仪</w:t>
            </w:r>
          </w:p>
        </w:tc>
        <w:tc>
          <w:tcPr>
            <w:tcW w:w="6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ascii="宋体" w:hAnsi="宋体" w:eastAsia="宋体" w:cs="宋体"/>
                <w:color w:val="auto"/>
                <w:kern w:val="0"/>
                <w:szCs w:val="21"/>
              </w:rPr>
            </w:pPr>
            <w:r>
              <w:rPr>
                <w:rFonts w:hint="eastAsia" w:ascii="宋体" w:hAnsi="宋体" w:eastAsia="宋体" w:cs="宋体"/>
                <w:bCs/>
                <w:color w:val="auto"/>
                <w:szCs w:val="21"/>
              </w:rPr>
              <w:t>1</w:t>
            </w:r>
            <w:r>
              <w:rPr>
                <w:rFonts w:hint="eastAsia" w:ascii="宋体" w:hAnsi="宋体" w:eastAsia="宋体" w:cs="宋体"/>
                <w:bCs/>
                <w:color w:val="auto"/>
                <w:szCs w:val="21"/>
                <w:lang w:eastAsia="zh-CN"/>
              </w:rPr>
              <w:t>、</w:t>
            </w:r>
            <w:r>
              <w:rPr>
                <w:rFonts w:hint="eastAsia" w:ascii="宋体" w:hAnsi="宋体" w:eastAsia="宋体" w:cs="宋体"/>
                <w:bCs/>
                <w:color w:val="auto"/>
                <w:szCs w:val="21"/>
              </w:rPr>
              <w:t>类型：</w:t>
            </w:r>
            <w:r>
              <w:rPr>
                <w:rFonts w:hint="eastAsia" w:ascii="宋体" w:hAnsi="宋体" w:eastAsia="宋体" w:cs="宋体"/>
                <w:color w:val="auto"/>
                <w:kern w:val="0"/>
                <w:szCs w:val="21"/>
              </w:rPr>
              <w:t>A3扫描仪</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文稿送入类型：自动或手动送入</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文件尺寸：宽度：53-300mm；长度：70-432mm。</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4</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支持薄纸：薄纸支持≤ 30 g/ m</w:t>
            </w:r>
            <w:r>
              <w:rPr>
                <w:rFonts w:hint="eastAsia" w:ascii="宋体" w:hAnsi="宋体" w:eastAsia="宋体" w:cs="宋体"/>
                <w:color w:val="auto"/>
                <w:kern w:val="0"/>
                <w:szCs w:val="21"/>
                <w:vertAlign w:val="superscript"/>
              </w:rPr>
              <w:t>2</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5</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双通道走纸设计：U型通道和直通行通道并存, 纸张适应性强</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6</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扫描元件：CMOS图像传感器</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7</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光源：LED(红，绿，蓝)</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8</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扫描面：单面/双面</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9</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扫描模式：黑白/错误扩散/高速文本增强/高级文本增强/高级文本增强II /8位(256级)灰度/24位彩色/自动彩色检测</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10</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最大分辨率：600x600dpi</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11</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扫描速度：扫描速度不低于： 50ppm/100ipm</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12</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扫描驱动：ISIS/TWAIN</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13</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扫描仪内置图象压缩：JPEG或CCITT 压缩</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14</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图像输出格式： JPEG ; TIFF; BMP; PDF；可检索PDF以及加密</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15</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高级文本增强：对于彩色背景、浅色字迹或铅笔书写的文稿，可以检测字迹的位置并对字迹加深使得扫描出的图象文本更加清晰。</w:t>
            </w:r>
          </w:p>
          <w:p>
            <w:pPr>
              <w:spacing w:line="300" w:lineRule="exact"/>
              <w:rPr>
                <w:rFonts w:ascii="宋体" w:hAnsi="宋体" w:eastAsia="宋体" w:cs="宋体"/>
                <w:color w:val="auto"/>
                <w:kern w:val="0"/>
                <w:szCs w:val="21"/>
              </w:rPr>
            </w:pPr>
            <w:r>
              <w:rPr>
                <w:rFonts w:hint="eastAsia" w:ascii="宋体" w:hAnsi="宋体" w:eastAsia="宋体" w:cs="宋体"/>
                <w:color w:val="auto"/>
                <w:kern w:val="0"/>
                <w:szCs w:val="21"/>
              </w:rPr>
              <w:t>16</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其它功能：仅计数模式，歪斜校正，移除装订孔，跳过空白页，除色/颜色增强，批次分离，TIFF彩色压缩扫描。支持批量自动数字OCR、支持批量数字编号识别为文件名自动保存，订书钉检测，双色流输出</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台</w:t>
            </w:r>
          </w:p>
        </w:tc>
      </w:tr>
      <w:tr>
        <w:tblPrEx>
          <w:tblCellMar>
            <w:top w:w="0" w:type="dxa"/>
            <w:left w:w="0" w:type="dxa"/>
            <w:bottom w:w="0" w:type="dxa"/>
            <w:right w:w="0" w:type="dxa"/>
          </w:tblCellMar>
        </w:tblPrEx>
        <w:trPr>
          <w:trHeight w:val="987"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碎纸机</w:t>
            </w:r>
          </w:p>
        </w:tc>
        <w:tc>
          <w:tcPr>
            <w:tcW w:w="6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★粒状，碎纸效果</w:t>
            </w:r>
            <w:r>
              <w:rPr>
                <w:rStyle w:val="132"/>
                <w:rFonts w:hint="eastAsia" w:ascii="宋体" w:hAnsi="宋体" w:eastAsia="宋体" w:cs="宋体"/>
                <w:color w:val="auto"/>
                <w:sz w:val="21"/>
                <w:szCs w:val="21"/>
                <w:lang w:bidi="ar"/>
              </w:rPr>
              <w:t>≤</w:t>
            </w:r>
            <w:r>
              <w:rPr>
                <w:rFonts w:hint="eastAsia" w:ascii="宋体" w:hAnsi="宋体" w:eastAsia="宋体" w:cs="宋体"/>
                <w:szCs w:val="21"/>
                <w:lang w:bidi="ar"/>
              </w:rPr>
              <w:t>2*6</w:t>
            </w:r>
            <w:r>
              <w:rPr>
                <w:rFonts w:hint="eastAsia" w:ascii="宋体" w:hAnsi="宋体" w:eastAsia="宋体" w:cs="宋体"/>
                <w:szCs w:val="21"/>
                <w:lang w:val="en-US" w:eastAsia="zh-CN" w:bidi="ar"/>
              </w:rPr>
              <w:t>mm</w:t>
            </w:r>
            <w:r>
              <w:rPr>
                <w:rFonts w:hint="eastAsia" w:ascii="宋体" w:hAnsi="宋体" w:eastAsia="宋体" w:cs="宋体"/>
                <w:szCs w:val="21"/>
                <w:lang w:bidi="ar"/>
              </w:rPr>
              <w:t>；碎纸能力</w:t>
            </w:r>
            <w:r>
              <w:rPr>
                <w:rFonts w:hint="eastAsia" w:ascii="宋体" w:hAnsi="宋体" w:eastAsia="宋体" w:cs="宋体"/>
                <w:kern w:val="0"/>
                <w:szCs w:val="21"/>
                <w:lang w:bidi="ar"/>
              </w:rPr>
              <w:t>≥</w:t>
            </w:r>
            <w:r>
              <w:rPr>
                <w:rFonts w:hint="eastAsia" w:ascii="宋体" w:hAnsi="宋体" w:eastAsia="宋体" w:cs="宋体"/>
                <w:szCs w:val="21"/>
                <w:lang w:bidi="ar"/>
              </w:rPr>
              <w:t>4-6张，碎纸速度</w:t>
            </w:r>
            <w:r>
              <w:rPr>
                <w:rFonts w:hint="eastAsia" w:ascii="宋体" w:hAnsi="宋体" w:eastAsia="宋体" w:cs="宋体"/>
                <w:kern w:val="0"/>
                <w:szCs w:val="21"/>
                <w:lang w:bidi="ar"/>
              </w:rPr>
              <w:t>≥</w:t>
            </w:r>
            <w:r>
              <w:rPr>
                <w:rFonts w:hint="eastAsia" w:ascii="宋体" w:hAnsi="宋体" w:eastAsia="宋体" w:cs="宋体"/>
                <w:szCs w:val="21"/>
                <w:lang w:bidi="ar"/>
              </w:rPr>
              <w:t>3.5米/分；碎纸宽度</w:t>
            </w:r>
            <w:r>
              <w:rPr>
                <w:rStyle w:val="132"/>
                <w:rFonts w:hint="eastAsia" w:ascii="宋体" w:hAnsi="宋体" w:eastAsia="宋体" w:cs="宋体"/>
                <w:color w:val="auto"/>
                <w:sz w:val="21"/>
                <w:szCs w:val="21"/>
                <w:lang w:bidi="ar"/>
              </w:rPr>
              <w:t>≤</w:t>
            </w:r>
            <w:r>
              <w:rPr>
                <w:rFonts w:hint="eastAsia" w:ascii="宋体" w:hAnsi="宋体" w:eastAsia="宋体" w:cs="宋体"/>
                <w:szCs w:val="21"/>
                <w:lang w:bidi="ar"/>
              </w:rPr>
              <w:t>220</w:t>
            </w:r>
            <w:r>
              <w:rPr>
                <w:rFonts w:hint="eastAsia" w:ascii="宋体" w:hAnsi="宋体" w:eastAsia="宋体" w:cs="宋体"/>
                <w:szCs w:val="21"/>
                <w:lang w:eastAsia="zh-CN" w:bidi="ar"/>
              </w:rPr>
              <w:t>mm</w:t>
            </w:r>
            <w:r>
              <w:rPr>
                <w:rFonts w:hint="eastAsia" w:ascii="宋体" w:hAnsi="宋体" w:eastAsia="宋体" w:cs="宋体"/>
                <w:szCs w:val="21"/>
                <w:lang w:bidi="ar"/>
              </w:rPr>
              <w:t>；碎纸箱容积</w:t>
            </w:r>
            <w:r>
              <w:rPr>
                <w:rFonts w:hint="eastAsia" w:ascii="宋体" w:hAnsi="宋体" w:eastAsia="宋体" w:cs="宋体"/>
                <w:kern w:val="0"/>
                <w:szCs w:val="21"/>
                <w:lang w:bidi="ar"/>
              </w:rPr>
              <w:t>≥</w:t>
            </w:r>
            <w:r>
              <w:rPr>
                <w:rFonts w:hint="eastAsia" w:ascii="宋体" w:hAnsi="宋体" w:eastAsia="宋体" w:cs="宋体"/>
                <w:szCs w:val="21"/>
                <w:lang w:bidi="ar"/>
              </w:rPr>
              <w:t>20L；保密等级：4级</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r>
      <w:tr>
        <w:tblPrEx>
          <w:tblCellMar>
            <w:top w:w="0" w:type="dxa"/>
            <w:left w:w="0" w:type="dxa"/>
            <w:bottom w:w="0" w:type="dxa"/>
            <w:right w:w="0" w:type="dxa"/>
          </w:tblCellMar>
        </w:tblPrEx>
        <w:trPr>
          <w:trHeight w:val="346" w:hRule="atLeast"/>
        </w:trPr>
        <w:tc>
          <w:tcPr>
            <w:tcW w:w="746"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96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电脑</w:t>
            </w:r>
          </w:p>
        </w:tc>
        <w:tc>
          <w:tcPr>
            <w:tcW w:w="6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I5/4G/1T/集显/win10/19.5液晶</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r>
      <w:tr>
        <w:tblPrEx>
          <w:tblCellMar>
            <w:top w:w="0" w:type="dxa"/>
            <w:left w:w="0" w:type="dxa"/>
            <w:bottom w:w="0" w:type="dxa"/>
            <w:right w:w="0" w:type="dxa"/>
          </w:tblCellMar>
        </w:tblPrEx>
        <w:trPr>
          <w:trHeight w:val="90"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裁纸机</w:t>
            </w:r>
          </w:p>
        </w:tc>
        <w:tc>
          <w:tcPr>
            <w:tcW w:w="6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手动切纸机，裁切精度(</w:t>
            </w:r>
            <w:r>
              <w:rPr>
                <w:rFonts w:hint="eastAsia" w:ascii="宋体" w:hAnsi="宋体" w:eastAsia="宋体" w:cs="宋体"/>
                <w:kern w:val="0"/>
                <w:szCs w:val="21"/>
                <w:lang w:eastAsia="zh-CN" w:bidi="ar"/>
              </w:rPr>
              <w:t>mm</w:t>
            </w:r>
            <w:r>
              <w:rPr>
                <w:rFonts w:hint="eastAsia" w:ascii="宋体" w:hAnsi="宋体" w:eastAsia="宋体" w:cs="宋体"/>
                <w:kern w:val="0"/>
                <w:szCs w:val="21"/>
                <w:lang w:bidi="ar"/>
              </w:rPr>
              <w:t>)：≥±0.5， 裁切厚度(</w:t>
            </w:r>
            <w:r>
              <w:rPr>
                <w:rFonts w:hint="eastAsia" w:ascii="宋体" w:hAnsi="宋体" w:eastAsia="宋体" w:cs="宋体"/>
                <w:kern w:val="0"/>
                <w:szCs w:val="21"/>
                <w:lang w:eastAsia="zh-CN" w:bidi="ar"/>
              </w:rPr>
              <w:t>mm</w:t>
            </w:r>
            <w:r>
              <w:rPr>
                <w:rFonts w:hint="eastAsia" w:ascii="宋体" w:hAnsi="宋体" w:eastAsia="宋体" w:cs="宋体"/>
                <w:kern w:val="0"/>
                <w:szCs w:val="21"/>
                <w:lang w:bidi="ar"/>
              </w:rPr>
              <w:t>)：≥40；裁切幅面：A4；裁切纸张(页)： 5-400；最大裁切尺寸(mm)：315；压纸方式：手动；切纸方式：手动；推纸方式：手动；</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r>
      <w:tr>
        <w:tblPrEx>
          <w:tblCellMar>
            <w:top w:w="0" w:type="dxa"/>
            <w:left w:w="0" w:type="dxa"/>
            <w:bottom w:w="0" w:type="dxa"/>
            <w:right w:w="0" w:type="dxa"/>
          </w:tblCellMar>
        </w:tblPrEx>
        <w:trPr>
          <w:trHeight w:val="667"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其它辅助小设备</w:t>
            </w:r>
          </w:p>
        </w:tc>
        <w:tc>
          <w:tcPr>
            <w:tcW w:w="6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英语读卡机、小型装钉机、美工刀、胶水、回形针等</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批</w:t>
            </w:r>
          </w:p>
        </w:tc>
      </w:tr>
      <w:tr>
        <w:tblPrEx>
          <w:tblCellMar>
            <w:top w:w="0" w:type="dxa"/>
            <w:left w:w="0" w:type="dxa"/>
            <w:bottom w:w="0" w:type="dxa"/>
            <w:right w:w="0" w:type="dxa"/>
          </w:tblCellMar>
        </w:tblPrEx>
        <w:trPr>
          <w:trHeight w:val="1666"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教学诊断平台</w:t>
            </w:r>
          </w:p>
        </w:tc>
        <w:tc>
          <w:tcPr>
            <w:tcW w:w="6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★1、平台包含管理、制作、扫描、批阅、分析、数据运用等子模块，满足学校日常作业及期中、末考试的数据采集及数据分析，支持先批后扫及先扫后批等多种批阅模式。</w:t>
            </w:r>
          </w:p>
          <w:p>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★2、支持现有常州市区、联盟、外地等组织的大型考试与单校考试数据无缝融合，并兼容校方原教学诊断系统。（标书中提供证明材料）</w:t>
            </w:r>
          </w:p>
          <w:p>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★3、需满足不同科目老师出卷方式多样化的需求，系统同时支持基于Microsoft word插件和web出卷方式；</w:t>
            </w:r>
          </w:p>
          <w:p>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★4、无论纸阅、网阅，阅卷后的所有痕迹自动保存，可以完全反打到学生作答的原始卷面上；</w:t>
            </w:r>
          </w:p>
          <w:p>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可以提供每次大型及阶段性测评诊断报告，报告不仅限于学生成绩趋势分析、优劣势知识点得分情况、知识点掌握情况、得分明细表，本次测试的错题、学生个体情况推送的精准化的演变题。每一道错题，均包含知识点、个人和班级得分率、题干及答案。</w:t>
            </w:r>
          </w:p>
          <w:p>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6、同时可以提供班级诊断报告，报告不仅限于班级成绩趋势分析、考试情况分析、知识点掌握情况，本次测试的班级错题、演变题及解析，每道错题包含错题人数、班级得分率、知识点分析。</w:t>
            </w:r>
          </w:p>
          <w:p>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7、投标文件提供诊断报告样册前三页</w:t>
            </w:r>
          </w:p>
          <w:p>
            <w:pPr>
              <w:spacing w:line="3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8、提供师生个性化错题分析电子版</w:t>
            </w:r>
          </w:p>
          <w:p>
            <w:pPr>
              <w:spacing w:line="300" w:lineRule="exact"/>
              <w:rPr>
                <w:rFonts w:ascii="宋体" w:hAnsi="宋体" w:eastAsia="宋体" w:cs="宋体"/>
                <w:kern w:val="0"/>
                <w:szCs w:val="21"/>
                <w:highlight w:val="none"/>
                <w:lang w:bidi="ar"/>
              </w:rPr>
            </w:pPr>
            <w:r>
              <w:rPr>
                <w:rFonts w:hint="eastAsia" w:ascii="宋体" w:hAnsi="宋体" w:eastAsia="宋体" w:cs="宋体"/>
                <w:color w:val="auto"/>
                <w:kern w:val="0"/>
                <w:szCs w:val="21"/>
                <w:highlight w:val="none"/>
              </w:rPr>
              <w:t>9、提供学生端个性拓展自选功能</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套</w:t>
            </w:r>
          </w:p>
        </w:tc>
      </w:tr>
    </w:tbl>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说明：</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（1）所有文印中心的设备（打印机、复印机、电脑、读卡机及碎纸机等），常用耗材、配件及维护、纸张需免费提供。</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（2）教学诊断所涉及到的平台、扫描仪及后期维护均由服务公司免费提供，所提供的教学诊断必须满足与区域测评平台兼容。</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（3）以上数量为</w:t>
      </w:r>
      <w:r>
        <w:rPr>
          <w:rFonts w:hint="eastAsia" w:asciiTheme="minorEastAsia" w:hAnsiTheme="minorEastAsia" w:cstheme="minorEastAsia"/>
          <w:bCs/>
          <w:sz w:val="24"/>
          <w:szCs w:val="24"/>
          <w:lang w:eastAsia="zh-CN"/>
        </w:rPr>
        <w:t>文印</w:t>
      </w:r>
      <w:r>
        <w:rPr>
          <w:rFonts w:hint="eastAsia" w:asciiTheme="minorEastAsia" w:hAnsiTheme="minorEastAsia" w:cstheme="minorEastAsia"/>
          <w:bCs/>
          <w:sz w:val="24"/>
          <w:szCs w:val="24"/>
        </w:rPr>
        <w:t>中心基本配制，需一次性安装到位，并确保正常使用.</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（4）★号为重要项，不接受负偏离。负偏离作为无效投标文件处理，</w:t>
      </w:r>
      <w:r>
        <w:rPr>
          <w:rFonts w:hint="eastAsia" w:asciiTheme="minorEastAsia" w:hAnsiTheme="minorEastAsia" w:cstheme="minorEastAsia"/>
          <w:bCs/>
          <w:sz w:val="24"/>
          <w:szCs w:val="24"/>
          <w:highlight w:val="yellow"/>
        </w:rPr>
        <w:t>提供《技术参数响应及偏离表》。</w:t>
      </w:r>
    </w:p>
    <w:p>
      <w:pPr>
        <w:numPr>
          <w:ilvl w:val="0"/>
          <w:numId w:val="6"/>
        </w:num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工作人员的人数及资质要求</w:t>
      </w:r>
    </w:p>
    <w:tbl>
      <w:tblPr>
        <w:tblStyle w:val="31"/>
        <w:tblpPr w:leftFromText="180" w:rightFromText="180" w:vertAnchor="text" w:horzAnchor="page" w:tblpX="1392" w:tblpY="197"/>
        <w:tblOverlap w:val="never"/>
        <w:tblW w:w="9339" w:type="dxa"/>
        <w:tblInd w:w="0" w:type="dxa"/>
        <w:tblLayout w:type="fixed"/>
        <w:tblCellMar>
          <w:top w:w="0" w:type="dxa"/>
          <w:left w:w="0" w:type="dxa"/>
          <w:bottom w:w="0" w:type="dxa"/>
          <w:right w:w="0" w:type="dxa"/>
        </w:tblCellMar>
      </w:tblPr>
      <w:tblGrid>
        <w:gridCol w:w="1281"/>
        <w:gridCol w:w="1863"/>
        <w:gridCol w:w="6195"/>
      </w:tblGrid>
      <w:tr>
        <w:tblPrEx>
          <w:tblCellMar>
            <w:top w:w="0" w:type="dxa"/>
            <w:left w:w="0" w:type="dxa"/>
            <w:bottom w:w="0" w:type="dxa"/>
            <w:right w:w="0" w:type="dxa"/>
          </w:tblCellMar>
        </w:tblPrEx>
        <w:trPr>
          <w:trHeight w:val="330"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序号</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类别</w:t>
            </w: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要求</w:t>
            </w:r>
          </w:p>
        </w:tc>
      </w:tr>
      <w:tr>
        <w:tblPrEx>
          <w:tblCellMar>
            <w:top w:w="0" w:type="dxa"/>
            <w:left w:w="0" w:type="dxa"/>
            <w:bottom w:w="0" w:type="dxa"/>
            <w:right w:w="0" w:type="dxa"/>
          </w:tblCellMar>
        </w:tblPrEx>
        <w:trPr>
          <w:trHeight w:val="330"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人员配置</w:t>
            </w: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1人或以上，从事文印及扫描分析工作</w:t>
            </w:r>
          </w:p>
        </w:tc>
      </w:tr>
      <w:tr>
        <w:tblPrEx>
          <w:tblCellMar>
            <w:top w:w="0" w:type="dxa"/>
            <w:left w:w="0" w:type="dxa"/>
            <w:bottom w:w="0" w:type="dxa"/>
            <w:right w:w="0" w:type="dxa"/>
          </w:tblCellMar>
        </w:tblPrEx>
        <w:trPr>
          <w:trHeight w:val="1548"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工作技能</w:t>
            </w: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7"/>
              </w:numPr>
              <w:jc w:val="left"/>
              <w:textAlignment w:val="center"/>
              <w:rPr>
                <w:rFonts w:ascii="宋体" w:hAnsi="宋体" w:eastAsia="宋体" w:cs="宋体"/>
                <w:szCs w:val="21"/>
              </w:rPr>
            </w:pPr>
            <w:r>
              <w:rPr>
                <w:rFonts w:hint="eastAsia" w:ascii="宋体" w:hAnsi="宋体" w:eastAsia="宋体" w:cs="宋体"/>
                <w:szCs w:val="21"/>
              </w:rPr>
              <w:t>具有排版、油印、复印、扫描、打印、试卷分卷、封卷，文档装钉服务技能</w:t>
            </w:r>
          </w:p>
          <w:p>
            <w:pPr>
              <w:widowControl/>
              <w:numPr>
                <w:ilvl w:val="0"/>
                <w:numId w:val="7"/>
              </w:numPr>
              <w:jc w:val="left"/>
              <w:textAlignment w:val="center"/>
              <w:rPr>
                <w:rFonts w:ascii="宋体" w:hAnsi="宋体" w:eastAsia="宋体" w:cs="宋体"/>
                <w:szCs w:val="21"/>
              </w:rPr>
            </w:pPr>
            <w:r>
              <w:rPr>
                <w:rFonts w:hint="eastAsia" w:ascii="宋体" w:hAnsi="宋体" w:eastAsia="宋体" w:cs="宋体"/>
                <w:szCs w:val="21"/>
              </w:rPr>
              <w:t>具有电子记</w:t>
            </w:r>
            <w:r>
              <w:rPr>
                <w:rFonts w:hint="eastAsia" w:ascii="宋体" w:hAnsi="宋体" w:eastAsia="宋体" w:cs="宋体"/>
                <w:szCs w:val="21"/>
                <w:lang w:eastAsia="zh-CN"/>
              </w:rPr>
              <w:t>账</w:t>
            </w:r>
            <w:r>
              <w:rPr>
                <w:rFonts w:hint="eastAsia" w:ascii="宋体" w:hAnsi="宋体" w:eastAsia="宋体" w:cs="宋体"/>
                <w:szCs w:val="21"/>
              </w:rPr>
              <w:t>及使用OA办公系统能力</w:t>
            </w:r>
          </w:p>
          <w:p>
            <w:pPr>
              <w:widowControl/>
              <w:numPr>
                <w:ilvl w:val="0"/>
                <w:numId w:val="7"/>
              </w:numPr>
              <w:jc w:val="left"/>
              <w:textAlignment w:val="center"/>
              <w:rPr>
                <w:rFonts w:ascii="宋体" w:hAnsi="宋体" w:eastAsia="宋体" w:cs="宋体"/>
                <w:szCs w:val="21"/>
              </w:rPr>
            </w:pPr>
            <w:r>
              <w:rPr>
                <w:rFonts w:hint="eastAsia" w:ascii="宋体" w:hAnsi="宋体" w:eastAsia="宋体" w:cs="宋体"/>
                <w:szCs w:val="21"/>
              </w:rPr>
              <w:t>具有良好服务能力，与师生沟通能力</w:t>
            </w:r>
          </w:p>
          <w:p>
            <w:pPr>
              <w:pStyle w:val="133"/>
              <w:rPr>
                <w:rFonts w:hAnsi="宋体"/>
                <w:color w:val="auto"/>
                <w:sz w:val="21"/>
                <w:szCs w:val="21"/>
              </w:rPr>
            </w:pPr>
            <w:r>
              <w:rPr>
                <w:rFonts w:hint="eastAsia" w:hAnsi="宋体"/>
                <w:color w:val="auto"/>
                <w:sz w:val="21"/>
                <w:szCs w:val="21"/>
              </w:rPr>
              <w:t>4、具有高速扫描技能及教学诊断平台操作能力</w:t>
            </w:r>
          </w:p>
        </w:tc>
      </w:tr>
      <w:tr>
        <w:tblPrEx>
          <w:tblCellMar>
            <w:top w:w="0" w:type="dxa"/>
            <w:left w:w="0" w:type="dxa"/>
            <w:bottom w:w="0" w:type="dxa"/>
            <w:right w:w="0" w:type="dxa"/>
          </w:tblCellMar>
        </w:tblPrEx>
        <w:trPr>
          <w:trHeight w:val="1381"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资质及工作经历</w:t>
            </w: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1、具有高中以上的学历，从事过同类型或办公行政类的工作经验</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2、具有保密意识，最好能通过相关保密培训，并取得相关证书</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3、是常州常驻人员，与服务公司有合法的劳务关系，符合用工劳动法。</w:t>
            </w:r>
          </w:p>
        </w:tc>
      </w:tr>
      <w:tr>
        <w:tblPrEx>
          <w:tblCellMar>
            <w:top w:w="0" w:type="dxa"/>
            <w:left w:w="0" w:type="dxa"/>
            <w:bottom w:w="0" w:type="dxa"/>
            <w:right w:w="0" w:type="dxa"/>
          </w:tblCellMar>
        </w:tblPrEx>
        <w:trPr>
          <w:trHeight w:val="330"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人员工资及福利</w:t>
            </w: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工资、福利、保险及安全保障均</w:t>
            </w:r>
            <w:r>
              <w:rPr>
                <w:rFonts w:hint="eastAsia" w:ascii="宋体" w:hAnsi="宋体" w:eastAsia="宋体" w:cs="宋体"/>
                <w:kern w:val="0"/>
                <w:szCs w:val="21"/>
                <w:lang w:val="en-US" w:eastAsia="zh-CN" w:bidi="ar"/>
              </w:rPr>
              <w:t>由</w:t>
            </w:r>
            <w:r>
              <w:rPr>
                <w:rFonts w:hint="eastAsia" w:ascii="宋体" w:hAnsi="宋体" w:eastAsia="宋体" w:cs="宋体"/>
                <w:kern w:val="0"/>
                <w:szCs w:val="21"/>
                <w:lang w:bidi="ar"/>
              </w:rPr>
              <w:t>服务公司负责</w:t>
            </w:r>
          </w:p>
        </w:tc>
      </w:tr>
      <w:tr>
        <w:tblPrEx>
          <w:tblCellMar>
            <w:top w:w="0" w:type="dxa"/>
            <w:left w:w="0" w:type="dxa"/>
            <w:bottom w:w="0" w:type="dxa"/>
            <w:right w:w="0" w:type="dxa"/>
          </w:tblCellMar>
        </w:tblPrEx>
        <w:trPr>
          <w:trHeight w:val="1253"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 xml:space="preserve">保密要求 </w:t>
            </w:r>
          </w:p>
        </w:tc>
        <w:tc>
          <w:tcPr>
            <w:tcW w:w="6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严格执行涉密文件及试卷的保密要求，不得泄密。一经发现泄密现象，经查实，确认，校方据严重程度，给予2000-20000元不等的经济处罚，并有权单方面终止合同。</w:t>
            </w:r>
          </w:p>
        </w:tc>
      </w:tr>
    </w:tbl>
    <w:p>
      <w:pPr>
        <w:numPr>
          <w:ilvl w:val="0"/>
          <w:numId w:val="6"/>
        </w:num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服务要求</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文印</w:t>
      </w:r>
      <w:r>
        <w:rPr>
          <w:rFonts w:asciiTheme="minorEastAsia" w:hAnsiTheme="minorEastAsia" w:cstheme="minorEastAsia"/>
          <w:bCs/>
          <w:sz w:val="24"/>
          <w:szCs w:val="24"/>
        </w:rPr>
        <w:t>中心的所有打印机、复印机、电脑、扫描仪及碎纸机等设备、常用耗材、配件及维护、纸张及教学诊断平台均</w:t>
      </w:r>
      <w:r>
        <w:rPr>
          <w:rFonts w:hint="eastAsia" w:asciiTheme="minorEastAsia" w:hAnsiTheme="minorEastAsia" w:cstheme="minorEastAsia"/>
          <w:bCs/>
          <w:sz w:val="24"/>
          <w:szCs w:val="24"/>
          <w:lang w:val="en-US" w:eastAsia="zh-CN"/>
        </w:rPr>
        <w:t>由</w:t>
      </w:r>
      <w:r>
        <w:rPr>
          <w:rFonts w:asciiTheme="minorEastAsia" w:hAnsiTheme="minorEastAsia" w:cstheme="minorEastAsia"/>
          <w:bCs/>
          <w:sz w:val="24"/>
          <w:szCs w:val="24"/>
        </w:rPr>
        <w:t>投标单位免费提供，并确保设备正常使用。校方仅免费提供办公场所、电、及所有网络基础的办公条件。</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（2）</w:t>
      </w:r>
      <w:r>
        <w:rPr>
          <w:rFonts w:asciiTheme="minorEastAsia" w:hAnsiTheme="minorEastAsia" w:cstheme="minorEastAsia"/>
          <w:bCs/>
          <w:sz w:val="24"/>
          <w:szCs w:val="24"/>
        </w:rPr>
        <w:t>工作人员有投标公司驻校服务，人员的工资、保险、福利及其它劳务关系均</w:t>
      </w:r>
      <w:r>
        <w:rPr>
          <w:rFonts w:hint="eastAsia" w:asciiTheme="minorEastAsia" w:hAnsiTheme="minorEastAsia" w:cstheme="minorEastAsia"/>
          <w:bCs/>
          <w:sz w:val="24"/>
          <w:szCs w:val="24"/>
          <w:lang w:eastAsia="zh-CN"/>
        </w:rPr>
        <w:t>由投标</w:t>
      </w:r>
      <w:r>
        <w:rPr>
          <w:rFonts w:asciiTheme="minorEastAsia" w:hAnsiTheme="minorEastAsia" w:cstheme="minorEastAsia"/>
          <w:bCs/>
          <w:sz w:val="24"/>
          <w:szCs w:val="24"/>
        </w:rPr>
        <w:t>单位负责，并符合劳动法用工。所派工作人员须严格遵守校方的规章制度及保密约定，服从校方的日常管理。</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（3）</w:t>
      </w:r>
      <w:r>
        <w:rPr>
          <w:rFonts w:asciiTheme="minorEastAsia" w:hAnsiTheme="minorEastAsia" w:cstheme="minorEastAsia"/>
          <w:bCs/>
          <w:sz w:val="24"/>
          <w:szCs w:val="24"/>
        </w:rPr>
        <w:t>投标单位需派驻工作人员（常年不得低于1名）驻地服务，所派工作人员需具备娴熟技能，能够胜任本职工作，并经过严格保密培训，服从学校的各项规章制度，按照学校的作息时间提供服务。</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（4）</w:t>
      </w:r>
      <w:r>
        <w:rPr>
          <w:rFonts w:asciiTheme="minorEastAsia" w:hAnsiTheme="minorEastAsia" w:cstheme="minorEastAsia"/>
          <w:bCs/>
          <w:sz w:val="24"/>
          <w:szCs w:val="24"/>
        </w:rPr>
        <w:t>投标单位需提供6天*8小时驻场服务，特殊时期（如下班后、节假日）需提供随叫随到服务。</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（5）</w:t>
      </w:r>
      <w:r>
        <w:rPr>
          <w:rFonts w:asciiTheme="minorEastAsia" w:hAnsiTheme="minorEastAsia" w:cstheme="minorEastAsia"/>
          <w:bCs/>
          <w:sz w:val="24"/>
          <w:szCs w:val="24"/>
        </w:rPr>
        <w:t>对于校方提出文档输出及教学诊断需求，投标单位需保质保量，准时准点交货并做到零差错的完成任务。</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（6）</w:t>
      </w:r>
      <w:r>
        <w:rPr>
          <w:rFonts w:asciiTheme="minorEastAsia" w:hAnsiTheme="minorEastAsia" w:cstheme="minorEastAsia"/>
          <w:bCs/>
          <w:sz w:val="24"/>
          <w:szCs w:val="24"/>
        </w:rPr>
        <w:t>投标单位须保证做到大型测评教学诊断数据与区教育局采集进行无缝对接（区教育局网上阅卷采用的是广州全通AMEQP系统）。</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（7）</w:t>
      </w:r>
      <w:r>
        <w:rPr>
          <w:rFonts w:asciiTheme="minorEastAsia" w:hAnsiTheme="minorEastAsia" w:cstheme="minorEastAsia"/>
          <w:bCs/>
          <w:sz w:val="24"/>
          <w:szCs w:val="24"/>
        </w:rPr>
        <w:t>每学年结束后，提供每学年按学科按年级汇成成册试卷档案，形成学校纸质资源库，供校方使用。</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（8）</w:t>
      </w:r>
      <w:r>
        <w:rPr>
          <w:rFonts w:asciiTheme="minorEastAsia" w:hAnsiTheme="minorEastAsia" w:cstheme="minorEastAsia"/>
          <w:bCs/>
          <w:sz w:val="24"/>
          <w:szCs w:val="24"/>
        </w:rPr>
        <w:t>投标单位按校方的要求，为全体师生提供便捷、高效、高质量的文档输出及教学诊断服务，并做好原始收集，形成电子台账。每月按校方的要求每月进行一次账务核对，并按校方要求做好记账，结账工作。</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（9）</w:t>
      </w:r>
      <w:r>
        <w:rPr>
          <w:rFonts w:asciiTheme="minorEastAsia" w:hAnsiTheme="minorEastAsia" w:cstheme="minorEastAsia"/>
          <w:bCs/>
          <w:sz w:val="24"/>
          <w:szCs w:val="24"/>
        </w:rPr>
        <w:t>投标单位需按校方的账务要求，统计报表及使用情况明细数据分析报表。具体包含但不限于以下</w:t>
      </w:r>
      <w:r>
        <w:rPr>
          <w:rFonts w:hint="eastAsia" w:asciiTheme="minorEastAsia" w:hAnsiTheme="minorEastAsia" w:cstheme="minorEastAsia"/>
          <w:bCs/>
          <w:sz w:val="24"/>
          <w:szCs w:val="24"/>
          <w:lang w:eastAsia="zh-CN"/>
        </w:rPr>
        <w:t>：</w:t>
      </w:r>
      <w:r>
        <w:rPr>
          <w:rFonts w:asciiTheme="minorEastAsia" w:hAnsiTheme="minorEastAsia" w:cstheme="minorEastAsia"/>
          <w:bCs/>
          <w:sz w:val="24"/>
          <w:szCs w:val="24"/>
        </w:rPr>
        <w:t>按年级汇总账单、电子明细表及纸质原始凭据</w:t>
      </w:r>
      <w:r>
        <w:rPr>
          <w:rFonts w:hint="eastAsia" w:asciiTheme="minorEastAsia" w:hAnsiTheme="minorEastAsia" w:cstheme="minorEastAsia"/>
          <w:bCs/>
          <w:sz w:val="24"/>
          <w:szCs w:val="24"/>
          <w:lang w:eastAsia="zh-CN"/>
        </w:rPr>
        <w:t>；</w:t>
      </w:r>
      <w:r>
        <w:rPr>
          <w:rFonts w:asciiTheme="minorEastAsia" w:hAnsiTheme="minorEastAsia" w:cstheme="minorEastAsia"/>
          <w:bCs/>
          <w:sz w:val="24"/>
          <w:szCs w:val="24"/>
        </w:rPr>
        <w:t>分别对各年级、不同学科、行政部门文档服务量进行电子记账，细分到每一年级每一班，提供每班每月每人平均发生的费用</w:t>
      </w:r>
      <w:r>
        <w:rPr>
          <w:rFonts w:hint="eastAsia" w:asciiTheme="minorEastAsia" w:hAnsiTheme="minorEastAsia" w:cstheme="minorEastAsia"/>
          <w:bCs/>
          <w:sz w:val="24"/>
          <w:szCs w:val="24"/>
          <w:lang w:eastAsia="zh-CN"/>
        </w:rPr>
        <w:t>，</w:t>
      </w:r>
      <w:r>
        <w:rPr>
          <w:rFonts w:asciiTheme="minorEastAsia" w:hAnsiTheme="minorEastAsia" w:cstheme="minorEastAsia"/>
          <w:bCs/>
          <w:sz w:val="24"/>
          <w:szCs w:val="24"/>
        </w:rPr>
        <w:t>并提供每个年级及学科老师出卷数量分析报表</w:t>
      </w:r>
      <w:r>
        <w:rPr>
          <w:rFonts w:hint="eastAsia" w:asciiTheme="minorEastAsia" w:hAnsiTheme="minorEastAsia" w:cstheme="minorEastAsia"/>
          <w:bCs/>
          <w:sz w:val="24"/>
          <w:szCs w:val="24"/>
        </w:rPr>
        <w:t>。</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（10）</w:t>
      </w:r>
      <w:r>
        <w:rPr>
          <w:rFonts w:asciiTheme="minorEastAsia" w:hAnsiTheme="minorEastAsia" w:cstheme="minorEastAsia"/>
          <w:bCs/>
          <w:sz w:val="24"/>
          <w:szCs w:val="24"/>
        </w:rPr>
        <w:t>投标单位需充分了解校方的文档输出及教学诊断特点、流程、结算方式，并给出合理化的操作流程</w:t>
      </w:r>
      <w:r>
        <w:rPr>
          <w:rFonts w:hint="eastAsia" w:asciiTheme="minorEastAsia" w:hAnsiTheme="minorEastAsia" w:cstheme="minorEastAsia"/>
          <w:bCs/>
          <w:sz w:val="24"/>
          <w:szCs w:val="24"/>
        </w:rPr>
        <w:t>。</w:t>
      </w:r>
      <w:r>
        <w:rPr>
          <w:rFonts w:asciiTheme="minorEastAsia" w:hAnsiTheme="minorEastAsia" w:cstheme="minorEastAsia"/>
          <w:bCs/>
          <w:sz w:val="24"/>
          <w:szCs w:val="24"/>
        </w:rPr>
        <w:t xml:space="preserve"> </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（11）</w:t>
      </w:r>
      <w:r>
        <w:rPr>
          <w:rFonts w:asciiTheme="minorEastAsia" w:hAnsiTheme="minorEastAsia" w:cstheme="minorEastAsia"/>
          <w:bCs/>
          <w:sz w:val="24"/>
          <w:szCs w:val="24"/>
        </w:rPr>
        <w:t>投标单位需提供完整保密方案。投标单位在提供服务的过程中，获悉的一切资讯均需严格保密，不得自行使用或给他人使用，如有泄漏、擅自使用或允许他人使用用户信息造成损失必须承担相应的民事赔偿责任，在签订合同时须签订保密协议。</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（12）</w:t>
      </w:r>
      <w:r>
        <w:rPr>
          <w:rFonts w:asciiTheme="minorEastAsia" w:hAnsiTheme="minorEastAsia" w:cstheme="minorEastAsia"/>
          <w:bCs/>
          <w:sz w:val="24"/>
          <w:szCs w:val="24"/>
        </w:rPr>
        <w:t>在服务</w:t>
      </w:r>
      <w:r>
        <w:rPr>
          <w:rFonts w:hint="eastAsia" w:asciiTheme="minorEastAsia" w:hAnsiTheme="minorEastAsia" w:cstheme="minorEastAsia"/>
          <w:bCs/>
          <w:sz w:val="24"/>
          <w:szCs w:val="24"/>
          <w:lang w:val="en-US" w:eastAsia="zh-CN"/>
        </w:rPr>
        <w:t>期</w:t>
      </w:r>
      <w:r>
        <w:rPr>
          <w:rFonts w:asciiTheme="minorEastAsia" w:hAnsiTheme="minorEastAsia" w:cstheme="minorEastAsia"/>
          <w:bCs/>
          <w:sz w:val="24"/>
          <w:szCs w:val="24"/>
        </w:rPr>
        <w:t>内，服务质量、服务时效不能达到校方的要求，校方告之，立即整改，如整改不到位，校方有权单方面中止合同，并要求中标单位支付校方后期所需涉及到的费用。工作人员不能满足校方的服务要求，校方有权要求中标单位更换工作人员，如二次以上，校方有权指定人员，工资等劳务关系</w:t>
      </w:r>
      <w:r>
        <w:rPr>
          <w:rFonts w:hint="eastAsia" w:asciiTheme="minorEastAsia" w:hAnsiTheme="minorEastAsia" w:cstheme="minorEastAsia"/>
          <w:bCs/>
          <w:sz w:val="24"/>
          <w:szCs w:val="24"/>
          <w:lang w:eastAsia="zh-CN"/>
        </w:rPr>
        <w:t>由投标</w:t>
      </w:r>
      <w:r>
        <w:rPr>
          <w:rFonts w:asciiTheme="minorEastAsia" w:hAnsiTheme="minorEastAsia" w:cstheme="minorEastAsia"/>
          <w:bCs/>
          <w:sz w:val="24"/>
          <w:szCs w:val="24"/>
        </w:rPr>
        <w:t>单位负责。</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（13）</w:t>
      </w:r>
      <w:r>
        <w:rPr>
          <w:rFonts w:asciiTheme="minorEastAsia" w:hAnsiTheme="minorEastAsia" w:cstheme="minorEastAsia"/>
          <w:bCs/>
          <w:sz w:val="24"/>
          <w:szCs w:val="24"/>
        </w:rPr>
        <w:t>投标单位文档输出及教学诊断服务单价按校方核定单价执行。如文档服务单价中未涉及到的服务项目，校方及投标单位可据项目一单一议方式确定单价学校</w:t>
      </w:r>
      <w:r>
        <w:rPr>
          <w:rFonts w:hint="eastAsia" w:asciiTheme="minorEastAsia" w:hAnsiTheme="minorEastAsia" w:cstheme="minorEastAsia"/>
          <w:bCs/>
          <w:sz w:val="24"/>
          <w:szCs w:val="24"/>
        </w:rPr>
        <w:t>。</w:t>
      </w:r>
    </w:p>
    <w:p>
      <w:pPr>
        <w:spacing w:line="360" w:lineRule="auto"/>
        <w:ind w:firstLine="420"/>
        <w:rPr>
          <w:rFonts w:asciiTheme="minorEastAsia" w:hAnsiTheme="minorEastAsia" w:cstheme="minorEastAsia"/>
          <w:b/>
          <w:sz w:val="24"/>
          <w:szCs w:val="24"/>
        </w:rPr>
      </w:pPr>
      <w:r>
        <w:rPr>
          <w:rFonts w:hint="eastAsia" w:asciiTheme="minorEastAsia" w:hAnsiTheme="minorEastAsia" w:cstheme="minorEastAsia"/>
          <w:b/>
          <w:sz w:val="24"/>
          <w:szCs w:val="24"/>
        </w:rPr>
        <w:t>三、报价要求</w:t>
      </w:r>
    </w:p>
    <w:p>
      <w:pPr>
        <w:spacing w:line="360" w:lineRule="auto"/>
        <w:ind w:firstLine="480" w:firstLineChars="200"/>
        <w:rPr>
          <w:rFonts w:asciiTheme="minorEastAsia" w:hAnsiTheme="minorEastAsia" w:cstheme="minorEastAsia"/>
          <w:bCs/>
          <w:sz w:val="24"/>
          <w:szCs w:val="24"/>
        </w:rPr>
      </w:pPr>
      <w:r>
        <w:rPr>
          <w:rFonts w:asciiTheme="minorEastAsia" w:hAnsiTheme="minorEastAsia" w:cstheme="minorEastAsia"/>
          <w:bCs/>
          <w:sz w:val="24"/>
          <w:szCs w:val="24"/>
        </w:rPr>
        <w:t>本项目报价为不固定总价，采用按张按实结算方式。</w:t>
      </w:r>
    </w:p>
    <w:p>
      <w:pPr>
        <w:spacing w:line="360" w:lineRule="auto"/>
        <w:ind w:firstLine="480" w:firstLineChars="200"/>
        <w:rPr>
          <w:rFonts w:asciiTheme="minorEastAsia" w:hAnsiTheme="minorEastAsia" w:cstheme="minorEastAsia"/>
          <w:bCs/>
          <w:sz w:val="24"/>
          <w:szCs w:val="24"/>
        </w:rPr>
      </w:pPr>
      <w:r>
        <w:rPr>
          <w:rFonts w:asciiTheme="minorEastAsia" w:hAnsiTheme="minorEastAsia" w:cstheme="minorEastAsia"/>
          <w:bCs/>
          <w:sz w:val="24"/>
          <w:szCs w:val="24"/>
        </w:rPr>
        <w:t>磋商单价应包括竞争性磋商文件所确定的采购范围相应服务的提供、人员（包括工资和补贴）耗材、投放、保险、劳保、管理、各种税费、利润、税金、政策性文件规定及合同包含的所有风险、责任等各项应有费用，以及为完成该项服务项目所涉及到的一切相关费用，采购人不再支付其他任何费用。</w:t>
      </w:r>
    </w:p>
    <w:p>
      <w:pPr>
        <w:spacing w:line="360" w:lineRule="auto"/>
        <w:ind w:firstLine="480" w:firstLineChars="200"/>
        <w:rPr>
          <w:rFonts w:asciiTheme="minorEastAsia" w:hAnsiTheme="minorEastAsia" w:cstheme="minorEastAsia"/>
          <w:bCs/>
          <w:sz w:val="24"/>
          <w:szCs w:val="24"/>
        </w:rPr>
      </w:pPr>
      <w:r>
        <w:rPr>
          <w:rFonts w:asciiTheme="minorEastAsia" w:hAnsiTheme="minorEastAsia" w:cstheme="minorEastAsia"/>
          <w:bCs/>
          <w:sz w:val="24"/>
          <w:szCs w:val="24"/>
        </w:rPr>
        <w:t>磋商文件中提供材料（设备），服务商根据清单及设计文件要求确定品牌后，根据市场行情及自身实际情况进行报价。提供设备应在性能、价格、技术指标、技术参数等方面均不低于文件参数要求</w:t>
      </w:r>
      <w:r>
        <w:rPr>
          <w:rFonts w:hint="eastAsia" w:asciiTheme="minorEastAsia" w:hAnsiTheme="minorEastAsia" w:cstheme="minorEastAsia"/>
          <w:bCs/>
          <w:sz w:val="24"/>
          <w:szCs w:val="24"/>
        </w:rPr>
        <w:t>。</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投标报价单：</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1、文印服务：</w:t>
      </w:r>
    </w:p>
    <w:p>
      <w:pPr>
        <w:spacing w:line="360" w:lineRule="auto"/>
        <w:ind w:firstLine="480" w:firstLineChars="200"/>
        <w:jc w:val="right"/>
        <w:rPr>
          <w:rFonts w:asciiTheme="minorEastAsia" w:hAnsiTheme="minorEastAsia" w:cstheme="minorEastAsia"/>
          <w:bCs/>
          <w:sz w:val="24"/>
          <w:szCs w:val="24"/>
        </w:rPr>
      </w:pPr>
      <w:r>
        <w:rPr>
          <w:rFonts w:hint="eastAsia" w:asciiTheme="minorEastAsia" w:hAnsiTheme="minorEastAsia" w:cstheme="minorEastAsia"/>
          <w:bCs/>
          <w:sz w:val="24"/>
          <w:szCs w:val="24"/>
        </w:rPr>
        <w:t>单位：元/张</w:t>
      </w:r>
    </w:p>
    <w:tbl>
      <w:tblPr>
        <w:tblStyle w:val="31"/>
        <w:tblW w:w="7938" w:type="dxa"/>
        <w:jc w:val="center"/>
        <w:tblLayout w:type="fixed"/>
        <w:tblCellMar>
          <w:top w:w="0" w:type="dxa"/>
          <w:left w:w="0" w:type="dxa"/>
          <w:bottom w:w="0" w:type="dxa"/>
          <w:right w:w="0" w:type="dxa"/>
        </w:tblCellMar>
      </w:tblPr>
      <w:tblGrid>
        <w:gridCol w:w="992"/>
        <w:gridCol w:w="1843"/>
        <w:gridCol w:w="2552"/>
        <w:gridCol w:w="2551"/>
      </w:tblGrid>
      <w:tr>
        <w:tblPrEx>
          <w:tblCellMar>
            <w:top w:w="0" w:type="dxa"/>
            <w:left w:w="0" w:type="dxa"/>
            <w:bottom w:w="0" w:type="dxa"/>
            <w:right w:w="0" w:type="dxa"/>
          </w:tblCellMar>
        </w:tblPrEx>
        <w:trPr>
          <w:trHeight w:val="347" w:hRule="atLeast"/>
          <w:jc w:val="center"/>
        </w:trPr>
        <w:tc>
          <w:tcPr>
            <w:tcW w:w="992" w:type="dxa"/>
            <w:tcBorders>
              <w:top w:val="single" w:color="000000" w:sz="8" w:space="0"/>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序号</w:t>
            </w:r>
          </w:p>
        </w:tc>
        <w:tc>
          <w:tcPr>
            <w:tcW w:w="1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类别</w:t>
            </w:r>
          </w:p>
        </w:tc>
        <w:tc>
          <w:tcPr>
            <w:tcW w:w="255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规格</w:t>
            </w:r>
          </w:p>
        </w:tc>
        <w:tc>
          <w:tcPr>
            <w:tcW w:w="2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最高限价</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w:t>
            </w:r>
          </w:p>
        </w:tc>
        <w:tc>
          <w:tcPr>
            <w:tcW w:w="1843"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油印</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16K(单面)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0.1</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16K(双面)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0.2</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3</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8K(单面)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0.2</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8K(双面)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0.4</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bidi="ar"/>
              </w:rPr>
              <w:t>5</w:t>
            </w:r>
          </w:p>
        </w:tc>
        <w:tc>
          <w:tcPr>
            <w:tcW w:w="1843"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szCs w:val="21"/>
                <w:lang w:bidi="ar"/>
              </w:rPr>
            </w:pPr>
            <w:r>
              <w:rPr>
                <w:rFonts w:hint="eastAsia" w:asciiTheme="minorEastAsia" w:hAnsiTheme="minorEastAsia" w:cstheme="minorEastAsia"/>
                <w:szCs w:val="21"/>
                <w:lang w:bidi="ar"/>
              </w:rPr>
              <w:t>高速印刷</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bidi="ar"/>
              </w:rPr>
              <w:t>（图像清晰）</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70G16K(单面)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0.15</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bidi="ar"/>
              </w:rPr>
              <w:t>6</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70G16K(双面)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0.25</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bidi="ar"/>
              </w:rPr>
              <w:t>7</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70G8K(单面)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0.3</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bidi="ar"/>
              </w:rPr>
              <w:t>8</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70G8K(双面)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0.5</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9</w:t>
            </w:r>
          </w:p>
        </w:tc>
        <w:tc>
          <w:tcPr>
            <w:tcW w:w="1843"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复印/打印</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70gA4(单)</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0.4</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10</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70g16K(单)</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0.4</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11</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70gA4(双)</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0.6</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12</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70g16K(双)</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0.6</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13</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70gA3(单)</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 xml:space="preserve">1.0 </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14</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70g8K(单)</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 xml:space="preserve">1.0 </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15</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70g8K(双)</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1.5</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16</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70gA3(双)</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1.5</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17</w:t>
            </w:r>
          </w:p>
        </w:tc>
        <w:tc>
          <w:tcPr>
            <w:tcW w:w="184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彩色复印</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A4版面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1.5</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18</w:t>
            </w:r>
          </w:p>
        </w:tc>
        <w:tc>
          <w:tcPr>
            <w:tcW w:w="184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彩色打印</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A4版面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1.5</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19</w:t>
            </w:r>
          </w:p>
        </w:tc>
        <w:tc>
          <w:tcPr>
            <w:tcW w:w="184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彩色文档扫描</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A4版面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1.5</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20</w:t>
            </w:r>
          </w:p>
        </w:tc>
        <w:tc>
          <w:tcPr>
            <w:tcW w:w="1843"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英语答题卡读卡</w:t>
            </w:r>
          </w:p>
        </w:tc>
        <w:tc>
          <w:tcPr>
            <w:tcW w:w="2552"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Theme="minorEastAsia" w:hAnsiTheme="minorEastAsia" w:cstheme="minorEastAsia"/>
                <w:szCs w:val="21"/>
              </w:rPr>
            </w:pPr>
            <w:r>
              <w:rPr>
                <w:rFonts w:hint="eastAsia" w:asciiTheme="minorEastAsia" w:hAnsiTheme="minorEastAsia" w:cstheme="minorEastAsia"/>
                <w:kern w:val="0"/>
                <w:szCs w:val="21"/>
                <w:lang w:bidi="ar"/>
              </w:rPr>
              <w:t>32K</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0.5</w:t>
            </w:r>
          </w:p>
        </w:tc>
      </w:tr>
      <w:tr>
        <w:tblPrEx>
          <w:tblCellMar>
            <w:top w:w="0" w:type="dxa"/>
            <w:left w:w="0" w:type="dxa"/>
            <w:bottom w:w="0" w:type="dxa"/>
            <w:right w:w="0" w:type="dxa"/>
          </w:tblCellMar>
        </w:tblPrEx>
        <w:trPr>
          <w:trHeight w:val="347" w:hRule="atLeast"/>
          <w:jc w:val="center"/>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21</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Theme="minorEastAsia" w:hAnsiTheme="minorEastAsia" w:cstheme="minorEastAsia"/>
                <w:szCs w:val="21"/>
              </w:rPr>
            </w:pPr>
            <w:r>
              <w:rPr>
                <w:rFonts w:hint="eastAsia" w:asciiTheme="minorEastAsia" w:hAnsiTheme="minorEastAsia" w:cstheme="minorEastAsia"/>
                <w:kern w:val="0"/>
                <w:szCs w:val="21"/>
                <w:lang w:bidi="ar"/>
              </w:rPr>
              <w:t>64K</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0.3</w:t>
            </w:r>
          </w:p>
        </w:tc>
      </w:tr>
      <w:tr>
        <w:tblPrEx>
          <w:tblCellMar>
            <w:top w:w="0" w:type="dxa"/>
            <w:left w:w="0" w:type="dxa"/>
            <w:bottom w:w="0" w:type="dxa"/>
            <w:right w:w="0" w:type="dxa"/>
          </w:tblCellMar>
        </w:tblPrEx>
        <w:trPr>
          <w:trHeight w:val="367" w:hRule="atLeast"/>
          <w:jc w:val="center"/>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22</w:t>
            </w:r>
          </w:p>
        </w:tc>
        <w:tc>
          <w:tcPr>
            <w:tcW w:w="184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合计</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kern w:val="0"/>
                <w:szCs w:val="21"/>
                <w:lang w:val="en-US" w:eastAsia="zh-CN" w:bidi="ar"/>
              </w:rPr>
              <w:t>14.4</w:t>
            </w:r>
          </w:p>
        </w:tc>
      </w:tr>
    </w:tbl>
    <w:p>
      <w:pPr>
        <w:spacing w:line="360" w:lineRule="auto"/>
        <w:rPr>
          <w:rFonts w:ascii="宋体" w:hAnsi="宋体" w:eastAsia="宋体" w:cs="宋体"/>
          <w:szCs w:val="21"/>
        </w:rPr>
      </w:pPr>
    </w:p>
    <w:p>
      <w:pPr>
        <w:numPr>
          <w:ilvl w:val="0"/>
          <w:numId w:val="8"/>
        </w:num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教学诊断服务外包：</w:t>
      </w:r>
    </w:p>
    <w:p>
      <w:pPr>
        <w:pStyle w:val="2"/>
        <w:numPr>
          <w:ilvl w:val="0"/>
          <w:numId w:val="0"/>
        </w:numPr>
        <w:jc w:val="right"/>
        <w:rPr>
          <w:rFonts w:hint="eastAsia"/>
          <w:lang w:eastAsia="zh-CN"/>
        </w:rPr>
      </w:pPr>
      <w:r>
        <w:rPr>
          <w:rFonts w:hint="eastAsia" w:asciiTheme="minorEastAsia" w:hAnsiTheme="minorEastAsia" w:eastAsiaTheme="minorEastAsia" w:cstheme="minorEastAsia"/>
          <w:b w:val="0"/>
          <w:bCs/>
          <w:kern w:val="2"/>
          <w:sz w:val="24"/>
          <w:szCs w:val="24"/>
          <w:lang w:val="en-US" w:eastAsia="zh-CN" w:bidi="ar-SA"/>
        </w:rPr>
        <w:t>单位：元/张</w:t>
      </w:r>
    </w:p>
    <w:tbl>
      <w:tblPr>
        <w:tblStyle w:val="31"/>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26"/>
        <w:gridCol w:w="1151"/>
        <w:gridCol w:w="1078"/>
        <w:gridCol w:w="2818"/>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4" w:type="dxa"/>
            <w:vAlign w:val="center"/>
          </w:tcPr>
          <w:p>
            <w:pPr>
              <w:pStyle w:val="133"/>
              <w:snapToGrid w:val="0"/>
              <w:outlineLvl w:val="0"/>
              <w:rPr>
                <w:rFonts w:hAnsi="宋体"/>
                <w:b/>
                <w:bCs/>
                <w:color w:val="auto"/>
                <w:sz w:val="21"/>
                <w:szCs w:val="21"/>
              </w:rPr>
            </w:pPr>
            <w:r>
              <w:rPr>
                <w:rFonts w:hint="eastAsia" w:hAnsi="宋体"/>
                <w:b/>
                <w:bCs/>
                <w:color w:val="auto"/>
                <w:sz w:val="21"/>
                <w:szCs w:val="21"/>
              </w:rPr>
              <w:t>序号</w:t>
            </w:r>
          </w:p>
        </w:tc>
        <w:tc>
          <w:tcPr>
            <w:tcW w:w="1726" w:type="dxa"/>
            <w:vAlign w:val="center"/>
          </w:tcPr>
          <w:p>
            <w:pPr>
              <w:pStyle w:val="133"/>
              <w:snapToGrid w:val="0"/>
              <w:ind w:left="210" w:firstLine="422"/>
              <w:outlineLvl w:val="0"/>
              <w:rPr>
                <w:rFonts w:hAnsi="宋体"/>
                <w:b/>
                <w:bCs/>
                <w:color w:val="auto"/>
                <w:sz w:val="21"/>
                <w:szCs w:val="21"/>
              </w:rPr>
            </w:pPr>
            <w:r>
              <w:rPr>
                <w:rFonts w:hint="eastAsia" w:hAnsi="宋体"/>
                <w:b/>
                <w:bCs/>
                <w:color w:val="auto"/>
                <w:sz w:val="21"/>
                <w:szCs w:val="21"/>
              </w:rPr>
              <w:t>类别</w:t>
            </w:r>
          </w:p>
        </w:tc>
        <w:tc>
          <w:tcPr>
            <w:tcW w:w="1151" w:type="dxa"/>
            <w:vAlign w:val="center"/>
          </w:tcPr>
          <w:p>
            <w:pPr>
              <w:pStyle w:val="133"/>
              <w:snapToGrid w:val="0"/>
              <w:jc w:val="center"/>
              <w:outlineLvl w:val="0"/>
              <w:rPr>
                <w:rFonts w:hAnsi="宋体"/>
                <w:b/>
                <w:bCs/>
                <w:color w:val="auto"/>
                <w:sz w:val="21"/>
                <w:szCs w:val="21"/>
              </w:rPr>
            </w:pPr>
            <w:r>
              <w:rPr>
                <w:rFonts w:hint="eastAsia" w:hAnsi="宋体"/>
                <w:b/>
                <w:bCs/>
                <w:color w:val="auto"/>
                <w:sz w:val="21"/>
                <w:szCs w:val="21"/>
              </w:rPr>
              <w:t>最高限价</w:t>
            </w:r>
          </w:p>
        </w:tc>
        <w:tc>
          <w:tcPr>
            <w:tcW w:w="1078" w:type="dxa"/>
            <w:vAlign w:val="center"/>
          </w:tcPr>
          <w:p>
            <w:pPr>
              <w:pStyle w:val="133"/>
              <w:snapToGrid w:val="0"/>
              <w:jc w:val="center"/>
              <w:outlineLvl w:val="0"/>
              <w:rPr>
                <w:rFonts w:hAnsi="宋体"/>
                <w:b/>
                <w:bCs/>
                <w:color w:val="auto"/>
                <w:sz w:val="21"/>
                <w:szCs w:val="21"/>
              </w:rPr>
            </w:pPr>
            <w:r>
              <w:rPr>
                <w:rFonts w:hint="eastAsia" w:hAnsi="宋体"/>
                <w:b/>
                <w:bCs/>
                <w:color w:val="auto"/>
                <w:sz w:val="21"/>
                <w:szCs w:val="21"/>
              </w:rPr>
              <w:t>单位</w:t>
            </w:r>
          </w:p>
        </w:tc>
        <w:tc>
          <w:tcPr>
            <w:tcW w:w="2818" w:type="dxa"/>
            <w:vAlign w:val="center"/>
          </w:tcPr>
          <w:p>
            <w:pPr>
              <w:pStyle w:val="133"/>
              <w:snapToGrid w:val="0"/>
              <w:ind w:firstLine="422"/>
              <w:jc w:val="center"/>
              <w:outlineLvl w:val="0"/>
              <w:rPr>
                <w:rFonts w:hAnsi="宋体"/>
                <w:b/>
                <w:bCs/>
                <w:color w:val="auto"/>
                <w:sz w:val="21"/>
                <w:szCs w:val="21"/>
              </w:rPr>
            </w:pPr>
            <w:r>
              <w:rPr>
                <w:rFonts w:hint="eastAsia" w:hAnsi="宋体"/>
                <w:b/>
                <w:bCs/>
                <w:color w:val="auto"/>
                <w:sz w:val="21"/>
                <w:szCs w:val="21"/>
              </w:rPr>
              <w:t>备注</w:t>
            </w:r>
          </w:p>
        </w:tc>
        <w:tc>
          <w:tcPr>
            <w:tcW w:w="1076" w:type="dxa"/>
            <w:vAlign w:val="center"/>
          </w:tcPr>
          <w:p>
            <w:pPr>
              <w:pStyle w:val="133"/>
              <w:snapToGrid w:val="0"/>
              <w:jc w:val="center"/>
              <w:outlineLvl w:val="0"/>
              <w:rPr>
                <w:rFonts w:hAnsi="宋体"/>
                <w:b/>
                <w:bCs/>
                <w:color w:val="auto"/>
                <w:sz w:val="21"/>
                <w:szCs w:val="21"/>
              </w:rPr>
            </w:pPr>
            <w:r>
              <w:rPr>
                <w:rFonts w:hint="eastAsia" w:hAnsi="宋体"/>
                <w:b/>
                <w:bCs/>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4"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1</w:t>
            </w:r>
          </w:p>
        </w:tc>
        <w:tc>
          <w:tcPr>
            <w:tcW w:w="1726"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条形码</w:t>
            </w:r>
          </w:p>
        </w:tc>
        <w:tc>
          <w:tcPr>
            <w:tcW w:w="1151"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0.08</w:t>
            </w:r>
          </w:p>
        </w:tc>
        <w:tc>
          <w:tcPr>
            <w:tcW w:w="1078"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元/张</w:t>
            </w:r>
          </w:p>
        </w:tc>
        <w:tc>
          <w:tcPr>
            <w:tcW w:w="2818" w:type="dxa"/>
            <w:vAlign w:val="center"/>
          </w:tcPr>
          <w:p>
            <w:pPr>
              <w:pStyle w:val="133"/>
              <w:snapToGrid w:val="0"/>
              <w:jc w:val="both"/>
              <w:outlineLvl w:val="0"/>
              <w:rPr>
                <w:rFonts w:hAnsi="宋体"/>
                <w:bCs/>
                <w:color w:val="auto"/>
                <w:sz w:val="21"/>
                <w:szCs w:val="21"/>
              </w:rPr>
            </w:pPr>
            <w:r>
              <w:rPr>
                <w:rFonts w:hint="eastAsia" w:hAnsi="宋体"/>
                <w:bCs/>
                <w:color w:val="auto"/>
                <w:sz w:val="21"/>
                <w:szCs w:val="21"/>
              </w:rPr>
              <w:t>按需提供条形码</w:t>
            </w:r>
          </w:p>
        </w:tc>
        <w:tc>
          <w:tcPr>
            <w:tcW w:w="1076" w:type="dxa"/>
            <w:vAlign w:val="center"/>
          </w:tcPr>
          <w:p>
            <w:pPr>
              <w:pStyle w:val="133"/>
              <w:snapToGrid w:val="0"/>
              <w:jc w:val="center"/>
              <w:outlineLvl w:val="0"/>
              <w:rPr>
                <w:rFonts w:hAnsi="宋体"/>
                <w:bCs/>
                <w:color w:val="auto"/>
                <w:sz w:val="21"/>
                <w:szCs w:val="21"/>
              </w:rPr>
            </w:pPr>
            <w:r>
              <w:rPr>
                <w:rFonts w:hint="eastAsia" w:hAnsi="宋体"/>
                <w:b/>
                <w:color w:val="auto"/>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4"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2</w:t>
            </w:r>
          </w:p>
        </w:tc>
        <w:tc>
          <w:tcPr>
            <w:tcW w:w="1726"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扫描</w:t>
            </w:r>
          </w:p>
        </w:tc>
        <w:tc>
          <w:tcPr>
            <w:tcW w:w="1151"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0.5</w:t>
            </w:r>
          </w:p>
        </w:tc>
        <w:tc>
          <w:tcPr>
            <w:tcW w:w="1078"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元/张</w:t>
            </w:r>
          </w:p>
        </w:tc>
        <w:tc>
          <w:tcPr>
            <w:tcW w:w="2818" w:type="dxa"/>
            <w:vAlign w:val="center"/>
          </w:tcPr>
          <w:p>
            <w:pPr>
              <w:pStyle w:val="133"/>
              <w:snapToGrid w:val="0"/>
              <w:jc w:val="both"/>
              <w:outlineLvl w:val="0"/>
              <w:rPr>
                <w:rFonts w:hAnsi="宋体"/>
                <w:bCs/>
                <w:color w:val="auto"/>
                <w:sz w:val="21"/>
                <w:szCs w:val="21"/>
              </w:rPr>
            </w:pPr>
            <w:r>
              <w:rPr>
                <w:rFonts w:hint="eastAsia" w:hAnsi="宋体"/>
                <w:bCs/>
                <w:color w:val="auto"/>
                <w:sz w:val="21"/>
                <w:szCs w:val="21"/>
              </w:rPr>
              <w:t>按张收费</w:t>
            </w:r>
          </w:p>
        </w:tc>
        <w:tc>
          <w:tcPr>
            <w:tcW w:w="1076" w:type="dxa"/>
            <w:vAlign w:val="center"/>
          </w:tcPr>
          <w:p>
            <w:pPr>
              <w:pStyle w:val="133"/>
              <w:snapToGrid w:val="0"/>
              <w:jc w:val="center"/>
              <w:outlineLvl w:val="0"/>
              <w:rPr>
                <w:rFonts w:hAnsi="宋体"/>
                <w:bCs/>
                <w:color w:val="auto"/>
                <w:sz w:val="21"/>
                <w:szCs w:val="21"/>
              </w:rPr>
            </w:pPr>
            <w:r>
              <w:rPr>
                <w:rFonts w:hint="eastAsia" w:hAnsi="宋体"/>
                <w:b/>
                <w:color w:val="auto"/>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13" w:type="dxa"/>
            <w:gridSpan w:val="6"/>
            <w:vAlign w:val="center"/>
          </w:tcPr>
          <w:p>
            <w:pPr>
              <w:pStyle w:val="133"/>
              <w:snapToGrid w:val="0"/>
              <w:jc w:val="center"/>
              <w:outlineLvl w:val="0"/>
              <w:rPr>
                <w:rFonts w:hAnsi="宋体"/>
                <w:b/>
                <w:color w:val="auto"/>
                <w:sz w:val="21"/>
                <w:szCs w:val="21"/>
              </w:rPr>
            </w:pPr>
            <w:r>
              <w:rPr>
                <w:rFonts w:hint="eastAsia" w:hAnsi="宋体"/>
                <w:bCs/>
                <w:color w:val="auto"/>
                <w:sz w:val="21"/>
                <w:szCs w:val="21"/>
                <w:highlight w:val="none"/>
              </w:rPr>
              <w:t>以下可选收费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4"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3</w:t>
            </w:r>
          </w:p>
        </w:tc>
        <w:tc>
          <w:tcPr>
            <w:tcW w:w="1726" w:type="dxa"/>
            <w:vAlign w:val="center"/>
          </w:tcPr>
          <w:p>
            <w:pPr>
              <w:pStyle w:val="133"/>
              <w:snapToGrid w:val="0"/>
              <w:outlineLvl w:val="0"/>
              <w:rPr>
                <w:rFonts w:hAnsi="宋体"/>
                <w:bCs/>
                <w:color w:val="auto"/>
                <w:sz w:val="21"/>
                <w:szCs w:val="21"/>
              </w:rPr>
            </w:pPr>
            <w:r>
              <w:rPr>
                <w:rFonts w:hint="eastAsia" w:hAnsi="宋体"/>
                <w:color w:val="auto"/>
                <w:sz w:val="21"/>
                <w:szCs w:val="21"/>
              </w:rPr>
              <w:t>错题集纸质打印服务（数理化)</w:t>
            </w:r>
          </w:p>
        </w:tc>
        <w:tc>
          <w:tcPr>
            <w:tcW w:w="1151"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30.00</w:t>
            </w:r>
          </w:p>
        </w:tc>
        <w:tc>
          <w:tcPr>
            <w:tcW w:w="1078"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元/人/科/学期</w:t>
            </w:r>
          </w:p>
        </w:tc>
        <w:tc>
          <w:tcPr>
            <w:tcW w:w="2818" w:type="dxa"/>
            <w:vAlign w:val="center"/>
          </w:tcPr>
          <w:p>
            <w:pPr>
              <w:pStyle w:val="133"/>
              <w:snapToGrid w:val="0"/>
              <w:jc w:val="both"/>
              <w:outlineLvl w:val="0"/>
              <w:rPr>
                <w:rFonts w:hAnsi="宋体"/>
                <w:bCs/>
                <w:color w:val="auto"/>
                <w:sz w:val="21"/>
                <w:szCs w:val="21"/>
              </w:rPr>
            </w:pPr>
            <w:r>
              <w:rPr>
                <w:rFonts w:hint="eastAsia" w:hAnsi="宋体"/>
                <w:color w:val="auto"/>
                <w:sz w:val="21"/>
                <w:szCs w:val="21"/>
              </w:rPr>
              <w:t>打印错题集科目＞2门，第三门学科提供免费纸质错题集</w:t>
            </w:r>
          </w:p>
        </w:tc>
        <w:tc>
          <w:tcPr>
            <w:tcW w:w="1076" w:type="dxa"/>
            <w:vAlign w:val="center"/>
          </w:tcPr>
          <w:p>
            <w:pPr>
              <w:pStyle w:val="133"/>
              <w:snapToGrid w:val="0"/>
              <w:jc w:val="center"/>
              <w:outlineLvl w:val="0"/>
              <w:rPr>
                <w:rFonts w:hAnsi="宋体"/>
                <w:bCs/>
                <w:color w:val="auto"/>
                <w:sz w:val="21"/>
                <w:szCs w:val="21"/>
              </w:rPr>
            </w:pPr>
            <w:r>
              <w:rPr>
                <w:rFonts w:hint="eastAsia" w:hAnsi="宋体"/>
                <w:b/>
                <w:color w:val="auto"/>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4"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4</w:t>
            </w:r>
          </w:p>
        </w:tc>
        <w:tc>
          <w:tcPr>
            <w:tcW w:w="1726"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个性化考后刊</w:t>
            </w:r>
          </w:p>
        </w:tc>
        <w:tc>
          <w:tcPr>
            <w:tcW w:w="1151"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30.00</w:t>
            </w:r>
          </w:p>
        </w:tc>
        <w:tc>
          <w:tcPr>
            <w:tcW w:w="1078"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highlight w:val="none"/>
              </w:rPr>
              <w:t>元/生/次/科/本</w:t>
            </w:r>
          </w:p>
        </w:tc>
        <w:tc>
          <w:tcPr>
            <w:tcW w:w="2818" w:type="dxa"/>
            <w:vAlign w:val="center"/>
          </w:tcPr>
          <w:p>
            <w:pPr>
              <w:pStyle w:val="133"/>
              <w:snapToGrid w:val="0"/>
              <w:jc w:val="both"/>
              <w:outlineLvl w:val="0"/>
              <w:rPr>
                <w:rFonts w:hAnsi="宋体"/>
                <w:bCs/>
                <w:color w:val="auto"/>
                <w:sz w:val="21"/>
                <w:szCs w:val="21"/>
              </w:rPr>
            </w:pPr>
            <w:r>
              <w:rPr>
                <w:rFonts w:hint="eastAsia" w:hAnsi="宋体"/>
                <w:bCs/>
                <w:color w:val="auto"/>
                <w:sz w:val="21"/>
                <w:szCs w:val="21"/>
              </w:rPr>
              <w:t>按时按次结算</w:t>
            </w:r>
          </w:p>
        </w:tc>
        <w:tc>
          <w:tcPr>
            <w:tcW w:w="1076" w:type="dxa"/>
            <w:vAlign w:val="center"/>
          </w:tcPr>
          <w:p>
            <w:pPr>
              <w:pStyle w:val="133"/>
              <w:snapToGrid w:val="0"/>
              <w:jc w:val="center"/>
              <w:outlineLvl w:val="0"/>
              <w:rPr>
                <w:rFonts w:hAnsi="宋体"/>
                <w:bCs/>
                <w:color w:val="auto"/>
                <w:sz w:val="21"/>
                <w:szCs w:val="21"/>
              </w:rPr>
            </w:pPr>
            <w:r>
              <w:rPr>
                <w:rFonts w:hint="eastAsia" w:hAnsi="宋体"/>
                <w:b/>
                <w:color w:val="auto"/>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4"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5</w:t>
            </w:r>
          </w:p>
        </w:tc>
        <w:tc>
          <w:tcPr>
            <w:tcW w:w="1726"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合计</w:t>
            </w:r>
          </w:p>
        </w:tc>
        <w:tc>
          <w:tcPr>
            <w:tcW w:w="1151"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60.58</w:t>
            </w:r>
          </w:p>
        </w:tc>
        <w:tc>
          <w:tcPr>
            <w:tcW w:w="1078" w:type="dxa"/>
            <w:vAlign w:val="center"/>
          </w:tcPr>
          <w:p>
            <w:pPr>
              <w:pStyle w:val="133"/>
              <w:snapToGrid w:val="0"/>
              <w:jc w:val="center"/>
              <w:outlineLvl w:val="0"/>
              <w:rPr>
                <w:rFonts w:hAnsi="宋体"/>
                <w:bCs/>
                <w:color w:val="auto"/>
                <w:sz w:val="21"/>
                <w:szCs w:val="21"/>
                <w:highlight w:val="yellow"/>
              </w:rPr>
            </w:pPr>
          </w:p>
        </w:tc>
        <w:tc>
          <w:tcPr>
            <w:tcW w:w="2818" w:type="dxa"/>
            <w:vAlign w:val="center"/>
          </w:tcPr>
          <w:p>
            <w:pPr>
              <w:pStyle w:val="133"/>
              <w:snapToGrid w:val="0"/>
              <w:jc w:val="both"/>
              <w:outlineLvl w:val="0"/>
              <w:rPr>
                <w:rFonts w:hAnsi="宋体"/>
                <w:bCs/>
                <w:color w:val="auto"/>
                <w:sz w:val="21"/>
                <w:szCs w:val="21"/>
              </w:rPr>
            </w:pPr>
          </w:p>
        </w:tc>
        <w:tc>
          <w:tcPr>
            <w:tcW w:w="1076" w:type="dxa"/>
            <w:vAlign w:val="center"/>
          </w:tcPr>
          <w:p>
            <w:pPr>
              <w:pStyle w:val="133"/>
              <w:snapToGrid w:val="0"/>
              <w:jc w:val="center"/>
              <w:outlineLvl w:val="0"/>
              <w:rPr>
                <w:rFonts w:hAnsi="宋体"/>
                <w:b/>
                <w:color w:val="auto"/>
                <w:sz w:val="21"/>
                <w:szCs w:val="21"/>
              </w:rPr>
            </w:pPr>
          </w:p>
        </w:tc>
      </w:tr>
    </w:tbl>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备注：</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1、单项报价不得高于相应单张最高限价，有一项或一项以上超过最高限价的作为无效响应处理。</w:t>
      </w:r>
    </w:p>
    <w:p>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rPr>
        <w:t>2、投标报价包含设备更换费用、耗材费用、实施服务费、现场工作人员的工资、福利、食宿、交通、通信以及项目利润、税金以及其他交付使用前所产生的所有费用。采购人不再为本项目支付其它任何费用</w:t>
      </w:r>
      <w:r>
        <w:rPr>
          <w:rFonts w:hint="eastAsia" w:asciiTheme="minorEastAsia" w:hAnsiTheme="minorEastAsia" w:cstheme="minorEastAsia"/>
          <w:bCs/>
          <w:sz w:val="24"/>
          <w:szCs w:val="24"/>
          <w:lang w:eastAsia="zh-CN"/>
        </w:rPr>
        <w:t>。</w:t>
      </w:r>
    </w:p>
    <w:p>
      <w:pPr>
        <w:spacing w:line="360" w:lineRule="auto"/>
        <w:ind w:firstLine="420"/>
        <w:rPr>
          <w:rFonts w:asciiTheme="minorEastAsia" w:hAnsiTheme="minorEastAsia" w:cstheme="minorEastAsia"/>
          <w:b/>
          <w:sz w:val="24"/>
          <w:szCs w:val="24"/>
        </w:rPr>
      </w:pPr>
      <w:r>
        <w:rPr>
          <w:rFonts w:hint="eastAsia" w:asciiTheme="minorEastAsia" w:hAnsiTheme="minorEastAsia" w:cstheme="minorEastAsia"/>
          <w:b/>
          <w:sz w:val="24"/>
          <w:szCs w:val="24"/>
        </w:rPr>
        <w:t>四、</w:t>
      </w:r>
      <w:r>
        <w:rPr>
          <w:rFonts w:hint="eastAsia" w:asciiTheme="minorEastAsia" w:hAnsiTheme="minorEastAsia" w:cstheme="minorEastAsia"/>
          <w:b/>
          <w:sz w:val="24"/>
          <w:szCs w:val="24"/>
          <w:highlight w:val="none"/>
        </w:rPr>
        <w:t>付款方式</w:t>
      </w:r>
    </w:p>
    <w:p>
      <w:pPr>
        <w:spacing w:line="360" w:lineRule="auto"/>
        <w:ind w:firstLine="480" w:firstLineChars="200"/>
        <w:rPr>
          <w:rFonts w:asciiTheme="minorEastAsia" w:hAnsiTheme="minorEastAsia" w:cstheme="minorEastAsia"/>
          <w:bCs/>
          <w:sz w:val="24"/>
          <w:szCs w:val="24"/>
          <w:highlight w:val="cyan"/>
        </w:rPr>
      </w:pPr>
      <w:r>
        <w:rPr>
          <w:rFonts w:hint="eastAsia" w:asciiTheme="minorEastAsia" w:hAnsiTheme="minorEastAsia" w:cstheme="minorEastAsia"/>
          <w:bCs/>
          <w:sz w:val="24"/>
          <w:szCs w:val="24"/>
        </w:rPr>
        <w:t>每月按实际使用量统计，按校方要求按行政或年级做好明细账单，由校方授权人进行账务审核，并取得授权人确认签字，汇成电子表，每月上交校方指定授权审核部门，进行二次核对。核对无误，按相应规格数量及相应单价计算本月服务费。</w:t>
      </w:r>
      <w:r>
        <w:rPr>
          <w:rFonts w:hint="eastAsia" w:asciiTheme="minorEastAsia" w:hAnsiTheme="minorEastAsia" w:cstheme="minorEastAsia"/>
          <w:bCs/>
          <w:sz w:val="24"/>
          <w:szCs w:val="24"/>
          <w:highlight w:val="none"/>
        </w:rPr>
        <w:t>其中行政费用每月开票结算，学生</w:t>
      </w:r>
      <w:r>
        <w:rPr>
          <w:rFonts w:hint="eastAsia" w:asciiTheme="minorEastAsia" w:hAnsiTheme="minorEastAsia" w:cstheme="minorEastAsia"/>
          <w:bCs/>
          <w:sz w:val="24"/>
          <w:szCs w:val="24"/>
          <w:highlight w:val="none"/>
          <w:lang w:val="en-US" w:eastAsia="zh-CN"/>
        </w:rPr>
        <w:t>费用</w:t>
      </w:r>
      <w:r>
        <w:rPr>
          <w:rFonts w:hint="eastAsia" w:asciiTheme="minorEastAsia" w:hAnsiTheme="minorEastAsia" w:cstheme="minorEastAsia"/>
          <w:bCs/>
          <w:sz w:val="24"/>
          <w:szCs w:val="24"/>
          <w:highlight w:val="none"/>
        </w:rPr>
        <w:t>由个人支付，每月结算。</w:t>
      </w:r>
    </w:p>
    <w:p>
      <w:pPr>
        <w:spacing w:line="360" w:lineRule="auto"/>
        <w:ind w:firstLine="420"/>
        <w:rPr>
          <w:rFonts w:asciiTheme="minorEastAsia" w:hAnsiTheme="minorEastAsia" w:cstheme="minorEastAsia"/>
          <w:b/>
          <w:sz w:val="24"/>
          <w:szCs w:val="24"/>
        </w:rPr>
      </w:pPr>
      <w:r>
        <w:rPr>
          <w:rFonts w:hint="eastAsia" w:asciiTheme="minorEastAsia" w:hAnsiTheme="minorEastAsia" w:cstheme="minorEastAsia"/>
          <w:b/>
          <w:sz w:val="24"/>
          <w:szCs w:val="24"/>
        </w:rPr>
        <w:t>四、合同履行期限</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三年。合同一年一签，服务期满经考核合格可续签下一年合同，最多续签二年。</w:t>
      </w:r>
    </w:p>
    <w:p>
      <w:pPr>
        <w:spacing w:line="360" w:lineRule="auto"/>
        <w:rPr>
          <w:rFonts w:asciiTheme="minorEastAsia" w:hAnsiTheme="minorEastAsia" w:cstheme="minorEastAsia"/>
          <w:bCs/>
          <w:sz w:val="24"/>
          <w:szCs w:val="24"/>
        </w:rPr>
      </w:pPr>
    </w:p>
    <w:p>
      <w:pPr>
        <w:spacing w:line="360" w:lineRule="auto"/>
        <w:rPr>
          <w:rFonts w:ascii="宋体" w:hAnsi="宋体"/>
          <w:b/>
          <w:color w:val="FF0000"/>
          <w:sz w:val="24"/>
          <w:szCs w:val="24"/>
          <w:highlight w:val="yellow"/>
        </w:rPr>
      </w:pPr>
      <w:r>
        <w:rPr>
          <w:rFonts w:hint="eastAsia" w:asciiTheme="minorEastAsia" w:hAnsiTheme="minorEastAsia" w:cstheme="minorEastAsia"/>
          <w:b/>
          <w:color w:val="FF0000"/>
          <w:sz w:val="24"/>
          <w:szCs w:val="24"/>
          <w:highlight w:val="yellow"/>
        </w:rPr>
        <w:t>注：本项目中标单位必须具备项目需求的全部服务能力，不得分包，否则中标无效。</w:t>
      </w:r>
    </w:p>
    <w:p>
      <w:pPr>
        <w:spacing w:line="360" w:lineRule="auto"/>
        <w:rPr>
          <w:rFonts w:ascii="宋体" w:hAnsi="宋体"/>
          <w:b/>
          <w:bCs/>
          <w:sz w:val="24"/>
          <w:szCs w:val="24"/>
        </w:rPr>
      </w:pPr>
    </w:p>
    <w:p>
      <w:pPr>
        <w:widowControl/>
        <w:jc w:val="left"/>
        <w:rPr>
          <w:rFonts w:ascii="黑体" w:eastAsia="黑体"/>
          <w:bCs/>
          <w:color w:val="000000" w:themeColor="text1"/>
          <w:sz w:val="28"/>
          <w:szCs w:val="28"/>
          <w14:textFill>
            <w14:solidFill>
              <w14:schemeClr w14:val="tx1"/>
            </w14:solidFill>
          </w14:textFill>
        </w:rPr>
      </w:pPr>
      <w:r>
        <w:rPr>
          <w:rFonts w:ascii="黑体" w:eastAsia="黑体"/>
          <w:bCs/>
          <w:color w:val="000000" w:themeColor="text1"/>
          <w:sz w:val="28"/>
          <w:szCs w:val="28"/>
          <w14:textFill>
            <w14:solidFill>
              <w14:schemeClr w14:val="tx1"/>
            </w14:solidFill>
          </w14:textFill>
        </w:rPr>
        <w:br w:type="page"/>
      </w:r>
    </w:p>
    <w:p>
      <w:pPr>
        <w:pStyle w:val="121"/>
      </w:pPr>
      <w:bookmarkStart w:id="46" w:name="_Toc55147048"/>
      <w:bookmarkStart w:id="47" w:name="_Toc70512793"/>
      <w:r>
        <w:rPr>
          <w:rFonts w:hint="eastAsia"/>
        </w:rPr>
        <w:t>四．</w:t>
      </w:r>
      <w:bookmarkEnd w:id="46"/>
      <w:r>
        <w:rPr>
          <w:rFonts w:hint="eastAsia"/>
        </w:rPr>
        <w:t>合同条款及格式</w:t>
      </w:r>
      <w:bookmarkEnd w:id="47"/>
    </w:p>
    <w:p>
      <w:pPr>
        <w:spacing w:line="480" w:lineRule="auto"/>
        <w:rPr>
          <w:rFonts w:ascii="黑体" w:hAnsi="黑体" w:eastAsia="黑体"/>
          <w:sz w:val="28"/>
          <w:szCs w:val="28"/>
          <w:u w:val="single"/>
        </w:rPr>
      </w:pPr>
      <w:bookmarkStart w:id="48" w:name="_Toc55147050"/>
      <w:r>
        <w:rPr>
          <w:rFonts w:hint="eastAsia" w:ascii="黑体" w:hAnsi="黑体" w:eastAsia="黑体"/>
          <w:sz w:val="28"/>
          <w:szCs w:val="28"/>
        </w:rPr>
        <w:t>合同编号：</w:t>
      </w:r>
      <w:r>
        <w:rPr>
          <w:rFonts w:hint="eastAsia" w:ascii="黑体" w:hAnsi="黑体" w:eastAsia="黑体"/>
          <w:sz w:val="28"/>
          <w:szCs w:val="28"/>
          <w:u w:val="single"/>
        </w:rPr>
        <w:t xml:space="preserve">          </w:t>
      </w:r>
    </w:p>
    <w:p>
      <w:pPr>
        <w:jc w:val="right"/>
        <w:rPr>
          <w:rFonts w:ascii="仿宋" w:hAnsi="仿宋" w:eastAsia="仿宋"/>
          <w:sz w:val="30"/>
          <w:szCs w:val="30"/>
        </w:rPr>
      </w:pPr>
      <w:r>
        <w:rPr>
          <w:rFonts w:hint="eastAsia" w:ascii="仿宋" w:hAnsi="仿宋" w:eastAsia="仿宋"/>
          <w:sz w:val="30"/>
          <w:szCs w:val="30"/>
        </w:rPr>
        <w:t>参考格式</w:t>
      </w:r>
    </w:p>
    <w:p>
      <w:pPr>
        <w:jc w:val="right"/>
        <w:rPr>
          <w:rFonts w:ascii="仿宋" w:hAnsi="仿宋" w:eastAsia="仿宋"/>
          <w:sz w:val="30"/>
          <w:szCs w:val="30"/>
        </w:rPr>
      </w:pPr>
      <w:r>
        <w:rPr>
          <w:rFonts w:hint="eastAsia" w:ascii="仿宋" w:hAnsi="仿宋" w:eastAsia="仿宋"/>
          <w:sz w:val="30"/>
          <w:szCs w:val="30"/>
        </w:rPr>
        <w:t xml:space="preserve">                                          </w:t>
      </w:r>
    </w:p>
    <w:p>
      <w:pPr>
        <w:spacing w:line="480" w:lineRule="auto"/>
        <w:jc w:val="center"/>
        <w:rPr>
          <w:rFonts w:ascii="黑体" w:hAnsi="黑体" w:eastAsia="黑体"/>
          <w:bCs/>
          <w:sz w:val="48"/>
          <w:szCs w:val="44"/>
        </w:rPr>
      </w:pPr>
      <w:r>
        <w:rPr>
          <w:rFonts w:hint="eastAsia" w:ascii="黑体" w:hAnsi="黑体" w:eastAsia="黑体"/>
          <w:bCs/>
          <w:sz w:val="48"/>
          <w:szCs w:val="44"/>
        </w:rPr>
        <w:t xml:space="preserve">采购合同  </w:t>
      </w:r>
    </w:p>
    <w:p>
      <w:pPr>
        <w:autoSpaceDE w:val="0"/>
        <w:autoSpaceDN w:val="0"/>
        <w:adjustRightInd w:val="0"/>
        <w:jc w:val="left"/>
        <w:rPr>
          <w:rFonts w:ascii="楷体" w:hAnsi="楷体" w:eastAsia="楷体"/>
          <w:sz w:val="24"/>
        </w:rPr>
      </w:pPr>
    </w:p>
    <w:p>
      <w:pPr>
        <w:autoSpaceDE w:val="0"/>
        <w:autoSpaceDN w:val="0"/>
        <w:adjustRightInd w:val="0"/>
        <w:jc w:val="left"/>
        <w:rPr>
          <w:rFonts w:ascii="楷体" w:hAnsi="楷体" w:eastAsia="楷体"/>
          <w:sz w:val="24"/>
        </w:rPr>
      </w:pPr>
    </w:p>
    <w:p>
      <w:pPr>
        <w:autoSpaceDE w:val="0"/>
        <w:autoSpaceDN w:val="0"/>
        <w:adjustRightInd w:val="0"/>
        <w:jc w:val="left"/>
        <w:rPr>
          <w:rFonts w:ascii="楷体" w:hAnsi="楷体" w:eastAsia="楷体"/>
          <w:sz w:val="24"/>
        </w:rPr>
      </w:pPr>
    </w:p>
    <w:p>
      <w:pPr>
        <w:autoSpaceDE w:val="0"/>
        <w:autoSpaceDN w:val="0"/>
        <w:adjustRightInd w:val="0"/>
        <w:jc w:val="left"/>
        <w:rPr>
          <w:rFonts w:ascii="楷体" w:hAnsi="楷体" w:eastAsia="楷体"/>
          <w:sz w:val="24"/>
        </w:rPr>
      </w:pPr>
    </w:p>
    <w:p>
      <w:pPr>
        <w:spacing w:before="120" w:line="240" w:lineRule="atLeast"/>
        <w:rPr>
          <w:rFonts w:ascii="楷体" w:hAnsi="楷体" w:eastAsia="楷体"/>
          <w:sz w:val="24"/>
        </w:rPr>
      </w:pPr>
      <w:r>
        <w:rPr>
          <w:rFonts w:hint="eastAsia" w:ascii="楷体" w:hAnsi="楷体" w:eastAsia="楷体"/>
          <w:sz w:val="24"/>
        </w:rPr>
        <w:t xml:space="preserve"> </w:t>
      </w:r>
    </w:p>
    <w:p>
      <w:pPr>
        <w:spacing w:before="120" w:line="240" w:lineRule="atLeast"/>
        <w:ind w:left="960"/>
        <w:rPr>
          <w:rFonts w:ascii="黑体" w:hAnsi="黑体" w:eastAsia="黑体"/>
          <w:sz w:val="32"/>
          <w:szCs w:val="28"/>
        </w:rPr>
      </w:pPr>
      <w:r>
        <w:rPr>
          <w:rFonts w:hint="eastAsia" w:ascii="黑体" w:hAnsi="黑体" w:eastAsia="黑体"/>
          <w:sz w:val="32"/>
          <w:szCs w:val="28"/>
        </w:rPr>
        <w:t>项目名称：</w:t>
      </w:r>
      <w:r>
        <w:rPr>
          <w:rFonts w:hint="eastAsia" w:ascii="黑体" w:hAnsi="黑体" w:eastAsia="黑体"/>
          <w:sz w:val="32"/>
          <w:szCs w:val="28"/>
          <w:u w:val="single"/>
        </w:rPr>
        <w:t xml:space="preserve">                                   </w:t>
      </w:r>
    </w:p>
    <w:p>
      <w:pPr>
        <w:rPr>
          <w:rFonts w:ascii="黑体" w:hAnsi="黑体" w:eastAsia="黑体"/>
          <w:sz w:val="32"/>
          <w:szCs w:val="28"/>
        </w:rPr>
      </w:pPr>
      <w:r>
        <w:rPr>
          <w:rFonts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甲方：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乙方：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firstLine="960" w:firstLineChars="300"/>
        <w:rPr>
          <w:rFonts w:ascii="黑体" w:hAnsi="黑体" w:eastAsia="黑体"/>
          <w:sz w:val="32"/>
          <w:szCs w:val="28"/>
        </w:rPr>
      </w:pPr>
      <w:r>
        <w:rPr>
          <w:rFonts w:hint="eastAsia" w:ascii="黑体" w:hAnsi="黑体" w:eastAsia="黑体"/>
          <w:sz w:val="32"/>
          <w:szCs w:val="28"/>
        </w:rPr>
        <w:t>代理机构：</w:t>
      </w:r>
      <w:r>
        <w:rPr>
          <w:rFonts w:hint="eastAsia" w:ascii="黑体" w:hAnsi="黑体" w:eastAsia="黑体"/>
          <w:sz w:val="32"/>
          <w:szCs w:val="28"/>
          <w:u w:val="single"/>
        </w:rPr>
        <w:t xml:space="preserve">     常州中采招投标有限公司        </w:t>
      </w:r>
    </w:p>
    <w:p>
      <w:pPr>
        <w:spacing w:before="120" w:line="240" w:lineRule="atLeast"/>
        <w:rPr>
          <w:rFonts w:ascii="黑体" w:hAnsi="黑体" w:eastAsia="黑体"/>
          <w:sz w:val="32"/>
          <w:szCs w:val="28"/>
        </w:rPr>
      </w:pPr>
      <w:r>
        <w:rPr>
          <w:rFonts w:ascii="黑体" w:hAnsi="黑体" w:eastAsia="黑体"/>
          <w:sz w:val="32"/>
          <w:szCs w:val="28"/>
        </w:rPr>
        <w:t xml:space="preserve"> </w:t>
      </w:r>
    </w:p>
    <w:p>
      <w:pPr>
        <w:spacing w:before="120" w:line="240" w:lineRule="atLeast"/>
        <w:ind w:firstLine="960" w:firstLineChars="300"/>
        <w:rPr>
          <w:rFonts w:ascii="黑体" w:hAnsi="黑体" w:eastAsia="黑体"/>
          <w:sz w:val="28"/>
          <w:szCs w:val="28"/>
          <w:u w:val="single"/>
        </w:rPr>
      </w:pPr>
      <w:r>
        <w:rPr>
          <w:rFonts w:hint="eastAsia" w:ascii="黑体" w:hAnsi="黑体" w:eastAsia="黑体"/>
          <w:sz w:val="32"/>
          <w:szCs w:val="28"/>
        </w:rPr>
        <w:t>签订地：</w:t>
      </w:r>
      <w:r>
        <w:rPr>
          <w:rFonts w:hint="eastAsia" w:ascii="黑体" w:hAnsi="黑体" w:eastAsia="黑体"/>
          <w:sz w:val="32"/>
          <w:szCs w:val="28"/>
          <w:u w:val="single"/>
        </w:rPr>
        <w:t xml:space="preserve">                                     </w:t>
      </w:r>
      <w:r>
        <w:rPr>
          <w:rFonts w:hint="eastAsia" w:ascii="黑体" w:hAnsi="黑体" w:eastAsia="黑体"/>
          <w:sz w:val="28"/>
          <w:szCs w:val="28"/>
          <w:u w:val="single"/>
        </w:rPr>
        <w:t xml:space="preserve"> </w:t>
      </w:r>
    </w:p>
    <w:p>
      <w:pPr>
        <w:spacing w:before="120" w:line="240" w:lineRule="atLeast"/>
        <w:ind w:firstLine="1400" w:firstLineChars="500"/>
        <w:rPr>
          <w:rFonts w:ascii="黑体" w:hAnsi="黑体" w:eastAsia="黑体"/>
          <w:sz w:val="28"/>
        </w:rPr>
      </w:pPr>
    </w:p>
    <w:p>
      <w:pPr>
        <w:spacing w:before="120" w:line="240" w:lineRule="atLeast"/>
        <w:ind w:firstLine="1400" w:firstLineChars="500"/>
        <w:rPr>
          <w:rFonts w:ascii="黑体" w:hAnsi="黑体" w:eastAsia="黑体"/>
          <w:sz w:val="28"/>
        </w:rPr>
      </w:pPr>
      <w:r>
        <w:rPr>
          <w:rFonts w:hint="eastAsia" w:ascii="黑体" w:hAnsi="黑体" w:eastAsia="黑体"/>
          <w:sz w:val="28"/>
        </w:rPr>
        <w:t>签订日期：</w:t>
      </w:r>
      <w:r>
        <w:rPr>
          <w:rFonts w:hint="eastAsia" w:ascii="黑体" w:hAnsi="黑体" w:eastAsia="黑体"/>
          <w:sz w:val="28"/>
          <w:u w:val="single"/>
        </w:rPr>
        <w:t xml:space="preserve">               </w:t>
      </w:r>
      <w:r>
        <w:rPr>
          <w:rFonts w:hint="eastAsia" w:ascii="黑体" w:hAnsi="黑体" w:eastAsia="黑体"/>
          <w:sz w:val="28"/>
        </w:rPr>
        <w:t>年</w:t>
      </w:r>
      <w:r>
        <w:rPr>
          <w:rFonts w:hint="eastAsia" w:ascii="黑体" w:hAnsi="黑体" w:eastAsia="黑体"/>
          <w:sz w:val="28"/>
          <w:u w:val="single"/>
        </w:rPr>
        <w:t xml:space="preserve">       </w:t>
      </w:r>
      <w:r>
        <w:rPr>
          <w:rFonts w:hint="eastAsia" w:ascii="黑体" w:hAnsi="黑体" w:eastAsia="黑体"/>
          <w:sz w:val="28"/>
        </w:rPr>
        <w:t>月</w:t>
      </w:r>
      <w:r>
        <w:rPr>
          <w:rFonts w:hint="eastAsia" w:ascii="黑体" w:hAnsi="黑体" w:eastAsia="黑体"/>
          <w:sz w:val="28"/>
          <w:u w:val="single"/>
        </w:rPr>
        <w:t xml:space="preserve">       </w:t>
      </w:r>
      <w:r>
        <w:rPr>
          <w:rFonts w:hint="eastAsia" w:ascii="黑体" w:hAnsi="黑体" w:eastAsia="黑体"/>
          <w:sz w:val="28"/>
        </w:rPr>
        <w:t>日</w:t>
      </w:r>
    </w:p>
    <w:p>
      <w:pPr>
        <w:spacing w:before="120" w:line="240" w:lineRule="atLeast"/>
        <w:rPr>
          <w:rFonts w:ascii="黑体" w:hAnsi="黑体" w:eastAsia="黑体"/>
          <w:sz w:val="28"/>
        </w:rPr>
      </w:pPr>
    </w:p>
    <w:p>
      <w:pPr>
        <w:widowControl/>
        <w:jc w:val="left"/>
        <w:rPr>
          <w:rFonts w:ascii="黑体" w:hAnsi="黑体" w:eastAsia="黑体"/>
          <w:sz w:val="28"/>
        </w:rPr>
      </w:pPr>
      <w:r>
        <w:rPr>
          <w:rFonts w:ascii="黑体" w:hAnsi="黑体" w:eastAsia="黑体"/>
          <w:sz w:val="28"/>
        </w:rPr>
        <w:br w:type="page"/>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r>
        <w:rPr>
          <w:rFonts w:hint="eastAsia" w:ascii="宋体" w:hAnsi="宋体" w:eastAsia="宋体" w:cs="Times New Roman"/>
          <w:sz w:val="24"/>
          <w:szCs w:val="24"/>
          <w:u w:val="single"/>
        </w:rPr>
        <w:t xml:space="preserve">   （采购人名称）   </w:t>
      </w:r>
      <w:r>
        <w:rPr>
          <w:rFonts w:hint="eastAsia" w:ascii="宋体" w:hAnsi="宋体" w:eastAsia="宋体" w:cs="Times New Roman"/>
          <w:sz w:val="24"/>
          <w:szCs w:val="24"/>
        </w:rPr>
        <w:t>以</w:t>
      </w:r>
      <w:r>
        <w:rPr>
          <w:rFonts w:hint="eastAsia" w:ascii="宋体" w:hAnsi="宋体" w:eastAsia="宋体" w:cs="Times New Roman"/>
          <w:sz w:val="24"/>
          <w:szCs w:val="24"/>
          <w:u w:val="single"/>
        </w:rPr>
        <w:t xml:space="preserve">   （采购方式）  </w:t>
      </w:r>
      <w:r>
        <w:rPr>
          <w:rFonts w:hint="eastAsia" w:ascii="宋体" w:hAnsi="宋体" w:eastAsia="宋体" w:cs="Times New Roman"/>
          <w:sz w:val="24"/>
          <w:szCs w:val="24"/>
        </w:rPr>
        <w:t>对</w:t>
      </w:r>
      <w:r>
        <w:rPr>
          <w:rFonts w:hint="eastAsia" w:ascii="宋体" w:hAnsi="宋体" w:eastAsia="宋体" w:cs="Times New Roman"/>
          <w:sz w:val="24"/>
          <w:szCs w:val="24"/>
          <w:u w:val="single"/>
        </w:rPr>
        <w:t xml:space="preserve">   （同前页项目名称）   </w:t>
      </w:r>
      <w:r>
        <w:rPr>
          <w:rFonts w:hint="eastAsia" w:ascii="宋体" w:hAnsi="宋体" w:eastAsia="宋体" w:cs="Times New Roman"/>
          <w:sz w:val="24"/>
          <w:szCs w:val="24"/>
        </w:rPr>
        <w:t>项目进行了采购。经评定，</w:t>
      </w:r>
      <w:r>
        <w:rPr>
          <w:rFonts w:hint="eastAsia" w:ascii="宋体" w:hAnsi="宋体" w:eastAsia="宋体" w:cs="Times New Roman"/>
          <w:sz w:val="24"/>
          <w:szCs w:val="24"/>
          <w:u w:val="single"/>
        </w:rPr>
        <w:t xml:space="preserve">   （中标供应商名称） </w:t>
      </w:r>
      <w:r>
        <w:rPr>
          <w:rFonts w:hint="eastAsia" w:ascii="宋体" w:hAnsi="宋体" w:eastAsia="宋体" w:cs="Times New Roman"/>
          <w:sz w:val="24"/>
          <w:szCs w:val="24"/>
        </w:rPr>
        <w:t>为该项目中标供应商。现于中标通知书发出之日起三十日内，按照采购文件确定的事项签订本合同。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根据《中华人民共和国民法典》、《中华人民共和国政府采购法》等相关法律法规之规定，按照平等、自愿、公平和诚实信用的原则，经</w:t>
      </w:r>
      <w:r>
        <w:rPr>
          <w:rFonts w:hint="eastAsia" w:ascii="宋体" w:hAnsi="宋体" w:eastAsia="宋体" w:cs="Times New Roman"/>
          <w:sz w:val="24"/>
          <w:szCs w:val="24"/>
          <w:u w:val="single"/>
        </w:rPr>
        <w:t xml:space="preserve">   （采购人名称）   </w:t>
      </w:r>
      <w:r>
        <w:rPr>
          <w:rFonts w:hint="eastAsia" w:ascii="宋体" w:hAnsi="宋体" w:eastAsia="宋体" w:cs="Times New Roman"/>
          <w:sz w:val="24"/>
          <w:szCs w:val="24"/>
        </w:rPr>
        <w:t>(以下简称：甲方)和</w:t>
      </w:r>
      <w:r>
        <w:rPr>
          <w:rFonts w:hint="eastAsia" w:ascii="宋体" w:hAnsi="宋体" w:eastAsia="宋体" w:cs="Times New Roman"/>
          <w:sz w:val="24"/>
          <w:szCs w:val="24"/>
          <w:u w:val="single"/>
        </w:rPr>
        <w:t xml:space="preserve">   （中标供应商名称）   </w:t>
      </w:r>
      <w:r>
        <w:rPr>
          <w:rFonts w:hint="eastAsia" w:ascii="宋体" w:hAnsi="宋体" w:eastAsia="宋体" w:cs="Times New Roman"/>
          <w:sz w:val="24"/>
          <w:szCs w:val="24"/>
        </w:rPr>
        <w:t>(以下简称：乙方)协商一致，约定以下合同条款，以兹共同遵守、全面履行。</w:t>
      </w:r>
    </w:p>
    <w:p>
      <w:pPr>
        <w:spacing w:line="360" w:lineRule="auto"/>
        <w:ind w:firstLine="482" w:firstLineChars="200"/>
        <w:rPr>
          <w:rFonts w:ascii="Calibri" w:hAnsi="Calibri" w:eastAsia="宋体" w:cs="Times New Roman"/>
          <w:b/>
          <w:sz w:val="24"/>
          <w:szCs w:val="24"/>
        </w:rPr>
      </w:pPr>
      <w:bookmarkStart w:id="49" w:name="_Toc60748165"/>
      <w:r>
        <w:rPr>
          <w:rFonts w:hint="eastAsia" w:ascii="Calibri" w:hAnsi="Calibri" w:eastAsia="宋体" w:cs="Times New Roman"/>
          <w:b/>
          <w:sz w:val="24"/>
          <w:szCs w:val="24"/>
        </w:rPr>
        <w:t>一、合同组成部分</w:t>
      </w:r>
      <w:bookmarkEnd w:id="4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1.本合同及其补充合同、变更协议；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2.中标通知书；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3.投标文件（含澄清或者说明文件）；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4.采购文件（含澄清或者修改文件）；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5.其他相关采购文件。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双方有关项目的洽商、变更等书面协议或文件视为本合同的组成部分。</w:t>
      </w:r>
    </w:p>
    <w:p>
      <w:pPr>
        <w:spacing w:line="360" w:lineRule="auto"/>
        <w:ind w:firstLine="482" w:firstLineChars="200"/>
        <w:rPr>
          <w:rFonts w:ascii="Calibri" w:hAnsi="Calibri" w:eastAsia="宋体" w:cs="Times New Roman"/>
          <w:b/>
          <w:sz w:val="24"/>
          <w:szCs w:val="24"/>
        </w:rPr>
      </w:pPr>
      <w:bookmarkStart w:id="50" w:name="_Toc60748166"/>
      <w:r>
        <w:rPr>
          <w:rFonts w:hint="eastAsia" w:ascii="Calibri" w:hAnsi="Calibri" w:eastAsia="宋体" w:cs="Times New Roman"/>
          <w:b/>
          <w:sz w:val="24"/>
          <w:szCs w:val="24"/>
        </w:rPr>
        <w:t>二、合同标的</w:t>
      </w:r>
      <w:bookmarkEnd w:id="50"/>
      <w:r>
        <w:rPr>
          <w:rFonts w:hint="eastAsia" w:ascii="Calibri" w:hAnsi="Calibri" w:eastAsia="宋体" w:cs="Times New Roman"/>
          <w:b/>
          <w:sz w:val="24"/>
          <w:szCs w:val="24"/>
        </w:rPr>
        <w:t>内容</w:t>
      </w:r>
    </w:p>
    <w:p>
      <w:pPr>
        <w:tabs>
          <w:tab w:val="left" w:pos="9030"/>
        </w:tabs>
        <w:snapToGrid w:val="0"/>
        <w:spacing w:line="360" w:lineRule="auto"/>
        <w:ind w:firstLine="480" w:firstLineChars="200"/>
        <w:rPr>
          <w:rFonts w:ascii="宋体" w:hAnsi="宋体" w:eastAsia="宋体" w:cs="Times New Roman"/>
          <w:sz w:val="24"/>
          <w:szCs w:val="24"/>
          <w:u w:val="single"/>
        </w:rPr>
      </w:pPr>
      <w:bookmarkStart w:id="51" w:name="_Toc60748167"/>
      <w:r>
        <w:rPr>
          <w:rFonts w:hint="eastAsia" w:ascii="宋体" w:hAnsi="宋体" w:eastAsia="宋体" w:cs="Times New Roman"/>
          <w:sz w:val="24"/>
          <w:szCs w:val="24"/>
        </w:rPr>
        <w:t>1.项目名称：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r>
        <w:rPr>
          <w:rFonts w:ascii="宋体" w:hAnsi="宋体" w:eastAsia="宋体" w:cs="Times New Roman"/>
          <w:sz w:val="24"/>
          <w:szCs w:val="24"/>
        </w:rPr>
        <w:tab/>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2.坐落位置：</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3.服务范围：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4.服务期限：</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三、合同价款</w:t>
      </w:r>
      <w:bookmarkEnd w:id="51"/>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本合同总价为：￥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元（大写：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元人民币）。</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分项价格：</w:t>
      </w:r>
    </w:p>
    <w:tbl>
      <w:tblPr>
        <w:tblStyle w:val="3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分项名称</w:t>
            </w:r>
          </w:p>
        </w:tc>
        <w:tc>
          <w:tcPr>
            <w:tcW w:w="25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总价</w:t>
            </w: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r>
    </w:tbl>
    <w:p>
      <w:pPr>
        <w:spacing w:line="360" w:lineRule="auto"/>
        <w:ind w:firstLine="482" w:firstLineChars="200"/>
        <w:rPr>
          <w:rFonts w:ascii="宋体" w:hAnsi="宋体" w:eastAsia="宋体" w:cs="Times New Roman"/>
          <w:b/>
          <w:bCs/>
          <w:sz w:val="24"/>
          <w:szCs w:val="24"/>
        </w:rPr>
      </w:pPr>
      <w:bookmarkStart w:id="52" w:name="_Toc60748168"/>
      <w:r>
        <w:rPr>
          <w:rFonts w:hint="eastAsia" w:ascii="宋体" w:hAnsi="宋体" w:eastAsia="宋体" w:cs="Times New Roman"/>
          <w:b/>
          <w:bCs/>
          <w:sz w:val="24"/>
          <w:szCs w:val="24"/>
        </w:rPr>
        <w:t>四、 付款方式和发票开具方式</w:t>
      </w:r>
      <w:bookmarkEnd w:id="52"/>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1.付款方式：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2.发票开具方式：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360" w:lineRule="auto"/>
        <w:ind w:firstLine="482" w:firstLineChars="200"/>
        <w:rPr>
          <w:rFonts w:ascii="宋体" w:hAnsi="宋体" w:eastAsia="宋体" w:cs="Times New Roman"/>
          <w:b/>
          <w:bCs/>
          <w:sz w:val="24"/>
          <w:szCs w:val="24"/>
        </w:rPr>
      </w:pPr>
      <w:bookmarkStart w:id="53" w:name="_Toc60748169"/>
      <w:r>
        <w:rPr>
          <w:rFonts w:hint="eastAsia" w:ascii="宋体" w:hAnsi="宋体" w:eastAsia="宋体" w:cs="Times New Roman"/>
          <w:b/>
          <w:bCs/>
          <w:sz w:val="24"/>
          <w:szCs w:val="24"/>
        </w:rPr>
        <w:t>五、履行期限、地点和方式</w:t>
      </w:r>
      <w:bookmarkEnd w:id="53"/>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1.履行期限：</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2.履行地点：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3.履行方式：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六、</w:t>
      </w:r>
      <w:bookmarkStart w:id="54" w:name="_Toc60748170"/>
      <w:r>
        <w:rPr>
          <w:rFonts w:hint="eastAsia" w:ascii="宋体" w:hAnsi="宋体" w:eastAsia="宋体" w:cs="Times New Roman"/>
          <w:b/>
          <w:bCs/>
          <w:sz w:val="24"/>
          <w:szCs w:val="24"/>
        </w:rPr>
        <w:t>服务管理考核</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1.岗位出勤情况考核</w:t>
      </w:r>
    </w:p>
    <w:p>
      <w:pPr>
        <w:snapToGrid w:val="0"/>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 xml:space="preserve">                                                                </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2.服务质量考核</w:t>
      </w:r>
    </w:p>
    <w:p>
      <w:pPr>
        <w:snapToGrid w:val="0"/>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 xml:space="preserve">                                                                </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3.服务满意度考核</w:t>
      </w:r>
    </w:p>
    <w:p>
      <w:pPr>
        <w:snapToGrid w:val="0"/>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 xml:space="preserve">                                                                </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七、保密要求</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1. </w:t>
      </w:r>
      <w:r>
        <w:rPr>
          <w:rFonts w:ascii="宋体" w:hAnsi="宋体" w:eastAsia="宋体" w:cs="Times New Roman"/>
          <w:sz w:val="24"/>
          <w:szCs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 </w:t>
      </w:r>
      <w:r>
        <w:rPr>
          <w:rFonts w:ascii="宋体" w:hAnsi="宋体" w:eastAsia="宋体" w:cs="Times New Roman"/>
          <w:sz w:val="24"/>
          <w:szCs w:val="24"/>
        </w:rPr>
        <w:t>乙方在履行合同过程中所获得或接触到的任何</w:t>
      </w:r>
      <w:r>
        <w:rPr>
          <w:rFonts w:hint="eastAsia" w:ascii="宋体" w:hAnsi="宋体" w:eastAsia="宋体" w:cs="Times New Roman"/>
          <w:sz w:val="24"/>
          <w:szCs w:val="24"/>
        </w:rPr>
        <w:t>内部数据资料，未经甲方同意，不得向第三方透露。</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3. </w:t>
      </w:r>
      <w:r>
        <w:rPr>
          <w:rFonts w:ascii="宋体" w:hAnsi="宋体" w:eastAsia="宋体" w:cs="Times New Roman"/>
          <w:sz w:val="24"/>
          <w:szCs w:val="24"/>
        </w:rPr>
        <w:t>乙方</w:t>
      </w:r>
      <w:r>
        <w:rPr>
          <w:rFonts w:hint="eastAsia" w:ascii="宋体" w:hAnsi="宋体" w:eastAsia="宋体" w:cs="Times New Roman"/>
          <w:sz w:val="24"/>
          <w:szCs w:val="24"/>
        </w:rPr>
        <w:t>实施项目的一切程序都应符合国家安全、保密的有关规定和标准。</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八、甲方权利与义务</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（一）甲方权利： </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 有权向乙方询问工作进展情况及相关的内容。</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 有权阐述对具体问题的意见和建议。</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 当甲方认定乙方人员不按合同履行其职责，或与第三人串通给甲方造成经济损失的，甲方有权要求更换人员，直至终止合同并要求乙方承担相应的赔偿责任。</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4. </w:t>
      </w:r>
      <w:r>
        <w:rPr>
          <w:rFonts w:hint="eastAsia" w:ascii="宋体" w:hAnsi="宋体" w:eastAsia="宋体" w:cs="仿宋"/>
          <w:sz w:val="24"/>
          <w:szCs w:val="24"/>
          <w:u w:val="single"/>
        </w:rPr>
        <w:t xml:space="preserve">                                              </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（二）甲方义务： </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 负责与本项目有关的第三方的协调，提供开展服务工作的外部条件。</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 向乙方提供与本项目有关的资料。</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3. </w:t>
      </w:r>
      <w:r>
        <w:rPr>
          <w:rFonts w:hint="eastAsia" w:ascii="宋体" w:hAnsi="宋体" w:eastAsia="宋体" w:cs="仿宋"/>
          <w:sz w:val="24"/>
          <w:szCs w:val="24"/>
          <w:u w:val="single"/>
        </w:rPr>
        <w:t xml:space="preserve">                                              </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九、乙方权利与义务</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一、乙方权利：</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 乙方在本项目服务过程中，如甲方提供的资料不明确时可向甲方提出书面报告。</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2. </w:t>
      </w:r>
      <w:r>
        <w:rPr>
          <w:rFonts w:hint="eastAsia" w:ascii="宋体" w:hAnsi="宋体" w:eastAsia="宋体" w:cs="仿宋"/>
          <w:sz w:val="24"/>
          <w:szCs w:val="24"/>
          <w:u w:val="single"/>
        </w:rPr>
        <w:t xml:space="preserve">                                              </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二、乙方义务：</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 应按照</w:t>
      </w:r>
      <w:r>
        <w:rPr>
          <w:rFonts w:hint="eastAsia" w:ascii="宋体" w:hAnsi="宋体" w:eastAsia="宋体" w:cs="仿宋"/>
          <w:sz w:val="24"/>
          <w:szCs w:val="24"/>
        </w:rPr>
        <w:softHyphen/>
      </w:r>
      <w:r>
        <w:rPr>
          <w:rFonts w:hint="eastAsia" w:ascii="宋体" w:hAnsi="宋体" w:eastAsia="宋体" w:cs="仿宋"/>
          <w:sz w:val="24"/>
          <w:szCs w:val="24"/>
        </w:rPr>
        <w:t>本项目采购文件、乙方投标文件要求按期完成本项目工作。</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 负责组织项目的实施，保证工作质量满足相关验收相关标准。</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 乙方不得擅自部分或全部转让其应履行的合同义务。</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4. </w:t>
      </w:r>
      <w:r>
        <w:rPr>
          <w:rFonts w:hint="eastAsia" w:ascii="宋体" w:hAnsi="宋体" w:eastAsia="宋体" w:cs="仿宋"/>
          <w:sz w:val="24"/>
          <w:szCs w:val="24"/>
          <w:u w:val="single"/>
        </w:rPr>
        <w:t xml:space="preserve">                                              </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十、 违约责任</w:t>
      </w:r>
      <w:bookmarkEnd w:id="54"/>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%计算，最高限额为本合同总价的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%；迟延履行的违约金计算数额达到前述最高限额之日起，甲方有权在要求乙方支付违约金的同时，书面通知乙方解除本合同；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2.除不可抗力外，如果甲方没有按照本合同约定的付款方式付款，那么乙方可要求甲方支付违约金，违约金按每迟延付款一日的应付而未付款的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%计算，最高限额为本合同总价的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6.如果出现采购监督管理部门在处理投诉事项期间，书面通知甲方暂停采购活动的情形，或者询问或质疑事项可能影响中标结果的，导致甲方中止履行合同的情形，均不视为甲方违约。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ascii="宋体" w:hAnsi="宋体" w:eastAsia="宋体" w:cs="Times New Roman"/>
          <w:b/>
          <w:bCs/>
          <w:sz w:val="24"/>
          <w:szCs w:val="24"/>
        </w:rPr>
      </w:pPr>
      <w:bookmarkStart w:id="55" w:name="_Toc60748171"/>
      <w:r>
        <w:rPr>
          <w:rFonts w:hint="eastAsia" w:ascii="宋体" w:hAnsi="宋体" w:eastAsia="宋体" w:cs="Times New Roman"/>
          <w:b/>
          <w:bCs/>
          <w:sz w:val="24"/>
          <w:szCs w:val="24"/>
        </w:rPr>
        <w:t>十一、 合同争议的解决</w:t>
      </w:r>
      <w:bookmarkEnd w:id="55"/>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本合同履行过程中发生的任何争议，双方当事人均可通过和解或者调解解决；不愿和解、调解或者和解、调解不成的，可以选择下列第</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种方式解决：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1.将争议提交</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仲裁委员会依申请仲裁时其现行有效的仲裁规则裁决；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2.向</w:t>
      </w:r>
      <w:r>
        <w:rPr>
          <w:rFonts w:hint="eastAsia" w:ascii="宋体" w:hAnsi="宋体" w:eastAsia="宋体" w:cs="Times New Roman"/>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Times New Roman"/>
          <w:sz w:val="24"/>
          <w:szCs w:val="24"/>
        </w:rPr>
        <w:t>人民法院起诉。</w:t>
      </w:r>
    </w:p>
    <w:p>
      <w:pPr>
        <w:spacing w:line="360" w:lineRule="auto"/>
        <w:ind w:firstLine="482" w:firstLineChars="200"/>
        <w:rPr>
          <w:rFonts w:ascii="宋体" w:hAnsi="宋体" w:eastAsia="宋体" w:cs="Times New Roman"/>
          <w:b/>
          <w:bCs/>
          <w:sz w:val="24"/>
          <w:szCs w:val="24"/>
        </w:rPr>
      </w:pPr>
      <w:bookmarkStart w:id="56" w:name="_Toc60748172"/>
      <w:r>
        <w:rPr>
          <w:rFonts w:hint="eastAsia" w:ascii="宋体" w:hAnsi="宋体" w:eastAsia="宋体" w:cs="Times New Roman"/>
          <w:b/>
          <w:bCs/>
          <w:sz w:val="24"/>
          <w:szCs w:val="24"/>
        </w:rPr>
        <w:t>十二、合同生效</w:t>
      </w:r>
      <w:bookmarkEnd w:id="56"/>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本合同自双方当事人盖章或者签字时生效。</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甲方（采购人）（盖章）：                          乙方（中标供应商）（盖章）：</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法定代表人：                                    法定代表人：</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代理人：                                        代理人：</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电  话：                                        电  话：</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开户银行：                                      开户银行：</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账  号：                                        账  号：</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单位地址：                                      单位地址：</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日  期：                                        日  期：</w:t>
      </w:r>
    </w:p>
    <w:p>
      <w:pPr>
        <w:widowControl/>
        <w:spacing w:line="360" w:lineRule="auto"/>
        <w:jc w:val="left"/>
        <w:rPr>
          <w:rFonts w:ascii="宋体" w:hAnsi="宋体" w:eastAsia="宋体" w:cs="Times New Roman"/>
          <w:sz w:val="24"/>
          <w:szCs w:val="24"/>
        </w:rPr>
      </w:pP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合同备案</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代理机构（盖章）：</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日期：</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地址：钟楼区玉龙南路280号常州大数据产业园2号楼19楼1903室</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电话：</w:t>
      </w:r>
    </w:p>
    <w:p>
      <w:pPr>
        <w:widowControl/>
        <w:spacing w:line="360" w:lineRule="auto"/>
        <w:jc w:val="left"/>
        <w:rPr>
          <w:rFonts w:ascii="黑体" w:hAnsi="黑体" w:eastAsia="黑体"/>
          <w:sz w:val="28"/>
        </w:rPr>
        <w:sectPr>
          <w:headerReference r:id="rId7" w:type="default"/>
          <w:footerReference r:id="rId8" w:type="default"/>
          <w:pgSz w:w="11906" w:h="16838"/>
          <w:pgMar w:top="1110" w:right="1474" w:bottom="1134" w:left="1588" w:header="426" w:footer="546" w:gutter="0"/>
          <w:pgNumType w:start="1"/>
          <w:cols w:space="425" w:num="1"/>
          <w:docGrid w:type="lines" w:linePitch="312" w:charSpace="0"/>
        </w:sectPr>
      </w:pPr>
    </w:p>
    <w:p>
      <w:pPr>
        <w:pStyle w:val="121"/>
      </w:pPr>
      <w:bookmarkStart w:id="57" w:name="_Toc70512794"/>
      <w:r>
        <w:rPr>
          <w:rFonts w:hint="eastAsia"/>
        </w:rPr>
        <w:t>五.</w:t>
      </w:r>
      <w:bookmarkEnd w:id="48"/>
      <w:r>
        <w:rPr>
          <w:rFonts w:hint="eastAsia"/>
        </w:rPr>
        <w:t>评分标准</w:t>
      </w:r>
      <w:bookmarkEnd w:id="57"/>
    </w:p>
    <w:tbl>
      <w:tblPr>
        <w:tblStyle w:val="31"/>
        <w:tblW w:w="9904" w:type="dxa"/>
        <w:tblInd w:w="0" w:type="dxa"/>
        <w:tblLayout w:type="fixed"/>
        <w:tblCellMar>
          <w:top w:w="0" w:type="dxa"/>
          <w:left w:w="0" w:type="dxa"/>
          <w:bottom w:w="0" w:type="dxa"/>
          <w:right w:w="0" w:type="dxa"/>
        </w:tblCellMar>
      </w:tblPr>
      <w:tblGrid>
        <w:gridCol w:w="561"/>
        <w:gridCol w:w="1140"/>
        <w:gridCol w:w="450"/>
        <w:gridCol w:w="4828"/>
        <w:gridCol w:w="2925"/>
      </w:tblGrid>
      <w:tr>
        <w:tblPrEx>
          <w:tblCellMar>
            <w:top w:w="0" w:type="dxa"/>
            <w:left w:w="0" w:type="dxa"/>
            <w:bottom w:w="0" w:type="dxa"/>
            <w:right w:w="0" w:type="dxa"/>
          </w:tblCellMar>
        </w:tblPrEx>
        <w:trPr>
          <w:trHeight w:val="500" w:hRule="atLeast"/>
        </w:trPr>
        <w:tc>
          <w:tcPr>
            <w:tcW w:w="56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b/>
                <w:szCs w:val="21"/>
              </w:rPr>
            </w:pPr>
            <w:r>
              <w:rPr>
                <w:rFonts w:hint="eastAsia" w:ascii="宋体" w:hAnsi="宋体" w:eastAsia="宋体" w:cs="宋体"/>
                <w:b/>
                <w:kern w:val="0"/>
                <w:szCs w:val="21"/>
                <w:lang w:bidi="ar"/>
              </w:rPr>
              <w:t>序号</w:t>
            </w:r>
          </w:p>
        </w:tc>
        <w:tc>
          <w:tcPr>
            <w:tcW w:w="114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b/>
                <w:szCs w:val="21"/>
              </w:rPr>
            </w:pPr>
            <w:r>
              <w:rPr>
                <w:rFonts w:hint="eastAsia" w:ascii="宋体" w:hAnsi="宋体" w:eastAsia="宋体" w:cs="宋体"/>
                <w:b/>
                <w:kern w:val="0"/>
                <w:szCs w:val="21"/>
                <w:lang w:bidi="ar"/>
              </w:rPr>
              <w:t>评审因素</w:t>
            </w:r>
          </w:p>
        </w:tc>
        <w:tc>
          <w:tcPr>
            <w:tcW w:w="4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b/>
                <w:szCs w:val="21"/>
              </w:rPr>
            </w:pPr>
            <w:r>
              <w:rPr>
                <w:rFonts w:hint="eastAsia" w:ascii="宋体" w:hAnsi="宋体" w:eastAsia="宋体" w:cs="宋体"/>
                <w:b/>
                <w:kern w:val="0"/>
                <w:szCs w:val="21"/>
                <w:lang w:bidi="ar"/>
              </w:rPr>
              <w:t>分值</w:t>
            </w:r>
          </w:p>
        </w:tc>
        <w:tc>
          <w:tcPr>
            <w:tcW w:w="482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评分标准</w:t>
            </w:r>
          </w:p>
        </w:tc>
        <w:tc>
          <w:tcPr>
            <w:tcW w:w="292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评标依据</w:t>
            </w:r>
          </w:p>
        </w:tc>
      </w:tr>
      <w:tr>
        <w:tblPrEx>
          <w:tblCellMar>
            <w:top w:w="0" w:type="dxa"/>
            <w:left w:w="0" w:type="dxa"/>
            <w:bottom w:w="0" w:type="dxa"/>
            <w:right w:w="0" w:type="dxa"/>
          </w:tblCellMar>
        </w:tblPrEx>
        <w:trPr>
          <w:trHeight w:val="500" w:hRule="atLeast"/>
        </w:trPr>
        <w:tc>
          <w:tcPr>
            <w:tcW w:w="9904" w:type="dxa"/>
            <w:gridSpan w:val="5"/>
            <w:tcBorders>
              <w:top w:val="nil"/>
              <w:left w:val="single" w:color="000000" w:sz="8" w:space="0"/>
              <w:bottom w:val="single" w:color="auto" w:sz="4" w:space="0"/>
              <w:right w:val="single" w:color="000000" w:sz="8" w:space="0"/>
            </w:tcBorders>
            <w:tcMar>
              <w:top w:w="15" w:type="dxa"/>
              <w:left w:w="15" w:type="dxa"/>
              <w:right w:w="15" w:type="dxa"/>
            </w:tcMar>
            <w:vAlign w:val="center"/>
          </w:tcPr>
          <w:p>
            <w:pPr>
              <w:widowControl/>
              <w:textAlignment w:val="center"/>
              <w:rPr>
                <w:rFonts w:ascii="宋体" w:hAnsi="宋体" w:eastAsia="宋体" w:cs="宋体"/>
                <w:b/>
                <w:szCs w:val="21"/>
              </w:rPr>
            </w:pPr>
            <w:r>
              <w:rPr>
                <w:rFonts w:hint="eastAsia" w:ascii="宋体" w:hAnsi="宋体" w:eastAsia="宋体" w:cs="宋体"/>
                <w:b/>
                <w:kern w:val="0"/>
                <w:szCs w:val="21"/>
                <w:lang w:bidi="ar"/>
              </w:rPr>
              <w:t>一、投标报价（25分）</w:t>
            </w:r>
          </w:p>
        </w:tc>
      </w:tr>
      <w:tr>
        <w:tblPrEx>
          <w:tblCellMar>
            <w:top w:w="0" w:type="dxa"/>
            <w:left w:w="0" w:type="dxa"/>
            <w:bottom w:w="0" w:type="dxa"/>
            <w:right w:w="0" w:type="dxa"/>
          </w:tblCellMar>
        </w:tblPrEx>
        <w:trPr>
          <w:trHeight w:val="2402" w:hRule="atLeast"/>
        </w:trPr>
        <w:tc>
          <w:tcPr>
            <w:tcW w:w="5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报价（供应商最终报价）</w:t>
            </w:r>
          </w:p>
        </w:tc>
        <w:tc>
          <w:tcPr>
            <w:tcW w:w="4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25</w:t>
            </w:r>
          </w:p>
        </w:tc>
        <w:tc>
          <w:tcPr>
            <w:tcW w:w="48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（1）评标基准价：满足采购文件要求，且经评审后的最低价为评标基准价，其中文印报价分为20分，教学诊断报价分为5分，合计满分为25分。</w:t>
            </w:r>
          </w:p>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（2）其他供应商的价格分统一按照下列公式计算：投标报价得分=（评标基准价/文印服务投标报价）*20%*100+（评标基准价/</w:t>
            </w:r>
            <w:r>
              <w:rPr>
                <w:rFonts w:hint="eastAsia" w:ascii="宋体" w:hAnsi="宋体" w:eastAsia="宋体" w:cs="宋体"/>
                <w:bCs/>
                <w:szCs w:val="21"/>
              </w:rPr>
              <w:t>教学诊断服务投标报价）</w:t>
            </w:r>
            <w:r>
              <w:rPr>
                <w:rFonts w:hint="eastAsia" w:ascii="宋体" w:hAnsi="宋体" w:eastAsia="宋体" w:cs="宋体"/>
                <w:kern w:val="0"/>
                <w:szCs w:val="21"/>
                <w:lang w:bidi="ar"/>
              </w:rPr>
              <w:t>*5%*100）</w:t>
            </w:r>
          </w:p>
        </w:tc>
        <w:tc>
          <w:tcPr>
            <w:tcW w:w="29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宋体" w:hAnsi="宋体" w:eastAsia="宋体" w:cs="宋体"/>
                <w:b/>
                <w:szCs w:val="21"/>
              </w:rPr>
            </w:pPr>
            <w:r>
              <w:rPr>
                <w:rFonts w:hint="eastAsia" w:ascii="宋体" w:hAnsi="宋体" w:eastAsia="宋体" w:cs="宋体"/>
                <w:kern w:val="0"/>
                <w:szCs w:val="21"/>
                <w:lang w:bidi="ar"/>
              </w:rPr>
              <w:t>明显不符合法规报价要求的视作无效投标</w:t>
            </w:r>
          </w:p>
        </w:tc>
      </w:tr>
      <w:tr>
        <w:tblPrEx>
          <w:tblCellMar>
            <w:top w:w="0" w:type="dxa"/>
            <w:left w:w="0" w:type="dxa"/>
            <w:bottom w:w="0" w:type="dxa"/>
            <w:right w:w="0" w:type="dxa"/>
          </w:tblCellMar>
        </w:tblPrEx>
        <w:trPr>
          <w:trHeight w:val="500" w:hRule="atLeast"/>
        </w:trPr>
        <w:tc>
          <w:tcPr>
            <w:tcW w:w="9904" w:type="dxa"/>
            <w:gridSpan w:val="5"/>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b/>
                <w:szCs w:val="21"/>
              </w:rPr>
            </w:pPr>
            <w:r>
              <w:rPr>
                <w:rFonts w:hint="eastAsia" w:ascii="宋体" w:hAnsi="宋体" w:eastAsia="宋体" w:cs="宋体"/>
                <w:b/>
                <w:kern w:val="0"/>
                <w:szCs w:val="21"/>
                <w:lang w:bidi="ar"/>
              </w:rPr>
              <w:t>二、商务部分（29分）</w:t>
            </w:r>
          </w:p>
        </w:tc>
      </w:tr>
      <w:tr>
        <w:tblPrEx>
          <w:tblCellMar>
            <w:top w:w="0" w:type="dxa"/>
            <w:left w:w="0" w:type="dxa"/>
            <w:bottom w:w="0" w:type="dxa"/>
            <w:right w:w="0" w:type="dxa"/>
          </w:tblCellMar>
        </w:tblPrEx>
        <w:trPr>
          <w:trHeight w:val="500" w:hRule="atLeast"/>
        </w:trPr>
        <w:tc>
          <w:tcPr>
            <w:tcW w:w="56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114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业绩</w:t>
            </w:r>
          </w:p>
        </w:tc>
        <w:tc>
          <w:tcPr>
            <w:tcW w:w="4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w:t>
            </w:r>
          </w:p>
        </w:tc>
        <w:tc>
          <w:tcPr>
            <w:tcW w:w="482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kern w:val="0"/>
                <w:szCs w:val="21"/>
                <w:lang w:bidi="ar"/>
              </w:rPr>
            </w:pPr>
            <w:r>
              <w:rPr>
                <w:rFonts w:hint="eastAsia" w:ascii="宋体" w:hAnsi="宋体" w:eastAsia="宋体" w:cs="宋体"/>
                <w:kern w:val="0"/>
                <w:szCs w:val="21"/>
                <w:lang w:bidi="ar"/>
              </w:rPr>
              <w:t>各投标单位提供2017年1月1日至本项目响应截止日，类似</w:t>
            </w:r>
            <w:r>
              <w:rPr>
                <w:rFonts w:hint="eastAsia" w:ascii="宋体" w:hAnsi="宋体" w:eastAsia="宋体" w:cs="宋体"/>
                <w:szCs w:val="21"/>
                <w:lang w:bidi="ar"/>
              </w:rPr>
              <w:t>文印服务外包</w:t>
            </w:r>
            <w:r>
              <w:rPr>
                <w:rFonts w:hint="eastAsia" w:ascii="宋体" w:hAnsi="宋体" w:eastAsia="宋体" w:cs="宋体"/>
                <w:kern w:val="0"/>
                <w:szCs w:val="21"/>
                <w:lang w:bidi="ar"/>
              </w:rPr>
              <w:t>项目业绩，日期以签订日期为准。每有一份得4分。本项最高得20分，没有则不得分。</w:t>
            </w:r>
          </w:p>
          <w:p>
            <w:pPr>
              <w:pStyle w:val="9"/>
              <w:ind w:firstLine="0"/>
              <w:rPr>
                <w:rFonts w:ascii="宋体" w:hAnsi="宋体" w:cs="宋体"/>
                <w:szCs w:val="21"/>
                <w:lang w:bidi="ar"/>
              </w:rPr>
            </w:pPr>
          </w:p>
        </w:tc>
        <w:tc>
          <w:tcPr>
            <w:tcW w:w="292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kern w:val="0"/>
                <w:szCs w:val="21"/>
                <w:lang w:bidi="ar"/>
              </w:rPr>
              <w:t>供应商要列出采购单位名称及项目负责人联系电话，以合同复印件加盖公章为准</w:t>
            </w:r>
            <w:r>
              <w:rPr>
                <w:rFonts w:hint="eastAsia" w:ascii="宋体" w:hAnsi="宋体" w:eastAsia="宋体" w:cs="宋体"/>
                <w:kern w:val="0"/>
                <w:szCs w:val="21"/>
                <w:lang w:eastAsia="zh-CN" w:bidi="ar"/>
              </w:rPr>
              <w:t>。</w:t>
            </w:r>
          </w:p>
        </w:tc>
      </w:tr>
      <w:tr>
        <w:tblPrEx>
          <w:tblCellMar>
            <w:top w:w="0" w:type="dxa"/>
            <w:left w:w="0" w:type="dxa"/>
            <w:bottom w:w="0" w:type="dxa"/>
            <w:right w:w="0" w:type="dxa"/>
          </w:tblCellMar>
        </w:tblPrEx>
        <w:trPr>
          <w:trHeight w:val="500" w:hRule="atLeast"/>
        </w:trPr>
        <w:tc>
          <w:tcPr>
            <w:tcW w:w="56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综合实力</w:t>
            </w:r>
          </w:p>
        </w:tc>
        <w:tc>
          <w:tcPr>
            <w:tcW w:w="45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4828"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投标单位具有印刷许可证或营业执中经营范围有复印、影印或打字、复印等服务项目，得3分。没有不得分。</w:t>
            </w:r>
          </w:p>
        </w:tc>
        <w:tc>
          <w:tcPr>
            <w:tcW w:w="2925"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投标文件中提供印刷许可证或营业执照复印件加盖公章。</w:t>
            </w:r>
          </w:p>
        </w:tc>
      </w:tr>
      <w:tr>
        <w:tblPrEx>
          <w:tblCellMar>
            <w:top w:w="0" w:type="dxa"/>
            <w:left w:w="0" w:type="dxa"/>
            <w:bottom w:w="0" w:type="dxa"/>
            <w:right w:w="0" w:type="dxa"/>
          </w:tblCellMar>
        </w:tblPrEx>
        <w:trPr>
          <w:trHeight w:val="500" w:hRule="atLeast"/>
        </w:trPr>
        <w:tc>
          <w:tcPr>
            <w:tcW w:w="56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3</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资质</w:t>
            </w:r>
          </w:p>
        </w:tc>
        <w:tc>
          <w:tcPr>
            <w:tcW w:w="45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6</w:t>
            </w:r>
          </w:p>
        </w:tc>
        <w:tc>
          <w:tcPr>
            <w:tcW w:w="4828"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投标单位提供所投产品的智慧教育助手PC端软件著作权、联盟学校考试学情分析软件著作权复印件加盖原厂公章。每有1项得3分，本项最高得6分。</w:t>
            </w:r>
          </w:p>
        </w:tc>
        <w:tc>
          <w:tcPr>
            <w:tcW w:w="2925"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投标文件中提供各类证书复印件加盖原厂公章的复印件，复印件加盖原厂公章，带现场核查，不提供不得分。</w:t>
            </w:r>
          </w:p>
        </w:tc>
      </w:tr>
      <w:tr>
        <w:tblPrEx>
          <w:tblCellMar>
            <w:top w:w="0" w:type="dxa"/>
            <w:left w:w="0" w:type="dxa"/>
            <w:bottom w:w="0" w:type="dxa"/>
            <w:right w:w="0" w:type="dxa"/>
          </w:tblCellMar>
        </w:tblPrEx>
        <w:trPr>
          <w:trHeight w:val="500" w:hRule="atLeast"/>
        </w:trPr>
        <w:tc>
          <w:tcPr>
            <w:tcW w:w="9904" w:type="dxa"/>
            <w:gridSpan w:val="5"/>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b/>
                <w:szCs w:val="21"/>
              </w:rPr>
            </w:pPr>
            <w:bookmarkStart w:id="69" w:name="_GoBack"/>
            <w:r>
              <w:rPr>
                <w:rFonts w:hint="eastAsia" w:ascii="宋体" w:hAnsi="宋体" w:eastAsia="宋体" w:cs="宋体"/>
                <w:b/>
                <w:kern w:val="0"/>
                <w:szCs w:val="21"/>
                <w:lang w:bidi="ar"/>
              </w:rPr>
              <w:t>三、技术部分（46分）</w:t>
            </w:r>
            <w:bookmarkEnd w:id="69"/>
          </w:p>
        </w:tc>
      </w:tr>
      <w:tr>
        <w:tblPrEx>
          <w:tblCellMar>
            <w:top w:w="0" w:type="dxa"/>
            <w:left w:w="0" w:type="dxa"/>
            <w:bottom w:w="0" w:type="dxa"/>
            <w:right w:w="0" w:type="dxa"/>
          </w:tblCellMar>
        </w:tblPrEx>
        <w:trPr>
          <w:trHeight w:val="500" w:hRule="atLeast"/>
        </w:trPr>
        <w:tc>
          <w:tcPr>
            <w:tcW w:w="561" w:type="dxa"/>
            <w:vMerge w:val="restart"/>
            <w:tcBorders>
              <w:top w:val="nil"/>
              <w:left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1140" w:type="dxa"/>
            <w:vMerge w:val="restart"/>
            <w:tcBorders>
              <w:top w:val="single" w:color="000000" w:sz="8" w:space="0"/>
              <w:left w:val="nil"/>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项目服务方案</w:t>
            </w:r>
          </w:p>
        </w:tc>
        <w:tc>
          <w:tcPr>
            <w:tcW w:w="450" w:type="dxa"/>
            <w:vMerge w:val="restart"/>
            <w:tcBorders>
              <w:top w:val="single" w:color="000000" w:sz="8" w:space="0"/>
              <w:left w:val="nil"/>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szCs w:val="21"/>
                <w:lang w:val="en-US" w:eastAsia="zh-CN"/>
              </w:rPr>
            </w:pPr>
            <w:r>
              <w:rPr>
                <w:rFonts w:hint="eastAsia" w:ascii="宋体" w:hAnsi="宋体" w:eastAsia="宋体" w:cs="宋体"/>
                <w:kern w:val="0"/>
                <w:szCs w:val="21"/>
                <w:lang w:bidi="ar"/>
              </w:rPr>
              <w:t>2</w:t>
            </w:r>
            <w:r>
              <w:rPr>
                <w:rFonts w:hint="eastAsia" w:ascii="宋体" w:hAnsi="宋体" w:eastAsia="宋体" w:cs="宋体"/>
                <w:kern w:val="0"/>
                <w:szCs w:val="21"/>
                <w:lang w:val="en-US" w:eastAsia="zh-CN" w:bidi="ar"/>
              </w:rPr>
              <w:t>6</w:t>
            </w:r>
          </w:p>
        </w:tc>
        <w:tc>
          <w:tcPr>
            <w:tcW w:w="4828" w:type="dxa"/>
            <w:tcBorders>
              <w:top w:val="single" w:color="000000" w:sz="8" w:space="0"/>
              <w:left w:val="nil"/>
              <w:bottom w:val="nil"/>
              <w:right w:val="single" w:color="000000" w:sz="8" w:space="0"/>
            </w:tcBorders>
            <w:tcMar>
              <w:top w:w="15" w:type="dxa"/>
              <w:left w:w="15" w:type="dxa"/>
              <w:right w:w="15" w:type="dxa"/>
            </w:tcMar>
            <w:vAlign w:val="center"/>
          </w:tcPr>
          <w:p>
            <w:pPr>
              <w:widowControl/>
              <w:textAlignment w:val="center"/>
              <w:rPr>
                <w:rFonts w:hint="eastAsia" w:ascii="宋体" w:hAnsi="宋体" w:eastAsia="宋体" w:cs="宋体"/>
                <w:szCs w:val="21"/>
                <w:lang w:eastAsia="zh-CN"/>
              </w:rPr>
            </w:pPr>
            <w:r>
              <w:rPr>
                <w:rFonts w:hint="eastAsia" w:ascii="宋体" w:hAnsi="宋体" w:eastAsia="宋体" w:cs="宋体"/>
                <w:kern w:val="0"/>
                <w:szCs w:val="21"/>
                <w:lang w:bidi="ar"/>
              </w:rPr>
              <w:t>项目理解</w:t>
            </w:r>
          </w:p>
        </w:tc>
        <w:tc>
          <w:tcPr>
            <w:tcW w:w="2925" w:type="dxa"/>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828"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投标单位对采购人的现状进行详细描述，理解用户真正的需求，描述全校文档输出及教学诊断服务的具体目标和实施方案。投标单位有具体数据得2分，良好得1分，没有提供的不得分。</w:t>
            </w:r>
          </w:p>
        </w:tc>
        <w:tc>
          <w:tcPr>
            <w:tcW w:w="2925" w:type="dxa"/>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hint="eastAsia" w:ascii="宋体" w:hAnsi="宋体" w:eastAsia="宋体" w:cs="宋体"/>
                <w:szCs w:val="21"/>
                <w:lang w:eastAsia="zh-CN"/>
              </w:rPr>
            </w:pPr>
            <w:r>
              <w:rPr>
                <w:rFonts w:hint="eastAsia" w:ascii="宋体" w:hAnsi="宋体" w:eastAsia="宋体" w:cs="宋体"/>
                <w:kern w:val="0"/>
                <w:szCs w:val="21"/>
                <w:lang w:bidi="ar"/>
              </w:rPr>
              <w:t>项目管理</w:t>
            </w:r>
          </w:p>
        </w:tc>
        <w:tc>
          <w:tcPr>
            <w:tcW w:w="2925" w:type="dxa"/>
            <w:vMerge w:val="restart"/>
            <w:tcBorders>
              <w:top w:val="nil"/>
              <w:left w:val="nil"/>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1）评委会根据投标单位提供的管理措施和服务流程设计的合理性、科学性，以及对项目实施监督、型号品牌管理（选型）、工作流程管理（工作人员行为规范、保密等相关标准）及现场环境6S管理有具体的管理措施和管理流程等进行横向对比，综合打分。本项最高得4分，没有提供的不得分。</w:t>
            </w:r>
          </w:p>
        </w:tc>
        <w:tc>
          <w:tcPr>
            <w:tcW w:w="2925"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2）评委会根据投标单位的全程服务（事前、事中、事后）的实施方案设计流程及交接计划的科学性、合规性、合理性进行横向对比，综合打分。本项最高得</w:t>
            </w:r>
            <w:r>
              <w:rPr>
                <w:rFonts w:hint="eastAsia" w:ascii="宋体" w:hAnsi="宋体" w:eastAsia="宋体" w:cs="宋体"/>
                <w:kern w:val="0"/>
                <w:szCs w:val="21"/>
                <w:lang w:val="en-US" w:eastAsia="zh-CN" w:bidi="ar"/>
              </w:rPr>
              <w:t>3</w:t>
            </w:r>
            <w:r>
              <w:rPr>
                <w:rFonts w:hint="eastAsia" w:ascii="宋体" w:hAnsi="宋体" w:eastAsia="宋体" w:cs="宋体"/>
                <w:kern w:val="0"/>
                <w:szCs w:val="21"/>
                <w:lang w:bidi="ar"/>
              </w:rPr>
              <w:t>分，没有提供的不得分。</w:t>
            </w:r>
          </w:p>
        </w:tc>
        <w:tc>
          <w:tcPr>
            <w:tcW w:w="2925" w:type="dxa"/>
            <w:vMerge w:val="continue"/>
            <w:tcBorders>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hint="eastAsia" w:ascii="宋体" w:hAnsi="宋体" w:eastAsia="宋体" w:cs="宋体"/>
                <w:szCs w:val="21"/>
                <w:lang w:eastAsia="zh-CN"/>
              </w:rPr>
            </w:pPr>
            <w:r>
              <w:rPr>
                <w:rFonts w:hint="eastAsia" w:ascii="宋体" w:hAnsi="宋体" w:eastAsia="宋体" w:cs="宋体"/>
                <w:kern w:val="0"/>
                <w:szCs w:val="21"/>
                <w:lang w:bidi="ar"/>
              </w:rPr>
              <w:t>对接方案</w:t>
            </w:r>
          </w:p>
        </w:tc>
        <w:tc>
          <w:tcPr>
            <w:tcW w:w="2925" w:type="dxa"/>
            <w:vMerge w:val="restart"/>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评委会根据投标单位提供的全校文印高效高品高质服务的对接流程等进行横向对比，综合打分。本项最高得5分，没有提供的不得分。</w:t>
            </w:r>
          </w:p>
        </w:tc>
        <w:tc>
          <w:tcPr>
            <w:tcW w:w="2925" w:type="dxa"/>
            <w:vMerge w:val="continue"/>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hint="eastAsia" w:ascii="宋体" w:hAnsi="宋体" w:eastAsia="宋体" w:cs="宋体"/>
                <w:szCs w:val="21"/>
                <w:lang w:eastAsia="zh-CN"/>
              </w:rPr>
            </w:pPr>
            <w:r>
              <w:rPr>
                <w:rFonts w:hint="eastAsia" w:ascii="宋体" w:hAnsi="宋体" w:eastAsia="宋体" w:cs="宋体"/>
                <w:kern w:val="0"/>
                <w:szCs w:val="21"/>
                <w:lang w:val="en-US" w:eastAsia="zh-CN" w:bidi="ar"/>
              </w:rPr>
              <w:t>账务</w:t>
            </w:r>
            <w:r>
              <w:rPr>
                <w:rFonts w:hint="eastAsia" w:ascii="宋体" w:hAnsi="宋体" w:eastAsia="宋体" w:cs="宋体"/>
                <w:kern w:val="0"/>
                <w:szCs w:val="21"/>
                <w:lang w:bidi="ar"/>
              </w:rPr>
              <w:t>管理方案</w:t>
            </w:r>
          </w:p>
        </w:tc>
        <w:tc>
          <w:tcPr>
            <w:tcW w:w="2925" w:type="dxa"/>
            <w:vMerge w:val="restart"/>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根据校方的需求，投标单位提供可操作性的</w:t>
            </w:r>
            <w:r>
              <w:rPr>
                <w:rFonts w:hint="eastAsia" w:ascii="宋体" w:hAnsi="宋体" w:eastAsia="宋体" w:cs="宋体"/>
                <w:kern w:val="0"/>
                <w:szCs w:val="21"/>
                <w:lang w:val="en-US" w:eastAsia="zh-CN" w:bidi="ar"/>
              </w:rPr>
              <w:t>账务</w:t>
            </w:r>
            <w:r>
              <w:rPr>
                <w:rFonts w:hint="eastAsia" w:ascii="宋体" w:hAnsi="宋体" w:eastAsia="宋体" w:cs="宋体"/>
                <w:kern w:val="0"/>
                <w:szCs w:val="21"/>
                <w:lang w:bidi="ar"/>
              </w:rPr>
              <w:t>管理方案的情况，评委根据各方案进行横向对比，综合打分。本项最高得3分，没有提供的不得分。</w:t>
            </w:r>
          </w:p>
        </w:tc>
        <w:tc>
          <w:tcPr>
            <w:tcW w:w="2925" w:type="dxa"/>
            <w:vMerge w:val="continue"/>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合理化建议</w:t>
            </w:r>
          </w:p>
        </w:tc>
        <w:tc>
          <w:tcPr>
            <w:tcW w:w="2925" w:type="dxa"/>
            <w:vMerge w:val="restart"/>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评委会根据投标单位对全校以简化流程，节省成本、提高工作效率为目标的具体的改善优化解决方案的可实施性和合理性进行横向对比，综合打分。本项最高得3分，没有提供的不得分。</w:t>
            </w:r>
          </w:p>
        </w:tc>
        <w:tc>
          <w:tcPr>
            <w:tcW w:w="2925" w:type="dxa"/>
            <w:vMerge w:val="continue"/>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应急措施</w:t>
            </w:r>
          </w:p>
        </w:tc>
        <w:tc>
          <w:tcPr>
            <w:tcW w:w="2925" w:type="dxa"/>
            <w:vMerge w:val="restart"/>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故障响应时间、服务方案、系统重大故障的应急预案以及措施安排。优秀得3分，良好得2分，一般得1分。没有提供的不得分。</w:t>
            </w:r>
          </w:p>
        </w:tc>
        <w:tc>
          <w:tcPr>
            <w:tcW w:w="2925" w:type="dxa"/>
            <w:vMerge w:val="continue"/>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备件情况</w:t>
            </w:r>
          </w:p>
        </w:tc>
        <w:tc>
          <w:tcPr>
            <w:tcW w:w="2925" w:type="dxa"/>
            <w:vMerge w:val="restart"/>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拥有本项目设备维修所需要的备件清单（（投标文件中提供备件清单，含备件数量、型号、配置等）。有得1分。没有不得分。</w:t>
            </w:r>
          </w:p>
        </w:tc>
        <w:tc>
          <w:tcPr>
            <w:tcW w:w="2925" w:type="dxa"/>
            <w:vMerge w:val="continue"/>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服务承诺</w:t>
            </w:r>
          </w:p>
        </w:tc>
        <w:tc>
          <w:tcPr>
            <w:tcW w:w="2925" w:type="dxa"/>
            <w:vMerge w:val="restart"/>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1140" w:type="dxa"/>
            <w:vMerge w:val="continue"/>
            <w:tcBorders>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450" w:type="dxa"/>
            <w:vMerge w:val="continue"/>
            <w:tcBorders>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c>
          <w:tcPr>
            <w:tcW w:w="4828" w:type="dxa"/>
            <w:tcBorders>
              <w:top w:val="nil"/>
              <w:left w:val="nil"/>
              <w:bottom w:val="single" w:color="000000" w:sz="8" w:space="0"/>
              <w:right w:val="single" w:color="000000" w:sz="8" w:space="0"/>
            </w:tcBorders>
            <w:tcMar>
              <w:top w:w="15" w:type="dxa"/>
              <w:left w:w="15" w:type="dxa"/>
              <w:right w:w="15" w:type="dxa"/>
            </w:tcMar>
            <w:vAlign w:val="center"/>
          </w:tcPr>
          <w:p>
            <w:pPr>
              <w:widowControl/>
              <w:numPr>
                <w:ilvl w:val="0"/>
                <w:numId w:val="9"/>
              </w:numPr>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承诺服务时间：6*8小时；2）</w:t>
            </w:r>
            <w:r>
              <w:rPr>
                <w:rFonts w:hint="eastAsia" w:ascii="宋体" w:hAnsi="宋体" w:eastAsia="宋体" w:cs="宋体"/>
                <w:kern w:val="0"/>
                <w:szCs w:val="21"/>
                <w:highlight w:val="none"/>
                <w:lang w:bidi="ar"/>
              </w:rPr>
              <w:t>提供服务具体承诺</w:t>
            </w:r>
            <w:r>
              <w:rPr>
                <w:rFonts w:hint="eastAsia" w:ascii="宋体" w:hAnsi="宋体" w:eastAsia="宋体" w:cs="宋体"/>
                <w:kern w:val="0"/>
                <w:szCs w:val="21"/>
                <w:lang w:bidi="ar"/>
              </w:rPr>
              <w:t>；3）设立专线服务电话</w:t>
            </w:r>
            <w:r>
              <w:rPr>
                <w:rFonts w:hint="eastAsia" w:ascii="宋体" w:hAnsi="宋体" w:eastAsia="宋体" w:cs="宋体"/>
                <w:kern w:val="0"/>
                <w:szCs w:val="21"/>
                <w:lang w:eastAsia="zh-CN" w:bidi="ar"/>
              </w:rPr>
              <w:t>。</w:t>
            </w:r>
          </w:p>
          <w:p>
            <w:pPr>
              <w:widowControl/>
              <w:numPr>
                <w:ilvl w:val="0"/>
                <w:numId w:val="0"/>
              </w:numPr>
              <w:textAlignment w:val="center"/>
              <w:rPr>
                <w:rFonts w:ascii="宋体" w:hAnsi="宋体" w:eastAsia="宋体" w:cs="宋体"/>
                <w:szCs w:val="21"/>
              </w:rPr>
            </w:pPr>
            <w:r>
              <w:rPr>
                <w:rFonts w:hint="eastAsia" w:ascii="宋体" w:hAnsi="宋体" w:eastAsia="宋体" w:cs="宋体"/>
                <w:kern w:val="0"/>
                <w:szCs w:val="21"/>
                <w:lang w:bidi="ar"/>
              </w:rPr>
              <w:t>服务承诺内容齐全且满足要求的，得2分，缺一项扣1分，扣完为止。</w:t>
            </w:r>
          </w:p>
        </w:tc>
        <w:tc>
          <w:tcPr>
            <w:tcW w:w="2925" w:type="dxa"/>
            <w:vMerge w:val="continue"/>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1140" w:type="dxa"/>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产品性能</w:t>
            </w:r>
          </w:p>
        </w:tc>
        <w:tc>
          <w:tcPr>
            <w:tcW w:w="450" w:type="dxa"/>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投标单位所投产品配置和技术指标符合性、技术偏离项综合评价，本项最高10分。</w:t>
            </w:r>
          </w:p>
        </w:tc>
        <w:tc>
          <w:tcPr>
            <w:tcW w:w="2925" w:type="dxa"/>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投标文件中提供所投产品参数证明材料，并加盖原厂公章有效。如发现任何造假数据和描述的，将作为无效投标。</w:t>
            </w:r>
          </w:p>
        </w:tc>
      </w:tr>
      <w:tr>
        <w:tblPrEx>
          <w:tblCellMar>
            <w:top w:w="0" w:type="dxa"/>
            <w:left w:w="0" w:type="dxa"/>
            <w:bottom w:w="0" w:type="dxa"/>
            <w:right w:w="0" w:type="dxa"/>
          </w:tblCellMar>
        </w:tblPrEx>
        <w:trPr>
          <w:trHeight w:val="500" w:hRule="atLeast"/>
        </w:trPr>
        <w:tc>
          <w:tcPr>
            <w:tcW w:w="561"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114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5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1）完全满足技术要求或优于招标要求的得10分；</w:t>
            </w:r>
          </w:p>
        </w:tc>
        <w:tc>
          <w:tcPr>
            <w:tcW w:w="2925" w:type="dxa"/>
            <w:vMerge w:val="continue"/>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114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5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828"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2）除★号技术指标每有一项负偏离扣1分，扣完为止。</w:t>
            </w:r>
          </w:p>
          <w:p>
            <w:pPr>
              <w:widowControl/>
              <w:textAlignment w:val="center"/>
              <w:rPr>
                <w:rFonts w:ascii="宋体" w:hAnsi="宋体" w:eastAsia="宋体" w:cs="宋体"/>
                <w:szCs w:val="21"/>
              </w:rPr>
            </w:pPr>
            <w:r>
              <w:rPr>
                <w:rFonts w:hint="eastAsia" w:ascii="宋体" w:hAnsi="宋体" w:eastAsia="宋体" w:cs="宋体"/>
                <w:kern w:val="0"/>
                <w:szCs w:val="21"/>
                <w:lang w:bidi="ar"/>
              </w:rPr>
              <w:t>注：★号为重要项，不接受负偏离。</w:t>
            </w:r>
          </w:p>
        </w:tc>
        <w:tc>
          <w:tcPr>
            <w:tcW w:w="2925" w:type="dxa"/>
            <w:vMerge w:val="continue"/>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人员配备</w:t>
            </w:r>
          </w:p>
        </w:tc>
        <w:tc>
          <w:tcPr>
            <w:tcW w:w="45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4828"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本项目驻场人员接受过保密培训</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有得5分，没有不得分。</w:t>
            </w:r>
          </w:p>
        </w:tc>
        <w:tc>
          <w:tcPr>
            <w:tcW w:w="2925"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投标文件中提供驻场服务人员用工合同、保密培训合格证书复印件加盖公章。</w:t>
            </w:r>
          </w:p>
        </w:tc>
      </w:tr>
      <w:tr>
        <w:tblPrEx>
          <w:tblCellMar>
            <w:top w:w="0" w:type="dxa"/>
            <w:left w:w="0" w:type="dxa"/>
            <w:bottom w:w="0" w:type="dxa"/>
            <w:right w:w="0" w:type="dxa"/>
          </w:tblCellMar>
        </w:tblPrEx>
        <w:trPr>
          <w:trHeight w:val="500" w:hRule="atLeast"/>
        </w:trPr>
        <w:tc>
          <w:tcPr>
            <w:tcW w:w="561"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1140" w:type="dxa"/>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服务承诺</w:t>
            </w:r>
          </w:p>
        </w:tc>
        <w:tc>
          <w:tcPr>
            <w:tcW w:w="450" w:type="dxa"/>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1）投标单位所供设备均是合格、全新、原厂包装，产品</w:t>
            </w:r>
            <w:r>
              <w:rPr>
                <w:rFonts w:hint="eastAsia" w:ascii="宋体" w:hAnsi="宋体" w:eastAsia="宋体" w:cs="宋体"/>
                <w:kern w:val="0"/>
                <w:szCs w:val="21"/>
                <w:lang w:eastAsia="zh-CN" w:bidi="ar"/>
              </w:rPr>
              <w:t>，</w:t>
            </w:r>
            <w:r>
              <w:rPr>
                <w:rFonts w:hint="eastAsia" w:ascii="宋体" w:hAnsi="宋体" w:eastAsia="宋体" w:cs="宋体"/>
                <w:kern w:val="0"/>
                <w:szCs w:val="21"/>
                <w:lang w:bidi="ar"/>
              </w:rPr>
              <w:t>得1分。</w:t>
            </w:r>
          </w:p>
        </w:tc>
        <w:tc>
          <w:tcPr>
            <w:tcW w:w="2925" w:type="dxa"/>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投标文件中提供承诺函并加盖公章，否则不得分。</w:t>
            </w:r>
          </w:p>
        </w:tc>
      </w:tr>
      <w:tr>
        <w:tblPrEx>
          <w:tblCellMar>
            <w:top w:w="0" w:type="dxa"/>
            <w:left w:w="0" w:type="dxa"/>
            <w:bottom w:w="0" w:type="dxa"/>
            <w:right w:w="0" w:type="dxa"/>
          </w:tblCellMar>
        </w:tblPrEx>
        <w:trPr>
          <w:trHeight w:val="500" w:hRule="atLeast"/>
        </w:trPr>
        <w:tc>
          <w:tcPr>
            <w:tcW w:w="561"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114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5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2）投标单位所派驻场人员具有相关的类似工作经验，能胜任本工作，符合用工法，服务学校规章管理制度的得1分。</w:t>
            </w:r>
          </w:p>
        </w:tc>
        <w:tc>
          <w:tcPr>
            <w:tcW w:w="2925" w:type="dxa"/>
            <w:vMerge w:val="continue"/>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114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5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3）投标单位所派驻人员承诺执行保密约定，得1分。</w:t>
            </w:r>
          </w:p>
        </w:tc>
        <w:tc>
          <w:tcPr>
            <w:tcW w:w="2925" w:type="dxa"/>
            <w:vMerge w:val="continue"/>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114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5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828"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4）投标单位承诺除正常工作时间内提供服务，特殊时期，做到随叫随到，得1分。</w:t>
            </w:r>
          </w:p>
        </w:tc>
        <w:tc>
          <w:tcPr>
            <w:tcW w:w="2925" w:type="dxa"/>
            <w:vMerge w:val="continue"/>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561"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114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5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宋体" w:hAnsi="宋体" w:eastAsia="宋体" w:cs="宋体"/>
                <w:szCs w:val="21"/>
              </w:rPr>
            </w:pPr>
          </w:p>
        </w:tc>
        <w:tc>
          <w:tcPr>
            <w:tcW w:w="4828"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5）投标单位承诺按校方要求按实做好文印台</w:t>
            </w:r>
            <w:r>
              <w:rPr>
                <w:rFonts w:hint="eastAsia" w:ascii="宋体" w:hAnsi="宋体" w:eastAsia="宋体" w:cs="宋体"/>
                <w:kern w:val="0"/>
                <w:szCs w:val="21"/>
                <w:lang w:eastAsia="zh-CN" w:bidi="ar"/>
              </w:rPr>
              <w:t>账</w:t>
            </w:r>
            <w:r>
              <w:rPr>
                <w:rFonts w:hint="eastAsia" w:ascii="宋体" w:hAnsi="宋体" w:eastAsia="宋体" w:cs="宋体"/>
                <w:kern w:val="0"/>
                <w:szCs w:val="21"/>
                <w:lang w:bidi="ar"/>
              </w:rPr>
              <w:t>，得1分。</w:t>
            </w:r>
          </w:p>
        </w:tc>
        <w:tc>
          <w:tcPr>
            <w:tcW w:w="2925" w:type="dxa"/>
            <w:vMerge w:val="continue"/>
            <w:tcBorders>
              <w:top w:val="nil"/>
              <w:left w:val="nil"/>
              <w:bottom w:val="single" w:color="000000" w:sz="8" w:space="0"/>
              <w:right w:val="single" w:color="000000" w:sz="8" w:space="0"/>
            </w:tcBorders>
            <w:tcMar>
              <w:top w:w="15" w:type="dxa"/>
              <w:left w:w="15" w:type="dxa"/>
              <w:right w:w="15" w:type="dxa"/>
            </w:tcMar>
            <w:vAlign w:val="center"/>
          </w:tcPr>
          <w:p>
            <w:pPr>
              <w:rPr>
                <w:rFonts w:ascii="宋体" w:hAnsi="宋体" w:eastAsia="宋体" w:cs="宋体"/>
                <w:szCs w:val="21"/>
              </w:rPr>
            </w:pPr>
          </w:p>
        </w:tc>
      </w:tr>
      <w:tr>
        <w:tblPrEx>
          <w:tblCellMar>
            <w:top w:w="0" w:type="dxa"/>
            <w:left w:w="0" w:type="dxa"/>
            <w:bottom w:w="0" w:type="dxa"/>
            <w:right w:w="0" w:type="dxa"/>
          </w:tblCellMar>
        </w:tblPrEx>
        <w:trPr>
          <w:trHeight w:val="500" w:hRule="atLeast"/>
        </w:trPr>
        <w:tc>
          <w:tcPr>
            <w:tcW w:w="6979" w:type="dxa"/>
            <w:gridSpan w:val="4"/>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b/>
                <w:szCs w:val="21"/>
              </w:rPr>
            </w:pPr>
            <w:r>
              <w:rPr>
                <w:rFonts w:hint="eastAsia" w:ascii="宋体" w:hAnsi="宋体" w:eastAsia="宋体" w:cs="宋体"/>
                <w:b/>
                <w:kern w:val="0"/>
                <w:szCs w:val="21"/>
                <w:lang w:bidi="ar"/>
              </w:rPr>
              <w:t>总计</w:t>
            </w:r>
          </w:p>
        </w:tc>
        <w:tc>
          <w:tcPr>
            <w:tcW w:w="292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100分</w:t>
            </w:r>
          </w:p>
        </w:tc>
      </w:tr>
    </w:tbl>
    <w:p>
      <w:pPr>
        <w:spacing w:line="360" w:lineRule="auto"/>
        <w:jc w:val="left"/>
        <w:rPr>
          <w:rFonts w:ascii="宋体" w:hAnsi="宋体"/>
          <w:b/>
          <w:bCs/>
          <w:color w:val="000000" w:themeColor="text1"/>
          <w:sz w:val="24"/>
          <w:szCs w:val="24"/>
          <w14:textFill>
            <w14:solidFill>
              <w14:schemeClr w14:val="tx1"/>
            </w14:solidFill>
          </w14:textFill>
        </w:rPr>
      </w:pPr>
    </w:p>
    <w:p>
      <w:pPr>
        <w:spacing w:line="360" w:lineRule="auto"/>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注： </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1、评分细则中要求提供的证明文件及资料等在响应文件中提供复印件并加盖公章，过时不予接收。</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2、评审时，未能按以上要求提供相应证明的，不作为评分依据，不得分。</w:t>
      </w:r>
    </w:p>
    <w:p>
      <w:pPr>
        <w:spacing w:line="360" w:lineRule="auto"/>
        <w:ind w:firstLine="480" w:firstLineChars="200"/>
        <w:jc w:val="left"/>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3、为便于评分，请供应商按评分表样式，逐条列出证明材料所在页码，格式自定。</w:t>
      </w:r>
    </w:p>
    <w:p>
      <w:pPr>
        <w:jc w:val="left"/>
        <w:rPr>
          <w:rFonts w:ascii="黑体" w:eastAsia="黑体"/>
          <w:bCs/>
          <w:color w:val="000000" w:themeColor="text1"/>
          <w:sz w:val="24"/>
          <w:szCs w:val="24"/>
          <w14:textFill>
            <w14:solidFill>
              <w14:schemeClr w14:val="tx1"/>
            </w14:solidFill>
          </w14:textFill>
        </w:rPr>
      </w:pPr>
    </w:p>
    <w:p>
      <w:pPr>
        <w:jc w:val="left"/>
        <w:rPr>
          <w:rFonts w:ascii="黑体" w:eastAsia="黑体"/>
          <w:bCs/>
          <w:color w:val="000000" w:themeColor="text1"/>
          <w:sz w:val="24"/>
          <w:szCs w:val="24"/>
          <w14:textFill>
            <w14:solidFill>
              <w14:schemeClr w14:val="tx1"/>
            </w14:solidFill>
          </w14:textFill>
        </w:rPr>
      </w:pPr>
    </w:p>
    <w:p>
      <w:pPr>
        <w:widowControl/>
        <w:jc w:val="left"/>
        <w:rPr>
          <w:rFonts w:ascii="黑体" w:eastAsia="黑体"/>
          <w:bCs/>
          <w:color w:val="000000" w:themeColor="text1"/>
          <w:sz w:val="24"/>
          <w:szCs w:val="24"/>
          <w14:textFill>
            <w14:solidFill>
              <w14:schemeClr w14:val="tx1"/>
            </w14:solidFill>
          </w14:textFill>
        </w:rPr>
      </w:pPr>
      <w:r>
        <w:rPr>
          <w:rFonts w:ascii="黑体" w:eastAsia="黑体"/>
          <w:bCs/>
          <w:color w:val="000000" w:themeColor="text1"/>
          <w:sz w:val="24"/>
          <w:szCs w:val="24"/>
          <w14:textFill>
            <w14:solidFill>
              <w14:schemeClr w14:val="tx1"/>
            </w14:solidFill>
          </w14:textFill>
        </w:rPr>
        <w:br w:type="page"/>
      </w:r>
    </w:p>
    <w:p>
      <w:pPr>
        <w:pStyle w:val="121"/>
      </w:pPr>
      <w:bookmarkStart w:id="58" w:name="_Toc55147052"/>
      <w:bookmarkStart w:id="59" w:name="_Toc70512795"/>
      <w:r>
        <w:rPr>
          <w:rFonts w:hint="eastAsia"/>
        </w:rPr>
        <w:t>六．响应文件格式</w:t>
      </w:r>
      <w:bookmarkEnd w:id="58"/>
      <w:bookmarkEnd w:id="59"/>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84"/>
          <w:szCs w:val="84"/>
          <w14:textFill>
            <w14:solidFill>
              <w14:schemeClr w14:val="tx1"/>
            </w14:solidFill>
          </w14:textFill>
        </w:rPr>
      </w:pPr>
      <w:r>
        <w:rPr>
          <w:rFonts w:hint="eastAsia" w:ascii="黑体" w:eastAsia="黑体"/>
          <w:bCs/>
          <w:color w:val="000000" w:themeColor="text1"/>
          <w:sz w:val="84"/>
          <w:szCs w:val="84"/>
          <w14:textFill>
            <w14:solidFill>
              <w14:schemeClr w14:val="tx1"/>
            </w14:solidFill>
          </w14:textFill>
        </w:rPr>
        <w:t>响 应 文 件</w:t>
      </w:r>
    </w:p>
    <w:p>
      <w:pPr>
        <w:jc w:val="center"/>
        <w:rPr>
          <w:rFonts w:ascii="黑体" w:eastAsia="黑体"/>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28"/>
          <w14:textFill>
            <w14:solidFill>
              <w14:schemeClr w14:val="tx1"/>
            </w14:solidFill>
          </w14:textFill>
        </w:rPr>
      </w:pP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编 号：</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名 称：</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报</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 xml:space="preserve">价 </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人：</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日       期：</w:t>
      </w:r>
    </w:p>
    <w:p>
      <w:pPr>
        <w:jc w:val="center"/>
        <w:rPr>
          <w:rFonts w:ascii="黑体" w:eastAsia="黑体"/>
          <w:bCs/>
          <w:color w:val="000000" w:themeColor="text1"/>
          <w:sz w:val="32"/>
          <w14:textFill>
            <w14:solidFill>
              <w14:schemeClr w14:val="tx1"/>
            </w14:solidFill>
          </w14:textFill>
        </w:rPr>
      </w:pPr>
    </w:p>
    <w:p>
      <w:pPr>
        <w:widowControl/>
        <w:jc w:val="center"/>
        <w:rPr>
          <w:rFonts w:ascii="黑体" w:eastAsia="黑体"/>
          <w:bCs/>
          <w:color w:val="000000" w:themeColor="text1"/>
          <w:sz w:val="36"/>
          <w:szCs w:val="36"/>
          <w14:textFill>
            <w14:solidFill>
              <w14:schemeClr w14:val="tx1"/>
            </w14:solidFill>
          </w14:textFill>
        </w:rPr>
      </w:pPr>
      <w:r>
        <w:rPr>
          <w:rFonts w:ascii="黑体" w:eastAsia="黑体"/>
          <w:bCs/>
          <w:color w:val="000000" w:themeColor="text1"/>
          <w:sz w:val="36"/>
          <w:szCs w:val="36"/>
          <w14:textFill>
            <w14:solidFill>
              <w14:schemeClr w14:val="tx1"/>
            </w14:solidFill>
          </w14:textFill>
        </w:rPr>
        <w:br w:type="page"/>
      </w:r>
    </w:p>
    <w:p>
      <w:pPr>
        <w:spacing w:line="360" w:lineRule="auto"/>
        <w:jc w:val="center"/>
        <w:rPr>
          <w:rFonts w:ascii="黑体" w:hAnsi="黑体" w:eastAsia="黑体"/>
          <w:bCs/>
          <w:sz w:val="30"/>
          <w:szCs w:val="30"/>
        </w:rPr>
      </w:pPr>
      <w:bookmarkStart w:id="60" w:name="_Toc55147053"/>
      <w:r>
        <w:rPr>
          <w:rFonts w:hint="eastAsia" w:ascii="黑体" w:hAnsi="黑体" w:eastAsia="黑体"/>
          <w:bCs/>
          <w:sz w:val="30"/>
          <w:szCs w:val="30"/>
        </w:rPr>
        <w:t>响应文件主要目录</w:t>
      </w:r>
    </w:p>
    <w:p>
      <w:pPr>
        <w:spacing w:line="560" w:lineRule="exact"/>
        <w:jc w:val="center"/>
        <w:rPr>
          <w:rFonts w:ascii="宋体" w:hAnsi="宋体"/>
          <w:b/>
          <w:bCs/>
          <w:sz w:val="24"/>
          <w:szCs w:val="24"/>
        </w:rPr>
      </w:pPr>
    </w:p>
    <w:p>
      <w:pPr>
        <w:ind w:firstLine="640" w:firstLineChars="200"/>
        <w:rPr>
          <w:rFonts w:ascii="宋体" w:hAnsi="宋体"/>
          <w:sz w:val="32"/>
          <w:szCs w:val="32"/>
        </w:rPr>
      </w:pPr>
      <w:r>
        <w:rPr>
          <w:rFonts w:hint="eastAsia" w:ascii="宋体" w:hAnsi="宋体"/>
          <w:sz w:val="32"/>
          <w:szCs w:val="32"/>
        </w:rPr>
        <w:t>一、供应商情况说明</w:t>
      </w:r>
    </w:p>
    <w:p>
      <w:pPr>
        <w:ind w:firstLine="640" w:firstLineChars="200"/>
        <w:rPr>
          <w:rFonts w:ascii="宋体" w:hAnsi="宋体"/>
          <w:sz w:val="32"/>
          <w:szCs w:val="32"/>
        </w:rPr>
      </w:pPr>
      <w:r>
        <w:rPr>
          <w:rFonts w:hint="eastAsia" w:ascii="宋体" w:hAnsi="宋体"/>
          <w:sz w:val="32"/>
          <w:szCs w:val="32"/>
        </w:rPr>
        <w:t>二、资格审查响应对照表</w:t>
      </w:r>
    </w:p>
    <w:p>
      <w:pPr>
        <w:ind w:left="480" w:firstLine="160" w:firstLineChars="50"/>
        <w:rPr>
          <w:rFonts w:ascii="宋体" w:hAnsi="宋体"/>
          <w:sz w:val="32"/>
          <w:szCs w:val="32"/>
        </w:rPr>
      </w:pPr>
      <w:r>
        <w:rPr>
          <w:rFonts w:hint="eastAsia" w:ascii="宋体" w:hAnsi="宋体"/>
          <w:sz w:val="32"/>
          <w:szCs w:val="32"/>
        </w:rPr>
        <w:t>三、符合性审查响应对照表</w:t>
      </w:r>
    </w:p>
    <w:p>
      <w:pPr>
        <w:ind w:left="480" w:firstLine="160" w:firstLineChars="50"/>
        <w:rPr>
          <w:rFonts w:ascii="宋体" w:hAnsi="宋体"/>
          <w:sz w:val="32"/>
          <w:szCs w:val="32"/>
        </w:rPr>
      </w:pPr>
      <w:r>
        <w:rPr>
          <w:rFonts w:hint="eastAsia" w:ascii="宋体" w:hAnsi="宋体"/>
          <w:sz w:val="32"/>
          <w:szCs w:val="32"/>
        </w:rPr>
        <w:t>四、评分索引表</w:t>
      </w:r>
    </w:p>
    <w:p>
      <w:pPr>
        <w:ind w:firstLine="640" w:firstLineChars="200"/>
        <w:rPr>
          <w:rFonts w:ascii="宋体" w:hAnsi="宋体"/>
          <w:sz w:val="32"/>
          <w:szCs w:val="32"/>
        </w:rPr>
      </w:pPr>
      <w:r>
        <w:rPr>
          <w:rFonts w:hint="eastAsia" w:ascii="宋体" w:hAnsi="宋体"/>
          <w:sz w:val="32"/>
          <w:szCs w:val="32"/>
        </w:rPr>
        <w:t>五、资格、资信证明文件</w:t>
      </w:r>
    </w:p>
    <w:p>
      <w:pPr>
        <w:ind w:firstLine="640" w:firstLineChars="200"/>
        <w:rPr>
          <w:rFonts w:ascii="宋体" w:hAnsi="宋体"/>
          <w:sz w:val="32"/>
          <w:szCs w:val="32"/>
        </w:rPr>
      </w:pPr>
      <w:r>
        <w:rPr>
          <w:rFonts w:hint="eastAsia" w:ascii="宋体" w:hAnsi="宋体"/>
          <w:sz w:val="32"/>
          <w:szCs w:val="32"/>
        </w:rPr>
        <w:t>六、报价一览表</w:t>
      </w:r>
    </w:p>
    <w:p>
      <w:pPr>
        <w:ind w:firstLine="640" w:firstLineChars="200"/>
        <w:rPr>
          <w:rFonts w:ascii="宋体" w:hAnsi="宋体"/>
          <w:sz w:val="32"/>
          <w:szCs w:val="32"/>
        </w:rPr>
      </w:pPr>
      <w:r>
        <w:rPr>
          <w:rFonts w:hint="eastAsia" w:ascii="宋体" w:hAnsi="宋体"/>
          <w:sz w:val="32"/>
          <w:szCs w:val="32"/>
        </w:rPr>
        <w:t>七、明细报价表</w:t>
      </w:r>
    </w:p>
    <w:p>
      <w:pPr>
        <w:ind w:firstLine="640" w:firstLineChars="200"/>
        <w:rPr>
          <w:rFonts w:ascii="宋体" w:hAnsi="宋体"/>
          <w:sz w:val="32"/>
          <w:szCs w:val="32"/>
        </w:rPr>
      </w:pPr>
      <w:r>
        <w:rPr>
          <w:rFonts w:hint="eastAsia" w:ascii="宋体" w:hAnsi="宋体"/>
          <w:sz w:val="32"/>
          <w:szCs w:val="32"/>
        </w:rPr>
        <w:t>八、技术参数响应及偏离表</w:t>
      </w:r>
    </w:p>
    <w:p>
      <w:pPr>
        <w:ind w:firstLine="640" w:firstLineChars="200"/>
        <w:rPr>
          <w:rFonts w:ascii="宋体" w:hAnsi="宋体"/>
          <w:sz w:val="32"/>
          <w:szCs w:val="32"/>
        </w:rPr>
      </w:pPr>
      <w:r>
        <w:rPr>
          <w:rFonts w:hint="eastAsia" w:ascii="宋体" w:hAnsi="宋体"/>
          <w:sz w:val="32"/>
          <w:szCs w:val="32"/>
        </w:rPr>
        <w:t>九、其他格式附表</w:t>
      </w:r>
    </w:p>
    <w:p>
      <w:pPr>
        <w:ind w:firstLine="640" w:firstLineChars="200"/>
        <w:rPr>
          <w:rFonts w:ascii="宋体" w:hAnsi="宋体"/>
          <w:sz w:val="32"/>
          <w:szCs w:val="32"/>
        </w:rPr>
      </w:pPr>
    </w:p>
    <w:p>
      <w:pPr>
        <w:jc w:val="center"/>
        <w:rPr>
          <w:rFonts w:ascii="宋体" w:hAnsi="宋体"/>
          <w:b/>
          <w:sz w:val="24"/>
          <w:szCs w:val="24"/>
        </w:rPr>
      </w:pPr>
      <w:r>
        <w:rPr>
          <w:rFonts w:ascii="宋体" w:hAnsi="宋体"/>
          <w:b/>
          <w:sz w:val="32"/>
          <w:szCs w:val="32"/>
        </w:rPr>
        <w:br w:type="page"/>
      </w:r>
    </w:p>
    <w:p>
      <w:pPr>
        <w:spacing w:line="360" w:lineRule="auto"/>
        <w:rPr>
          <w:rFonts w:ascii="黑体" w:hAnsi="黑体" w:eastAsia="黑体"/>
          <w:sz w:val="28"/>
          <w:szCs w:val="28"/>
        </w:rPr>
      </w:pPr>
      <w:r>
        <w:rPr>
          <w:rFonts w:hint="eastAsia" w:ascii="黑体" w:hAnsi="黑体" w:eastAsia="黑体"/>
          <w:sz w:val="28"/>
          <w:szCs w:val="28"/>
        </w:rPr>
        <w:t>一、供应商情况说明</w:t>
      </w:r>
    </w:p>
    <w:p>
      <w:pPr>
        <w:snapToGrid w:val="0"/>
        <w:spacing w:line="360" w:lineRule="auto"/>
        <w:ind w:firstLine="560" w:firstLineChars="200"/>
        <w:rPr>
          <w:rFonts w:ascii="宋体" w:hAnsi="宋体"/>
          <w:sz w:val="28"/>
          <w:szCs w:val="28"/>
        </w:rPr>
      </w:pPr>
      <w:r>
        <w:rPr>
          <w:rFonts w:hint="eastAsia" w:ascii="宋体" w:hAnsi="宋体"/>
          <w:sz w:val="28"/>
          <w:szCs w:val="28"/>
        </w:rPr>
        <w:t>供应商简要情况介绍，含供应商规模、技术能力及装备水平等、人员情况、典型项目等。供应商自行以文字形式说明。</w:t>
      </w:r>
    </w:p>
    <w:p>
      <w:pPr>
        <w:snapToGrid w:val="0"/>
        <w:spacing w:line="360" w:lineRule="auto"/>
        <w:rPr>
          <w:rFonts w:ascii="宋体" w:hAnsi="宋体"/>
          <w:sz w:val="24"/>
          <w:szCs w:val="24"/>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widowControl/>
        <w:jc w:val="left"/>
        <w:rPr>
          <w:rFonts w:ascii="黑体" w:hAnsi="黑体" w:eastAsia="黑体"/>
          <w:sz w:val="28"/>
          <w:szCs w:val="28"/>
        </w:rPr>
      </w:pPr>
      <w:r>
        <w:rPr>
          <w:rFonts w:ascii="黑体" w:hAnsi="黑体" w:eastAsia="黑体"/>
          <w:sz w:val="28"/>
          <w:szCs w:val="28"/>
        </w:rPr>
        <w:br w:type="page"/>
      </w:r>
    </w:p>
    <w:p>
      <w:pPr>
        <w:spacing w:line="360" w:lineRule="auto"/>
        <w:rPr>
          <w:rFonts w:ascii="黑体" w:hAnsi="黑体" w:eastAsia="黑体"/>
          <w:sz w:val="28"/>
          <w:szCs w:val="28"/>
        </w:rPr>
      </w:pPr>
      <w:r>
        <w:rPr>
          <w:rFonts w:hint="eastAsia" w:ascii="黑体" w:hAnsi="黑体" w:eastAsia="黑体"/>
          <w:sz w:val="28"/>
          <w:szCs w:val="28"/>
        </w:rPr>
        <w:t>二、资格审查响应对照表</w:t>
      </w:r>
    </w:p>
    <w:tbl>
      <w:tblPr>
        <w:tblStyle w:val="31"/>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95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序号</w:t>
            </w:r>
          </w:p>
        </w:tc>
        <w:tc>
          <w:tcPr>
            <w:tcW w:w="5447"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资格审查响应内容</w:t>
            </w:r>
          </w:p>
        </w:tc>
        <w:tc>
          <w:tcPr>
            <w:tcW w:w="1953"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是否响应</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（填是或者否）</w:t>
            </w:r>
          </w:p>
        </w:tc>
        <w:tc>
          <w:tcPr>
            <w:tcW w:w="1785"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响应文件中</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31" w:type="dxa"/>
            <w:gridSpan w:val="4"/>
            <w:vAlign w:val="center"/>
          </w:tcPr>
          <w:p>
            <w:pPr>
              <w:rPr>
                <w:rFonts w:asciiTheme="minorEastAsia" w:hAnsiTheme="minorEastAsia"/>
                <w:b/>
                <w:sz w:val="24"/>
                <w:szCs w:val="24"/>
              </w:rPr>
            </w:pPr>
            <w:r>
              <w:rPr>
                <w:rFonts w:hint="eastAsia" w:asciiTheme="minorEastAsia" w:hAnsiTheme="minorEastAsia"/>
                <w:b/>
                <w:sz w:val="24"/>
                <w:szCs w:val="24"/>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法定代表人资格证明书/法定代表人授权委托书</w:t>
            </w:r>
          </w:p>
        </w:tc>
        <w:tc>
          <w:tcPr>
            <w:tcW w:w="1953"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具有独立承担民事责任能力的供应商营业执照或相关部门的登记证明文件复印件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具备履行合同所必需的设备和专业技术能力的书面声明（格式见附件）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参加政府采购活动前 3 年内在经营活动中没有重大违法记录的书面声明（格式见附件）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1" w:type="dxa"/>
            <w:gridSpan w:val="4"/>
            <w:vAlign w:val="center"/>
          </w:tcPr>
          <w:p>
            <w:pPr>
              <w:rPr>
                <w:rFonts w:asciiTheme="minorEastAsia" w:hAnsiTheme="minorEastAsia"/>
                <w:sz w:val="24"/>
                <w:szCs w:val="24"/>
              </w:rPr>
            </w:pPr>
            <w:r>
              <w:rPr>
                <w:rFonts w:hint="eastAsia" w:asciiTheme="minorEastAsia" w:hAnsiTheme="minorEastAsia"/>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5447" w:type="dxa"/>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未被“信用中国”网站（www.creditchina.gov.cn）列入失信被执行人、重大税收违法案件当事人名单、政府采购严重失信行为记录名单（提供网页截图）</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6</w:t>
            </w:r>
          </w:p>
        </w:tc>
        <w:tc>
          <w:tcPr>
            <w:tcW w:w="5447" w:type="dxa"/>
            <w:vAlign w:val="center"/>
          </w:tcPr>
          <w:p>
            <w:pPr>
              <w:snapToGrid w:val="0"/>
              <w:spacing w:line="0" w:lineRule="atLeast"/>
              <w:jc w:val="left"/>
              <w:rPr>
                <w:rFonts w:asciiTheme="minorEastAsia" w:hAnsiTheme="minorEastAsia"/>
                <w:iCs/>
                <w:sz w:val="24"/>
                <w:szCs w:val="24"/>
              </w:rPr>
            </w:pPr>
            <w:r>
              <w:rPr>
                <w:rFonts w:hint="eastAsia" w:ascii="宋体" w:hAnsi="宋体"/>
                <w:sz w:val="24"/>
              </w:rPr>
              <w:t>采购人要求的特定资质证明（详见“磋商邀请函”-“申请人的资格要求”）</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rPr>
            </w:pPr>
            <w:r>
              <w:rPr>
                <w:rFonts w:ascii="宋体" w:hAnsi="宋体"/>
              </w:rPr>
              <w:t>…</w:t>
            </w:r>
          </w:p>
        </w:tc>
        <w:tc>
          <w:tcPr>
            <w:tcW w:w="5447" w:type="dxa"/>
            <w:vAlign w:val="center"/>
          </w:tcPr>
          <w:p>
            <w:pPr>
              <w:snapToGrid w:val="0"/>
              <w:spacing w:line="0" w:lineRule="atLeast"/>
              <w:jc w:val="left"/>
              <w:rPr>
                <w:rFonts w:ascii="宋体" w:hAnsi="宋体"/>
                <w:sz w:val="24"/>
              </w:rPr>
            </w:pPr>
            <w:r>
              <w:rPr>
                <w:rFonts w:ascii="宋体" w:hAnsi="宋体"/>
                <w:sz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831" w:type="dxa"/>
            <w:gridSpan w:val="4"/>
            <w:vAlign w:val="center"/>
          </w:tcPr>
          <w:p>
            <w:pPr>
              <w:rPr>
                <w:rFonts w:asciiTheme="minorEastAsia" w:hAnsiTheme="minorEastAsia"/>
                <w:sz w:val="24"/>
                <w:szCs w:val="24"/>
              </w:rPr>
            </w:pPr>
            <w:r>
              <w:rPr>
                <w:rFonts w:hint="eastAsia" w:asciiTheme="minorEastAsia" w:hAnsiTheme="minorEastAsia"/>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7</w:t>
            </w:r>
          </w:p>
        </w:tc>
        <w:tc>
          <w:tcPr>
            <w:tcW w:w="5447" w:type="dxa"/>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响应函</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8</w:t>
            </w:r>
          </w:p>
        </w:tc>
        <w:tc>
          <w:tcPr>
            <w:tcW w:w="5447" w:type="dxa"/>
            <w:vAlign w:val="center"/>
          </w:tcPr>
          <w:p>
            <w:pPr>
              <w:snapToGrid w:val="0"/>
              <w:spacing w:line="0" w:lineRule="atLeast"/>
              <w:jc w:val="left"/>
              <w:rPr>
                <w:rFonts w:asciiTheme="minorEastAsia" w:hAnsiTheme="minorEastAsia"/>
                <w:iCs/>
                <w:sz w:val="24"/>
                <w:szCs w:val="24"/>
              </w:rPr>
            </w:pPr>
            <w:r>
              <w:rPr>
                <w:rFonts w:asciiTheme="minorEastAsia" w:hAnsiTheme="minorEastAsia"/>
                <w:iCs/>
                <w:sz w:val="24"/>
                <w:szCs w:val="24"/>
              </w:rPr>
              <w:t>关于</w:t>
            </w:r>
            <w:r>
              <w:rPr>
                <w:rFonts w:hint="eastAsia" w:asciiTheme="minorEastAsia" w:hAnsiTheme="minorEastAsia"/>
                <w:iCs/>
                <w:sz w:val="24"/>
                <w:szCs w:val="24"/>
              </w:rPr>
              <w:t>资格的声明函</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p>
        </w:tc>
        <w:tc>
          <w:tcPr>
            <w:tcW w:w="5447" w:type="dxa"/>
            <w:vAlign w:val="center"/>
          </w:tcPr>
          <w:p>
            <w:pPr>
              <w:snapToGrid w:val="0"/>
              <w:spacing w:line="0" w:lineRule="atLeast"/>
              <w:jc w:val="lef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p>
        </w:tc>
        <w:tc>
          <w:tcPr>
            <w:tcW w:w="5447" w:type="dxa"/>
            <w:vAlign w:val="center"/>
          </w:tcPr>
          <w:p>
            <w:pPr>
              <w:snapToGrid w:val="0"/>
              <w:spacing w:line="0" w:lineRule="atLeast"/>
              <w:jc w:val="left"/>
              <w:rPr>
                <w:rFonts w:asciiTheme="minorEastAsia" w:hAnsiTheme="minorEastAsia"/>
                <w:sz w:val="24"/>
                <w:szCs w:val="24"/>
              </w:rPr>
            </w:pP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p>
        </w:tc>
        <w:tc>
          <w:tcPr>
            <w:tcW w:w="5447" w:type="dxa"/>
            <w:vAlign w:val="center"/>
          </w:tcPr>
          <w:p>
            <w:pPr>
              <w:snapToGrid w:val="0"/>
              <w:spacing w:line="0" w:lineRule="atLeast"/>
              <w:jc w:val="left"/>
              <w:rPr>
                <w:rFonts w:asciiTheme="minorEastAsia" w:hAnsiTheme="minorEastAsia"/>
                <w:sz w:val="24"/>
                <w:szCs w:val="24"/>
              </w:rPr>
            </w:pP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bl>
    <w:p>
      <w:pPr>
        <w:rPr>
          <w:rFonts w:ascii="黑体" w:hAnsi="黑体" w:eastAsia="黑体"/>
          <w:sz w:val="28"/>
          <w:szCs w:val="28"/>
        </w:rPr>
      </w:pPr>
      <w:r>
        <w:rPr>
          <w:rFonts w:hint="eastAsia" w:ascii="黑体" w:hAnsi="黑体" w:eastAsia="黑体"/>
          <w:sz w:val="28"/>
          <w:szCs w:val="28"/>
        </w:rPr>
        <w:br w:type="page"/>
      </w:r>
    </w:p>
    <w:p>
      <w:pPr>
        <w:widowControl/>
        <w:jc w:val="left"/>
        <w:rPr>
          <w:rFonts w:ascii="宋体" w:hAnsi="宋体"/>
          <w:sz w:val="24"/>
          <w:szCs w:val="24"/>
        </w:rPr>
      </w:pPr>
      <w:r>
        <w:rPr>
          <w:rFonts w:hint="eastAsia" w:ascii="黑体" w:hAnsi="黑体" w:eastAsia="黑体"/>
          <w:sz w:val="28"/>
          <w:szCs w:val="28"/>
        </w:rPr>
        <w:t>三、符合性审查响应对照表</w:t>
      </w:r>
    </w:p>
    <w:tbl>
      <w:tblPr>
        <w:tblStyle w:val="31"/>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81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序号</w:t>
            </w:r>
          </w:p>
        </w:tc>
        <w:tc>
          <w:tcPr>
            <w:tcW w:w="5447"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符合性审查响应内容</w:t>
            </w:r>
          </w:p>
        </w:tc>
        <w:tc>
          <w:tcPr>
            <w:tcW w:w="1812"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是否响应</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（填是或者否）</w:t>
            </w:r>
          </w:p>
        </w:tc>
        <w:tc>
          <w:tcPr>
            <w:tcW w:w="1785"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响应文件中</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采购需求中必须满足的实质性要求（每条详细列出的内容）</w:t>
            </w:r>
          </w:p>
        </w:tc>
        <w:tc>
          <w:tcPr>
            <w:tcW w:w="1812"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5447" w:type="dxa"/>
            <w:vAlign w:val="center"/>
          </w:tcPr>
          <w:p>
            <w:pPr>
              <w:spacing w:line="0" w:lineRule="atLeast"/>
              <w:rPr>
                <w:rFonts w:asciiTheme="minorEastAsia" w:hAnsiTheme="minorEastAsia"/>
                <w:iCs/>
                <w:sz w:val="24"/>
                <w:szCs w:val="24"/>
              </w:rPr>
            </w:pPr>
          </w:p>
        </w:tc>
        <w:tc>
          <w:tcPr>
            <w:tcW w:w="1812"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5447" w:type="dxa"/>
            <w:vAlign w:val="center"/>
          </w:tcPr>
          <w:p>
            <w:pPr>
              <w:spacing w:line="0" w:lineRule="atLeast"/>
              <w:rPr>
                <w:rFonts w:asciiTheme="minorEastAsia" w:hAnsiTheme="minorEastAsia"/>
                <w:iCs/>
                <w:sz w:val="24"/>
                <w:szCs w:val="24"/>
              </w:rPr>
            </w:pPr>
          </w:p>
        </w:tc>
        <w:tc>
          <w:tcPr>
            <w:tcW w:w="1812"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5447" w:type="dxa"/>
            <w:vAlign w:val="center"/>
          </w:tcPr>
          <w:p>
            <w:pPr>
              <w:spacing w:line="0" w:lineRule="atLeast"/>
              <w:rPr>
                <w:rFonts w:asciiTheme="minorEastAsia" w:hAnsiTheme="minorEastAsia"/>
                <w:iCs/>
                <w:sz w:val="24"/>
                <w:szCs w:val="24"/>
              </w:rPr>
            </w:pPr>
          </w:p>
        </w:tc>
        <w:tc>
          <w:tcPr>
            <w:tcW w:w="1812"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5447" w:type="dxa"/>
            <w:vAlign w:val="center"/>
          </w:tcPr>
          <w:p>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812"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bl>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rPr>
          <w:rFonts w:ascii="黑体" w:hAnsi="黑体" w:eastAsia="黑体"/>
          <w:sz w:val="28"/>
          <w:szCs w:val="28"/>
        </w:rPr>
      </w:pPr>
      <w:r>
        <w:rPr>
          <w:rFonts w:hint="eastAsia" w:ascii="黑体" w:hAnsi="黑体" w:eastAsia="黑体"/>
          <w:sz w:val="28"/>
          <w:szCs w:val="28"/>
        </w:rPr>
        <w:br w:type="page"/>
      </w:r>
    </w:p>
    <w:p>
      <w:pPr>
        <w:rPr>
          <w:rFonts w:ascii="黑体" w:hAnsi="黑体" w:eastAsia="黑体"/>
          <w:sz w:val="28"/>
          <w:szCs w:val="28"/>
        </w:rPr>
      </w:pPr>
      <w:r>
        <w:rPr>
          <w:rFonts w:hint="eastAsia" w:ascii="黑体" w:hAnsi="黑体" w:eastAsia="黑体"/>
          <w:sz w:val="28"/>
          <w:szCs w:val="28"/>
        </w:rPr>
        <w:t>四、评分索引表</w:t>
      </w:r>
    </w:p>
    <w:tbl>
      <w:tblPr>
        <w:tblStyle w:val="31"/>
        <w:tblW w:w="10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0"/>
        <w:gridCol w:w="2070"/>
        <w:gridCol w:w="2070"/>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评分项目</w:t>
            </w:r>
          </w:p>
        </w:tc>
        <w:tc>
          <w:tcPr>
            <w:tcW w:w="20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c>
          <w:tcPr>
            <w:tcW w:w="38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在响应文件中的页码位置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b/>
                <w:bCs/>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b/>
                <w:bCs/>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b/>
                <w:bCs/>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b/>
                <w:bCs/>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b/>
                <w:bCs/>
                <w:i w:val="0"/>
                <w:iCs w:val="0"/>
                <w:color w:val="000000"/>
                <w:sz w:val="24"/>
                <w:szCs w:val="24"/>
                <w:u w:val="none"/>
              </w:rPr>
            </w:pPr>
          </w:p>
        </w:tc>
        <w:tc>
          <w:tcPr>
            <w:tcW w:w="2070" w:type="dxa"/>
            <w:tcBorders>
              <w:top w:val="nil"/>
              <w:left w:val="nil"/>
              <w:bottom w:val="single" w:color="000000" w:sz="8" w:space="0"/>
              <w:right w:val="single" w:color="000000" w:sz="8" w:space="0"/>
            </w:tcBorders>
            <w:shd w:val="clear" w:color="auto" w:fill="auto"/>
            <w:vAlign w:val="top"/>
          </w:tcPr>
          <w:p>
            <w:pPr>
              <w:jc w:val="left"/>
              <w:rPr>
                <w:rFonts w:hint="eastAsia" w:ascii="宋体" w:hAnsi="宋体" w:eastAsia="宋体" w:cs="宋体"/>
                <w:b/>
                <w:bCs/>
                <w:i w:val="0"/>
                <w:iCs w:val="0"/>
                <w:color w:val="000000"/>
                <w:sz w:val="24"/>
                <w:szCs w:val="24"/>
                <w:u w:val="none"/>
              </w:rPr>
            </w:pPr>
          </w:p>
        </w:tc>
        <w:tc>
          <w:tcPr>
            <w:tcW w:w="3840"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bl>
    <w:p>
      <w:pPr>
        <w:snapToGrid w:val="0"/>
        <w:spacing w:before="50" w:after="50"/>
        <w:rPr>
          <w:rFonts w:ascii="黑体" w:hAnsi="Times New Roman" w:eastAsia="黑体"/>
          <w:sz w:val="44"/>
          <w:szCs w:val="21"/>
        </w:rPr>
      </w:pPr>
    </w:p>
    <w:p>
      <w:pPr>
        <w:spacing w:line="440" w:lineRule="exact"/>
        <w:ind w:firstLine="480" w:firstLineChars="200"/>
        <w:rPr>
          <w:rFonts w:ascii="宋体" w:hAnsi="宋体"/>
          <w:sz w:val="24"/>
        </w:rPr>
      </w:pPr>
      <w:r>
        <w:rPr>
          <w:rFonts w:hint="eastAsia" w:ascii="宋体" w:hAnsi="宋体"/>
          <w:sz w:val="24"/>
        </w:rPr>
        <w:t>注：本表仅纸质投标（响应）文件需要提供。</w:t>
      </w: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p>
      <w:pPr>
        <w:rPr>
          <w:rFonts w:ascii="宋体" w:hAnsi="宋体"/>
          <w:b/>
          <w:sz w:val="24"/>
          <w:szCs w:val="24"/>
        </w:rPr>
      </w:pPr>
    </w:p>
    <w:p>
      <w:pPr>
        <w:widowControl/>
        <w:jc w:val="left"/>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spacing w:line="360" w:lineRule="auto"/>
        <w:rPr>
          <w:rFonts w:ascii="黑体" w:hAnsi="黑体" w:eastAsia="黑体"/>
          <w:sz w:val="28"/>
          <w:szCs w:val="28"/>
        </w:rPr>
      </w:pPr>
      <w:r>
        <w:rPr>
          <w:rFonts w:hint="eastAsia" w:ascii="黑体" w:hAnsi="黑体" w:eastAsia="黑体"/>
          <w:sz w:val="28"/>
          <w:szCs w:val="28"/>
        </w:rPr>
        <w:t>五、资格、资信证明文件</w:t>
      </w:r>
    </w:p>
    <w:p>
      <w:pPr>
        <w:snapToGrid w:val="0"/>
        <w:spacing w:line="360" w:lineRule="auto"/>
        <w:ind w:firstLine="480" w:firstLineChars="200"/>
        <w:rPr>
          <w:rFonts w:ascii="宋体" w:hAnsi="宋体"/>
          <w:sz w:val="24"/>
          <w:szCs w:val="20"/>
        </w:rPr>
      </w:pPr>
      <w:r>
        <w:rPr>
          <w:rFonts w:hint="eastAsia" w:ascii="宋体" w:hAnsi="宋体"/>
          <w:b/>
          <w:bCs/>
          <w:sz w:val="24"/>
          <w:szCs w:val="24"/>
        </w:rPr>
        <w:t>1、资格证明文件目录</w:t>
      </w:r>
    </w:p>
    <w:p>
      <w:pPr>
        <w:snapToGrid w:val="0"/>
        <w:spacing w:line="360" w:lineRule="auto"/>
        <w:ind w:firstLine="480" w:firstLineChars="200"/>
        <w:rPr>
          <w:rFonts w:ascii="宋体" w:hAnsi="宋体" w:cs="Arial"/>
          <w:sz w:val="24"/>
          <w:szCs w:val="24"/>
        </w:rPr>
      </w:pPr>
      <w:r>
        <w:rPr>
          <w:rFonts w:hint="eastAsia" w:ascii="宋体" w:hAnsi="宋体"/>
          <w:b/>
          <w:sz w:val="24"/>
          <w:szCs w:val="24"/>
        </w:rPr>
        <w:t xml:space="preserve">文件1  </w:t>
      </w:r>
      <w:r>
        <w:rPr>
          <w:rFonts w:hint="eastAsia" w:ascii="宋体" w:hAnsi="宋体"/>
          <w:sz w:val="24"/>
          <w:szCs w:val="24"/>
        </w:rPr>
        <w:t>响应函（格式见附件）</w:t>
      </w:r>
    </w:p>
    <w:p>
      <w:pPr>
        <w:snapToGrid w:val="0"/>
        <w:spacing w:line="360" w:lineRule="auto"/>
        <w:ind w:firstLine="480" w:firstLineChars="200"/>
        <w:jc w:val="left"/>
        <w:rPr>
          <w:rFonts w:ascii="宋体" w:hAnsi="宋体" w:cs="Arial"/>
          <w:sz w:val="24"/>
          <w:szCs w:val="24"/>
        </w:rPr>
      </w:pPr>
      <w:r>
        <w:rPr>
          <w:rFonts w:hint="eastAsia" w:ascii="宋体" w:hAnsi="宋体"/>
          <w:b/>
          <w:sz w:val="24"/>
          <w:szCs w:val="24"/>
        </w:rPr>
        <w:t xml:space="preserve">文件2 </w:t>
      </w:r>
      <w:r>
        <w:rPr>
          <w:rFonts w:hint="eastAsia" w:ascii="宋体" w:hAnsi="宋体"/>
          <w:sz w:val="24"/>
          <w:szCs w:val="24"/>
        </w:rPr>
        <w:t xml:space="preserve"> </w:t>
      </w:r>
      <w:r>
        <w:rPr>
          <w:rFonts w:hint="eastAsia" w:ascii="宋体" w:hAnsi="宋体"/>
          <w:bCs/>
          <w:color w:val="000000" w:themeColor="text1"/>
          <w:sz w:val="24"/>
          <w:szCs w:val="24"/>
          <w14:textFill>
            <w14:solidFill>
              <w14:schemeClr w14:val="tx1"/>
            </w14:solidFill>
          </w14:textFill>
        </w:rPr>
        <w:t>关于资格的声明函（</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snapToGrid w:val="0"/>
        <w:spacing w:line="360" w:lineRule="auto"/>
        <w:ind w:firstLine="480" w:firstLineChars="200"/>
        <w:rPr>
          <w:rFonts w:ascii="宋体" w:hAnsi="宋体" w:cs="Arial"/>
          <w:sz w:val="24"/>
          <w:szCs w:val="24"/>
        </w:rPr>
      </w:pPr>
      <w:r>
        <w:rPr>
          <w:rFonts w:hint="eastAsia" w:ascii="宋体" w:hAnsi="宋体"/>
          <w:b/>
          <w:sz w:val="24"/>
          <w:szCs w:val="24"/>
        </w:rPr>
        <w:t xml:space="preserve">文件3 </w:t>
      </w:r>
      <w:r>
        <w:rPr>
          <w:rFonts w:hint="eastAsia" w:ascii="宋体" w:hAnsi="宋体"/>
          <w:sz w:val="24"/>
          <w:szCs w:val="24"/>
        </w:rPr>
        <w:t xml:space="preserve"> </w:t>
      </w:r>
      <w:r>
        <w:rPr>
          <w:rFonts w:hint="eastAsia" w:ascii="宋体" w:hAnsi="宋体" w:cs="宋体"/>
          <w:sz w:val="24"/>
        </w:rPr>
        <w:t>法定代表人资格证明书/法定代表人授权委托书（</w:t>
      </w:r>
      <w:r>
        <w:rPr>
          <w:rFonts w:hint="eastAsia" w:ascii="宋体" w:hAnsi="宋体" w:cs="宋体"/>
          <w:b/>
          <w:sz w:val="24"/>
        </w:rPr>
        <w:t>格式见附件</w:t>
      </w:r>
      <w:r>
        <w:rPr>
          <w:rFonts w:hint="eastAsia" w:ascii="宋体" w:hAnsi="宋体" w:cs="宋体"/>
          <w:sz w:val="24"/>
        </w:rPr>
        <w:t>）</w:t>
      </w:r>
    </w:p>
    <w:p>
      <w:pPr>
        <w:snapToGrid w:val="0"/>
        <w:spacing w:line="360" w:lineRule="auto"/>
        <w:ind w:firstLine="480" w:firstLineChars="200"/>
        <w:jc w:val="left"/>
        <w:rPr>
          <w:rFonts w:ascii="宋体" w:hAnsi="宋体"/>
          <w:b/>
          <w:sz w:val="24"/>
          <w:szCs w:val="24"/>
        </w:rPr>
      </w:pPr>
      <w:r>
        <w:rPr>
          <w:rFonts w:hint="eastAsia" w:ascii="宋体" w:hAnsi="宋体"/>
          <w:b/>
          <w:sz w:val="24"/>
          <w:szCs w:val="24"/>
        </w:rPr>
        <w:t xml:space="preserve">文件4  </w:t>
      </w:r>
      <w:r>
        <w:rPr>
          <w:rFonts w:hint="eastAsia" w:ascii="宋体" w:hAnsi="宋体"/>
          <w:bCs/>
          <w:color w:val="000000" w:themeColor="text1"/>
          <w:sz w:val="24"/>
          <w:szCs w:val="24"/>
          <w14:textFill>
            <w14:solidFill>
              <w14:schemeClr w14:val="tx1"/>
            </w14:solidFill>
          </w14:textFill>
        </w:rPr>
        <w:t>具有独立承担民事责任能力的供应商营业执照或相关部门的登记证明文件复印件</w:t>
      </w:r>
    </w:p>
    <w:p>
      <w:pPr>
        <w:snapToGrid w:val="0"/>
        <w:spacing w:line="360" w:lineRule="auto"/>
        <w:ind w:firstLine="480" w:firstLineChars="200"/>
        <w:jc w:val="left"/>
        <w:rPr>
          <w:rFonts w:ascii="宋体" w:hAnsi="宋体"/>
          <w:b/>
          <w:sz w:val="24"/>
          <w:szCs w:val="24"/>
        </w:rPr>
      </w:pPr>
      <w:r>
        <w:rPr>
          <w:rFonts w:hint="eastAsia" w:ascii="宋体" w:hAnsi="宋体"/>
          <w:b/>
          <w:sz w:val="24"/>
          <w:szCs w:val="24"/>
        </w:rPr>
        <w:t xml:space="preserve">文件5  </w:t>
      </w:r>
      <w:r>
        <w:rPr>
          <w:rFonts w:hint="eastAsia" w:ascii="宋体" w:hAnsi="宋体"/>
          <w:sz w:val="24"/>
        </w:rPr>
        <w:t>具备履行合同所必需的设备和专业技术能力的书面声明（</w:t>
      </w:r>
      <w:r>
        <w:rPr>
          <w:rFonts w:hint="eastAsia" w:ascii="宋体" w:hAnsi="宋体" w:cs="宋体"/>
          <w:b/>
          <w:sz w:val="24"/>
        </w:rPr>
        <w:t>格式见附件</w:t>
      </w:r>
      <w:r>
        <w:rPr>
          <w:rFonts w:hint="eastAsia" w:ascii="宋体" w:hAnsi="宋体"/>
          <w:sz w:val="24"/>
        </w:rPr>
        <w:t>）</w:t>
      </w:r>
    </w:p>
    <w:p>
      <w:pPr>
        <w:snapToGrid w:val="0"/>
        <w:spacing w:line="360" w:lineRule="auto"/>
        <w:ind w:firstLine="480" w:firstLineChars="200"/>
        <w:jc w:val="left"/>
        <w:rPr>
          <w:rFonts w:ascii="宋体" w:hAnsi="宋体"/>
          <w:b/>
          <w:sz w:val="24"/>
          <w:szCs w:val="24"/>
        </w:rPr>
      </w:pPr>
      <w:r>
        <w:rPr>
          <w:rFonts w:hint="eastAsia" w:ascii="宋体" w:hAnsi="宋体"/>
          <w:b/>
          <w:sz w:val="24"/>
          <w:szCs w:val="24"/>
        </w:rPr>
        <w:t xml:space="preserve">文件6  </w:t>
      </w:r>
      <w:r>
        <w:rPr>
          <w:rFonts w:hint="eastAsia" w:ascii="宋体" w:hAnsi="宋体"/>
          <w:sz w:val="24"/>
        </w:rPr>
        <w:t>参加政府采购活动前 3 年内在经营活动中没有重大违法记录的书面声明（</w:t>
      </w:r>
      <w:r>
        <w:rPr>
          <w:rFonts w:hint="eastAsia" w:ascii="宋体" w:hAnsi="宋体" w:cs="宋体"/>
          <w:b/>
          <w:sz w:val="24"/>
        </w:rPr>
        <w:t>格式见附件</w:t>
      </w:r>
      <w:r>
        <w:rPr>
          <w:rFonts w:hint="eastAsia" w:ascii="宋体" w:hAnsi="宋体"/>
          <w:sz w:val="24"/>
        </w:rPr>
        <w:t>）</w:t>
      </w:r>
    </w:p>
    <w:p>
      <w:pPr>
        <w:snapToGrid w:val="0"/>
        <w:spacing w:line="360" w:lineRule="auto"/>
        <w:ind w:firstLine="480" w:firstLineChars="200"/>
        <w:jc w:val="left"/>
        <w:rPr>
          <w:rFonts w:ascii="宋体" w:hAnsi="宋体"/>
          <w:sz w:val="24"/>
          <w:szCs w:val="24"/>
        </w:rPr>
      </w:pPr>
      <w:r>
        <w:rPr>
          <w:rFonts w:hint="eastAsia" w:ascii="宋体" w:hAnsi="宋体"/>
          <w:b/>
          <w:sz w:val="24"/>
          <w:szCs w:val="24"/>
        </w:rPr>
        <w:t xml:space="preserve">文件7  </w:t>
      </w:r>
      <w:r>
        <w:rPr>
          <w:rFonts w:hint="eastAsia" w:ascii="宋体" w:hAnsi="宋体"/>
          <w:sz w:val="24"/>
          <w:szCs w:val="24"/>
        </w:rPr>
        <w:t>联合体协议（以联合体形式参加投标的提供，</w:t>
      </w:r>
      <w:r>
        <w:rPr>
          <w:rFonts w:hint="eastAsia" w:ascii="宋体" w:hAnsi="宋体" w:cs="Arial"/>
          <w:sz w:val="24"/>
          <w:szCs w:val="24"/>
        </w:rPr>
        <w:t>参加联合体的各方均需</w:t>
      </w:r>
      <w:r>
        <w:rPr>
          <w:rFonts w:hint="eastAsia" w:ascii="宋体" w:hAnsi="宋体"/>
          <w:sz w:val="24"/>
          <w:szCs w:val="24"/>
        </w:rPr>
        <w:t>加盖公章</w:t>
      </w:r>
      <w:r>
        <w:rPr>
          <w:rFonts w:hint="eastAsia" w:ascii="宋体" w:hAnsi="宋体" w:cs="Arial"/>
          <w:sz w:val="24"/>
          <w:szCs w:val="24"/>
        </w:rPr>
        <w:t>，</w:t>
      </w:r>
      <w:r>
        <w:rPr>
          <w:rFonts w:hint="eastAsia" w:ascii="宋体" w:hAnsi="宋体"/>
          <w:sz w:val="24"/>
          <w:szCs w:val="24"/>
        </w:rPr>
        <w:t>原件）</w:t>
      </w:r>
    </w:p>
    <w:p>
      <w:pPr>
        <w:snapToGrid w:val="0"/>
        <w:spacing w:line="360" w:lineRule="auto"/>
        <w:ind w:firstLine="480" w:firstLineChars="200"/>
        <w:jc w:val="left"/>
        <w:rPr>
          <w:rFonts w:ascii="宋体" w:hAnsi="宋体"/>
          <w:sz w:val="24"/>
          <w:szCs w:val="24"/>
        </w:rPr>
      </w:pPr>
      <w:r>
        <w:rPr>
          <w:rFonts w:hint="eastAsia" w:ascii="宋体" w:hAnsi="宋体"/>
          <w:b/>
          <w:sz w:val="24"/>
          <w:szCs w:val="24"/>
        </w:rPr>
        <w:t xml:space="preserve">文件8  </w:t>
      </w:r>
      <w:r>
        <w:rPr>
          <w:rFonts w:hint="eastAsia" w:ascii="宋体" w:hAnsi="宋体"/>
          <w:sz w:val="24"/>
          <w:szCs w:val="24"/>
        </w:rPr>
        <w:t>本项目投标人资格要求涉及的其它证明材料（如有）</w:t>
      </w:r>
    </w:p>
    <w:p>
      <w:pPr>
        <w:snapToGrid w:val="0"/>
        <w:spacing w:line="360" w:lineRule="auto"/>
        <w:ind w:firstLine="480" w:firstLineChars="200"/>
        <w:jc w:val="left"/>
        <w:rPr>
          <w:rFonts w:ascii="宋体" w:hAnsi="宋体"/>
          <w:sz w:val="24"/>
          <w:szCs w:val="24"/>
        </w:rPr>
      </w:pPr>
      <w:r>
        <w:rPr>
          <w:rFonts w:hint="eastAsia" w:ascii="宋体" w:hAnsi="宋体"/>
          <w:sz w:val="24"/>
          <w:szCs w:val="24"/>
        </w:rPr>
        <w:t>以上资格证明文件中要求加盖公章的，必须加盖公章；如供应商组成联合体参加投标，则联合体各方均须加盖公章，否则视为无效投标。</w:t>
      </w:r>
    </w:p>
    <w:p>
      <w:pPr>
        <w:snapToGrid w:val="0"/>
        <w:spacing w:line="360" w:lineRule="auto"/>
        <w:ind w:firstLine="200"/>
        <w:rPr>
          <w:rFonts w:ascii="宋体" w:hAnsi="宋体"/>
          <w:b/>
          <w:bCs/>
          <w:sz w:val="24"/>
        </w:rPr>
      </w:pPr>
    </w:p>
    <w:bookmarkEnd w:id="60"/>
    <w:p>
      <w:pPr>
        <w:rPr>
          <w:rFonts w:ascii="黑体" w:hAnsi="黑体" w:eastAsia="黑体"/>
          <w:sz w:val="28"/>
          <w:szCs w:val="28"/>
        </w:rPr>
      </w:pPr>
      <w:r>
        <w:rPr>
          <w:rFonts w:hint="eastAsia" w:ascii="黑体" w:hAnsi="黑体" w:eastAsia="黑体"/>
          <w:sz w:val="28"/>
          <w:szCs w:val="28"/>
        </w:rPr>
        <w:br w:type="page"/>
      </w:r>
    </w:p>
    <w:p>
      <w:pPr>
        <w:spacing w:line="580" w:lineRule="exact"/>
        <w:rPr>
          <w:rFonts w:ascii="黑体" w:hAnsi="黑体" w:eastAsia="黑体"/>
          <w:bCs/>
          <w:color w:val="000000" w:themeColor="text1"/>
          <w:sz w:val="28"/>
          <w:szCs w:val="28"/>
          <w14:textFill>
            <w14:solidFill>
              <w14:schemeClr w14:val="tx1"/>
            </w14:solidFill>
          </w14:textFill>
        </w:rPr>
      </w:pPr>
      <w:r>
        <w:rPr>
          <w:rFonts w:hint="eastAsia" w:ascii="黑体" w:hAnsi="黑体" w:eastAsia="黑体"/>
          <w:sz w:val="28"/>
          <w:szCs w:val="28"/>
        </w:rPr>
        <w:t>六、</w:t>
      </w:r>
      <w:r>
        <w:rPr>
          <w:rFonts w:hint="eastAsia" w:ascii="黑体" w:hAnsi="黑体" w:eastAsia="黑体"/>
          <w:bCs/>
          <w:color w:val="000000" w:themeColor="text1"/>
          <w:sz w:val="28"/>
          <w:szCs w:val="28"/>
          <w14:textFill>
            <w14:solidFill>
              <w14:schemeClr w14:val="tx1"/>
            </w14:solidFill>
          </w14:textFill>
        </w:rPr>
        <w:t>报价一览表</w:t>
      </w:r>
    </w:p>
    <w:p>
      <w:pPr>
        <w:spacing w:line="360" w:lineRule="auto"/>
        <w:rPr>
          <w:rFonts w:ascii="黑体" w:eastAsia="黑体"/>
          <w:bCs/>
          <w:color w:val="000000" w:themeColor="text1"/>
          <w:sz w:val="24"/>
          <w:szCs w:val="24"/>
          <w14:textFill>
            <w14:solidFill>
              <w14:schemeClr w14:val="tx1"/>
            </w14:solidFill>
          </w14:textFill>
        </w:rPr>
      </w:pPr>
    </w:p>
    <w:p>
      <w:pPr>
        <w:spacing w:line="360" w:lineRule="auto"/>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供应商名称（盖章）：</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u w:val="single"/>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14:textFill>
            <w14:solidFill>
              <w14:schemeClr w14:val="tx1"/>
            </w14:solidFill>
          </w14:textFill>
        </w:rPr>
      </w:pPr>
    </w:p>
    <w:tbl>
      <w:tblPr>
        <w:tblStyle w:val="31"/>
        <w:tblW w:w="1008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6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项目名称</w:t>
            </w:r>
          </w:p>
        </w:tc>
        <w:tc>
          <w:tcPr>
            <w:tcW w:w="451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总报价</w:t>
            </w:r>
            <w:r>
              <w:rPr>
                <w:rFonts w:ascii="宋体" w:hAnsi="宋体"/>
                <w:b/>
                <w:bCs/>
                <w:color w:val="000000" w:themeColor="text1"/>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小写</w:t>
            </w:r>
            <w:r>
              <w:rPr>
                <w:rFonts w:ascii="宋体" w:hAnsi="宋体"/>
                <w:b/>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565" w:type="dxa"/>
            <w:vAlign w:val="center"/>
          </w:tcPr>
          <w:p>
            <w:pPr>
              <w:pStyle w:val="103"/>
              <w:spacing w:line="400" w:lineRule="exact"/>
              <w:jc w:val="center"/>
              <w:rPr>
                <w:rFonts w:hint="eastAsia" w:asciiTheme="minorEastAsia" w:hAnsiTheme="minorEastAsia" w:cstheme="minorEastAsia"/>
                <w:bCs/>
                <w:sz w:val="24"/>
                <w:szCs w:val="24"/>
              </w:rPr>
            </w:pPr>
            <w:r>
              <w:rPr>
                <w:rFonts w:hint="eastAsia" w:asciiTheme="minorEastAsia" w:hAnsiTheme="minorEastAsia" w:cstheme="minorEastAsia"/>
                <w:bCs/>
                <w:sz w:val="24"/>
                <w:szCs w:val="24"/>
              </w:rPr>
              <w:t>文印服务</w:t>
            </w:r>
          </w:p>
        </w:tc>
        <w:tc>
          <w:tcPr>
            <w:tcW w:w="4515" w:type="dxa"/>
            <w:vAlign w:val="center"/>
          </w:tcPr>
          <w:p>
            <w:pPr>
              <w:pStyle w:val="103"/>
              <w:spacing w:line="400" w:lineRule="exact"/>
              <w:jc w:val="center"/>
              <w:rPr>
                <w:rFonts w:hint="eastAsia" w:asciiTheme="minorEastAsia" w:hAnsi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565" w:type="dxa"/>
            <w:vAlign w:val="center"/>
          </w:tcPr>
          <w:p>
            <w:pPr>
              <w:pStyle w:val="103"/>
              <w:spacing w:line="400" w:lineRule="exact"/>
              <w:jc w:val="center"/>
              <w:rPr>
                <w:rFonts w:hAnsi="宋体"/>
                <w:bCs/>
                <w:color w:val="000000" w:themeColor="text1"/>
                <w:szCs w:val="24"/>
                <w14:textFill>
                  <w14:solidFill>
                    <w14:schemeClr w14:val="tx1"/>
                  </w14:solidFill>
                </w14:textFill>
              </w:rPr>
            </w:pPr>
            <w:r>
              <w:rPr>
                <w:rFonts w:hint="eastAsia" w:asciiTheme="minorEastAsia" w:hAnsiTheme="minorEastAsia" w:cstheme="minorEastAsia"/>
                <w:bCs/>
                <w:sz w:val="24"/>
                <w:szCs w:val="24"/>
              </w:rPr>
              <w:t>教学诊断服务外包</w:t>
            </w:r>
          </w:p>
        </w:tc>
        <w:tc>
          <w:tcPr>
            <w:tcW w:w="4515" w:type="dxa"/>
            <w:vAlign w:val="center"/>
          </w:tcPr>
          <w:p>
            <w:pPr>
              <w:pStyle w:val="103"/>
              <w:rPr>
                <w:rFonts w:hAnsi="宋体"/>
                <w:b/>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565" w:type="dxa"/>
            <w:vAlign w:val="center"/>
          </w:tcPr>
          <w:p>
            <w:pPr>
              <w:pStyle w:val="103"/>
              <w:spacing w:line="400" w:lineRule="exact"/>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合计</w:t>
            </w:r>
          </w:p>
        </w:tc>
        <w:tc>
          <w:tcPr>
            <w:tcW w:w="4515" w:type="dxa"/>
            <w:vAlign w:val="center"/>
          </w:tcPr>
          <w:p>
            <w:pPr>
              <w:pStyle w:val="103"/>
              <w:rPr>
                <w:rFonts w:hAnsi="宋体"/>
                <w:b/>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080" w:type="dxa"/>
            <w:gridSpan w:val="2"/>
            <w:vAlign w:val="center"/>
          </w:tcPr>
          <w:p>
            <w:pPr>
              <w:rPr>
                <w:rFonts w:ascii="宋体"/>
                <w:bCs/>
                <w:color w:val="000000" w:themeColor="text1"/>
                <w:sz w:val="24"/>
                <w:szCs w:val="24"/>
                <w14:textFill>
                  <w14:solidFill>
                    <w14:schemeClr w14:val="tx1"/>
                  </w14:solidFill>
                </w14:textFill>
              </w:rPr>
            </w:pPr>
            <w:r>
              <w:rPr>
                <w:rFonts w:hint="eastAsia" w:ascii="黑体" w:eastAsia="黑体"/>
                <w:color w:val="000000" w:themeColor="text1"/>
                <w:sz w:val="24"/>
                <w14:textFill>
                  <w14:solidFill>
                    <w14:schemeClr w14:val="tx1"/>
                  </w14:solidFill>
                </w14:textFill>
              </w:rPr>
              <w:t>总报价（大写）</w:t>
            </w:r>
            <w:r>
              <w:rPr>
                <w:rFonts w:hint="eastAsia" w:ascii="宋体" w:hAnsi="宋体"/>
                <w:bCs/>
                <w:color w:val="000000" w:themeColor="text1"/>
                <w:kern w:val="0"/>
                <w:sz w:val="24"/>
                <w:szCs w:val="24"/>
                <w:u w:color="000000"/>
                <w14:textFill>
                  <w14:solidFill>
                    <w14:schemeClr w14:val="tx1"/>
                  </w14:solidFill>
                </w14:textFill>
              </w:rPr>
              <w:t>：　　　</w:t>
            </w:r>
          </w:p>
        </w:tc>
      </w:tr>
    </w:tbl>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spacing w:line="400" w:lineRule="exact"/>
        <w:rPr>
          <w:rFonts w:ascii="黑体" w:eastAsia="黑体"/>
          <w:bCs/>
          <w:color w:val="000000" w:themeColor="text1"/>
          <w:sz w:val="32"/>
          <w14:textFill>
            <w14:solidFill>
              <w14:schemeClr w14:val="tx1"/>
            </w14:solidFill>
          </w14:textFill>
        </w:rPr>
      </w:pPr>
    </w:p>
    <w:p>
      <w:pPr>
        <w:rPr>
          <w:rFonts w:ascii="黑体" w:hAnsi="黑体" w:eastAsia="黑体"/>
          <w:sz w:val="28"/>
          <w:szCs w:val="28"/>
        </w:rPr>
      </w:pPr>
      <w:r>
        <w:rPr>
          <w:rFonts w:ascii="宋体" w:hAnsi="宋体"/>
          <w:b/>
          <w:sz w:val="44"/>
        </w:rPr>
        <w:br w:type="page"/>
      </w:r>
      <w:r>
        <w:rPr>
          <w:rFonts w:hint="eastAsia" w:ascii="黑体" w:hAnsi="黑体" w:eastAsia="黑体"/>
          <w:sz w:val="28"/>
          <w:szCs w:val="28"/>
        </w:rPr>
        <w:t>七、明细报价表</w:t>
      </w:r>
    </w:p>
    <w:p>
      <w:pPr>
        <w:spacing w:line="400" w:lineRule="exact"/>
        <w:rPr>
          <w:rFonts w:ascii="黑体" w:eastAsia="黑体"/>
          <w:bCs/>
          <w:color w:val="000000" w:themeColor="text1"/>
          <w:sz w:val="24"/>
          <w:szCs w:val="24"/>
          <w:u w:val="single"/>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供应商名称（盖章）：</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 xml:space="preserve">     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400" w:lineRule="exact"/>
        <w:jc w:val="both"/>
        <w:rPr>
          <w:rFonts w:ascii="黑体" w:eastAsia="黑体"/>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
          <w:bCs w:val="0"/>
          <w:sz w:val="24"/>
          <w:szCs w:val="24"/>
        </w:rPr>
        <w:t>1、文印服务</w:t>
      </w:r>
      <w:r>
        <w:rPr>
          <w:rFonts w:hint="eastAsia" w:asciiTheme="minorEastAsia" w:hAnsiTheme="minorEastAsia" w:cstheme="minorEastAsia"/>
          <w:bCs/>
          <w:sz w:val="24"/>
          <w:szCs w:val="24"/>
        </w:rPr>
        <w:t>：</w:t>
      </w:r>
    </w:p>
    <w:p>
      <w:pPr>
        <w:spacing w:line="360" w:lineRule="auto"/>
        <w:jc w:val="right"/>
        <w:rPr>
          <w:rFonts w:asciiTheme="minorEastAsia" w:hAnsiTheme="minorEastAsia" w:cstheme="minorEastAsia"/>
          <w:bCs/>
          <w:sz w:val="24"/>
          <w:szCs w:val="24"/>
        </w:rPr>
      </w:pPr>
      <w:r>
        <w:rPr>
          <w:rFonts w:hint="eastAsia" w:asciiTheme="minorEastAsia" w:hAnsiTheme="minorEastAsia" w:cstheme="minorEastAsia"/>
          <w:bCs/>
          <w:sz w:val="24"/>
          <w:szCs w:val="24"/>
        </w:rPr>
        <w:t>单位：元/张</w:t>
      </w:r>
    </w:p>
    <w:tbl>
      <w:tblPr>
        <w:tblStyle w:val="31"/>
        <w:tblpPr w:leftFromText="180" w:rightFromText="180" w:vertAnchor="text" w:horzAnchor="page" w:tblpX="852" w:tblpY="479"/>
        <w:tblOverlap w:val="never"/>
        <w:tblW w:w="10489" w:type="dxa"/>
        <w:tblInd w:w="0" w:type="dxa"/>
        <w:tblLayout w:type="fixed"/>
        <w:tblCellMar>
          <w:top w:w="0" w:type="dxa"/>
          <w:left w:w="0" w:type="dxa"/>
          <w:bottom w:w="0" w:type="dxa"/>
          <w:right w:w="0" w:type="dxa"/>
        </w:tblCellMar>
      </w:tblPr>
      <w:tblGrid>
        <w:gridCol w:w="992"/>
        <w:gridCol w:w="1843"/>
        <w:gridCol w:w="2552"/>
        <w:gridCol w:w="2551"/>
        <w:gridCol w:w="2551"/>
      </w:tblGrid>
      <w:tr>
        <w:tblPrEx>
          <w:tblCellMar>
            <w:top w:w="0" w:type="dxa"/>
            <w:left w:w="0" w:type="dxa"/>
            <w:bottom w:w="0" w:type="dxa"/>
            <w:right w:w="0" w:type="dxa"/>
          </w:tblCellMar>
        </w:tblPrEx>
        <w:trPr>
          <w:trHeight w:val="347" w:hRule="atLeast"/>
        </w:trPr>
        <w:tc>
          <w:tcPr>
            <w:tcW w:w="992" w:type="dxa"/>
            <w:tcBorders>
              <w:top w:val="single" w:color="000000" w:sz="8" w:space="0"/>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序号</w:t>
            </w:r>
          </w:p>
        </w:tc>
        <w:tc>
          <w:tcPr>
            <w:tcW w:w="184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类别</w:t>
            </w:r>
          </w:p>
        </w:tc>
        <w:tc>
          <w:tcPr>
            <w:tcW w:w="255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规格</w:t>
            </w:r>
          </w:p>
        </w:tc>
        <w:tc>
          <w:tcPr>
            <w:tcW w:w="25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最高限价</w:t>
            </w:r>
          </w:p>
        </w:tc>
        <w:tc>
          <w:tcPr>
            <w:tcW w:w="2551" w:type="dxa"/>
            <w:tcBorders>
              <w:top w:val="single" w:color="000000" w:sz="8" w:space="0"/>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投标报价</w:t>
            </w: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w:t>
            </w:r>
          </w:p>
        </w:tc>
        <w:tc>
          <w:tcPr>
            <w:tcW w:w="1843"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油印</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16K(单面)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0.1</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16K(双面)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0.2</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3</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8K(单面)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0.2</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8K(双面)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0.4</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bidi="ar"/>
              </w:rPr>
              <w:t>5</w:t>
            </w:r>
          </w:p>
        </w:tc>
        <w:tc>
          <w:tcPr>
            <w:tcW w:w="1843"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szCs w:val="21"/>
                <w:lang w:bidi="ar"/>
              </w:rPr>
            </w:pPr>
            <w:r>
              <w:rPr>
                <w:rFonts w:hint="eastAsia" w:asciiTheme="minorEastAsia" w:hAnsiTheme="minorEastAsia" w:cstheme="minorEastAsia"/>
                <w:szCs w:val="21"/>
                <w:lang w:bidi="ar"/>
              </w:rPr>
              <w:t>高速印刷</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bidi="ar"/>
              </w:rPr>
              <w:t>（图像清晰）</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70G16K(单面)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0.15</w:t>
            </w:r>
          </w:p>
        </w:tc>
        <w:tc>
          <w:tcPr>
            <w:tcW w:w="2551" w:type="dxa"/>
            <w:tcBorders>
              <w:top w:val="nil"/>
              <w:left w:val="nil"/>
              <w:bottom w:val="single" w:color="000000" w:sz="8" w:space="0"/>
              <w:right w:val="single" w:color="000000" w:sz="8" w:space="0"/>
            </w:tcBorders>
          </w:tcPr>
          <w:p>
            <w:pPr>
              <w:spacing w:line="360" w:lineRule="auto"/>
              <w:jc w:val="center"/>
              <w:rPr>
                <w:rFonts w:hint="eastAsia" w:asciiTheme="minorEastAsia" w:hAnsiTheme="minorEastAsia" w:cstheme="minorEastAsia"/>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bidi="ar"/>
              </w:rPr>
              <w:t>6</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70G16K(双面)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0.25</w:t>
            </w:r>
          </w:p>
        </w:tc>
        <w:tc>
          <w:tcPr>
            <w:tcW w:w="2551" w:type="dxa"/>
            <w:tcBorders>
              <w:top w:val="nil"/>
              <w:left w:val="nil"/>
              <w:bottom w:val="single" w:color="000000" w:sz="8" w:space="0"/>
              <w:right w:val="single" w:color="000000" w:sz="8" w:space="0"/>
            </w:tcBorders>
          </w:tcPr>
          <w:p>
            <w:pPr>
              <w:spacing w:line="360" w:lineRule="auto"/>
              <w:jc w:val="center"/>
              <w:rPr>
                <w:rFonts w:hint="eastAsia" w:asciiTheme="minorEastAsia" w:hAnsiTheme="minorEastAsia" w:cstheme="minorEastAsia"/>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bidi="ar"/>
              </w:rPr>
              <w:t>7</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70G8K(单面)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0.3</w:t>
            </w:r>
          </w:p>
        </w:tc>
        <w:tc>
          <w:tcPr>
            <w:tcW w:w="2551" w:type="dxa"/>
            <w:tcBorders>
              <w:top w:val="nil"/>
              <w:left w:val="nil"/>
              <w:bottom w:val="single" w:color="000000" w:sz="8" w:space="0"/>
              <w:right w:val="single" w:color="000000" w:sz="8" w:space="0"/>
            </w:tcBorders>
          </w:tcPr>
          <w:p>
            <w:pPr>
              <w:spacing w:line="360" w:lineRule="auto"/>
              <w:jc w:val="center"/>
              <w:rPr>
                <w:rFonts w:hint="eastAsia" w:asciiTheme="minorEastAsia" w:hAnsiTheme="minorEastAsia" w:cstheme="minorEastAsia"/>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lang w:bidi="ar"/>
              </w:rPr>
              <w:t>8</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70G8K(双面)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auto"/>
              <w:jc w:val="center"/>
              <w:rPr>
                <w:rFonts w:asciiTheme="minorEastAsia" w:hAnsiTheme="minorEastAsia" w:cstheme="minorEastAsia"/>
                <w:kern w:val="0"/>
                <w:szCs w:val="21"/>
                <w:lang w:bidi="ar"/>
              </w:rPr>
            </w:pPr>
            <w:r>
              <w:rPr>
                <w:rFonts w:hint="eastAsia" w:asciiTheme="minorEastAsia" w:hAnsiTheme="minorEastAsia" w:cstheme="minorEastAsia"/>
                <w:szCs w:val="21"/>
                <w:lang w:bidi="ar"/>
              </w:rPr>
              <w:t>0.5</w:t>
            </w:r>
          </w:p>
        </w:tc>
        <w:tc>
          <w:tcPr>
            <w:tcW w:w="2551" w:type="dxa"/>
            <w:tcBorders>
              <w:top w:val="nil"/>
              <w:left w:val="nil"/>
              <w:bottom w:val="single" w:color="000000" w:sz="8" w:space="0"/>
              <w:right w:val="single" w:color="000000" w:sz="8" w:space="0"/>
            </w:tcBorders>
          </w:tcPr>
          <w:p>
            <w:pPr>
              <w:spacing w:line="360" w:lineRule="auto"/>
              <w:jc w:val="center"/>
              <w:rPr>
                <w:rFonts w:hint="eastAsia" w:asciiTheme="minorEastAsia" w:hAnsiTheme="minorEastAsia" w:cstheme="minorEastAsia"/>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9</w:t>
            </w:r>
          </w:p>
        </w:tc>
        <w:tc>
          <w:tcPr>
            <w:tcW w:w="1843"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复印/打印</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70gA4(单)</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0.4</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10</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70g16K(单)</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0.4</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11</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70gA4(双)</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0.6</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12</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70g16K(双)</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0.6</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13</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70gA3(单)</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 xml:space="preserve">1.0 </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14</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70g8K(单)</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 xml:space="preserve">1.0 </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15</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70g8K(双)</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1.5</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16</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70gA3(双)</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1.5</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17</w:t>
            </w:r>
          </w:p>
        </w:tc>
        <w:tc>
          <w:tcPr>
            <w:tcW w:w="184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彩色复印</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A4版面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1.5</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18</w:t>
            </w:r>
          </w:p>
        </w:tc>
        <w:tc>
          <w:tcPr>
            <w:tcW w:w="184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彩色打印</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A4版面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1.5</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19</w:t>
            </w:r>
          </w:p>
        </w:tc>
        <w:tc>
          <w:tcPr>
            <w:tcW w:w="184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彩色文档扫描</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A4版面</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1.5</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20</w:t>
            </w:r>
          </w:p>
        </w:tc>
        <w:tc>
          <w:tcPr>
            <w:tcW w:w="1843"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英语答题卡读卡</w:t>
            </w:r>
          </w:p>
        </w:tc>
        <w:tc>
          <w:tcPr>
            <w:tcW w:w="2552"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Theme="minorEastAsia" w:hAnsiTheme="minorEastAsia" w:cstheme="minorEastAsia"/>
                <w:szCs w:val="21"/>
              </w:rPr>
            </w:pPr>
            <w:r>
              <w:rPr>
                <w:rFonts w:hint="eastAsia" w:asciiTheme="minorEastAsia" w:hAnsiTheme="minorEastAsia" w:cstheme="minorEastAsia"/>
                <w:kern w:val="0"/>
                <w:szCs w:val="21"/>
                <w:lang w:bidi="ar"/>
              </w:rPr>
              <w:t>32K</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0.5</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47" w:hRule="atLeast"/>
        </w:trPr>
        <w:tc>
          <w:tcPr>
            <w:tcW w:w="992" w:type="dxa"/>
            <w:tcBorders>
              <w:top w:val="nil"/>
              <w:left w:val="single" w:color="000000" w:sz="8" w:space="0"/>
              <w:bottom w:val="single" w:color="000000" w:sz="8" w:space="0"/>
              <w:right w:val="single" w:color="000000" w:sz="8" w:space="0"/>
            </w:tcBorders>
          </w:tcPr>
          <w:p>
            <w:pPr>
              <w:jc w:val="center"/>
              <w:rPr>
                <w:rFonts w:asciiTheme="minorEastAsia" w:hAnsiTheme="minorEastAsia" w:cstheme="minorEastAsia"/>
                <w:szCs w:val="21"/>
              </w:rPr>
            </w:pPr>
            <w:r>
              <w:rPr>
                <w:rFonts w:hint="eastAsia" w:asciiTheme="minorEastAsia" w:hAnsiTheme="minorEastAsia" w:cstheme="minorEastAsia"/>
                <w:szCs w:val="21"/>
              </w:rPr>
              <w:t>21</w:t>
            </w:r>
          </w:p>
        </w:tc>
        <w:tc>
          <w:tcPr>
            <w:tcW w:w="1843"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2" w:type="dxa"/>
            <w:tcBorders>
              <w:top w:val="nil"/>
              <w:left w:val="nil"/>
              <w:bottom w:val="single" w:color="000000" w:sz="8" w:space="0"/>
              <w:right w:val="single" w:color="000000" w:sz="8" w:space="0"/>
            </w:tcBorders>
            <w:tcMar>
              <w:top w:w="15" w:type="dxa"/>
              <w:left w:w="15" w:type="dxa"/>
              <w:right w:w="15" w:type="dxa"/>
            </w:tcMar>
          </w:tcPr>
          <w:p>
            <w:pPr>
              <w:widowControl/>
              <w:jc w:val="center"/>
              <w:textAlignment w:val="top"/>
              <w:rPr>
                <w:rFonts w:asciiTheme="minorEastAsia" w:hAnsiTheme="minorEastAsia" w:cstheme="minorEastAsia"/>
                <w:szCs w:val="21"/>
              </w:rPr>
            </w:pPr>
            <w:r>
              <w:rPr>
                <w:rFonts w:hint="eastAsia" w:asciiTheme="minorEastAsia" w:hAnsiTheme="minorEastAsia" w:cstheme="minorEastAsia"/>
                <w:kern w:val="0"/>
                <w:szCs w:val="21"/>
                <w:lang w:bidi="ar"/>
              </w:rPr>
              <w:t>64K</w:t>
            </w: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0.3</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p>
        </w:tc>
      </w:tr>
      <w:tr>
        <w:tblPrEx>
          <w:tblCellMar>
            <w:top w:w="0" w:type="dxa"/>
            <w:left w:w="0" w:type="dxa"/>
            <w:bottom w:w="0" w:type="dxa"/>
            <w:right w:w="0" w:type="dxa"/>
          </w:tblCellMar>
        </w:tblPrEx>
        <w:trPr>
          <w:trHeight w:val="367" w:hRule="atLeast"/>
        </w:trPr>
        <w:tc>
          <w:tcPr>
            <w:tcW w:w="992" w:type="dxa"/>
            <w:tcBorders>
              <w:top w:val="nil"/>
              <w:left w:val="single" w:color="000000" w:sz="8" w:space="0"/>
              <w:bottom w:val="single" w:color="000000" w:sz="8" w:space="0"/>
              <w:right w:val="single" w:color="000000" w:sz="8" w:space="0"/>
            </w:tcBorders>
          </w:tcPr>
          <w:p>
            <w:pPr>
              <w:widowControl/>
              <w:jc w:val="center"/>
              <w:textAlignment w:val="center"/>
              <w:rPr>
                <w:rFonts w:asciiTheme="minorEastAsia" w:hAnsiTheme="minorEastAsia" w:cstheme="minorEastAsia"/>
                <w:kern w:val="0"/>
                <w:szCs w:val="21"/>
                <w:lang w:bidi="ar"/>
              </w:rPr>
            </w:pPr>
            <w:r>
              <w:rPr>
                <w:rFonts w:hint="eastAsia" w:asciiTheme="minorEastAsia" w:hAnsiTheme="minorEastAsia" w:cstheme="minorEastAsia"/>
                <w:kern w:val="0"/>
                <w:szCs w:val="21"/>
                <w:lang w:bidi="ar"/>
              </w:rPr>
              <w:t>22</w:t>
            </w:r>
          </w:p>
        </w:tc>
        <w:tc>
          <w:tcPr>
            <w:tcW w:w="184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lang w:bidi="ar"/>
              </w:rPr>
              <w:t>合计</w:t>
            </w:r>
          </w:p>
        </w:tc>
        <w:tc>
          <w:tcPr>
            <w:tcW w:w="2552"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Theme="minorEastAsia" w:hAnsiTheme="minorEastAsia" w:cstheme="minorEastAsia"/>
                <w:szCs w:val="21"/>
              </w:rPr>
            </w:pPr>
          </w:p>
        </w:tc>
        <w:tc>
          <w:tcPr>
            <w:tcW w:w="2551"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14.4</w:t>
            </w:r>
          </w:p>
        </w:tc>
        <w:tc>
          <w:tcPr>
            <w:tcW w:w="2551" w:type="dxa"/>
            <w:tcBorders>
              <w:top w:val="nil"/>
              <w:left w:val="nil"/>
              <w:bottom w:val="single" w:color="000000" w:sz="8" w:space="0"/>
              <w:right w:val="single" w:color="000000" w:sz="8" w:space="0"/>
            </w:tcBorders>
          </w:tcPr>
          <w:p>
            <w:pPr>
              <w:widowControl/>
              <w:jc w:val="center"/>
              <w:textAlignment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 xml:space="preserve"> </w:t>
            </w:r>
          </w:p>
        </w:tc>
      </w:tr>
    </w:tbl>
    <w:p>
      <w:pPr>
        <w:spacing w:line="360" w:lineRule="auto"/>
        <w:rPr>
          <w:rFonts w:ascii="宋体" w:hAnsi="宋体" w:eastAsia="宋体" w:cs="宋体"/>
          <w:szCs w:val="21"/>
        </w:rPr>
      </w:pPr>
    </w:p>
    <w:p>
      <w:pPr>
        <w:widowControl/>
        <w:jc w:val="left"/>
        <w:rPr>
          <w:rFonts w:asciiTheme="minorEastAsia" w:hAnsiTheme="minorEastAsia" w:cstheme="minorEastAsia"/>
          <w:bCs/>
          <w:sz w:val="24"/>
          <w:szCs w:val="24"/>
        </w:rPr>
      </w:pPr>
      <w:r>
        <w:rPr>
          <w:rFonts w:asciiTheme="minorEastAsia" w:hAnsiTheme="minorEastAsia" w:cstheme="minorEastAsia"/>
          <w:bCs/>
          <w:sz w:val="24"/>
          <w:szCs w:val="24"/>
        </w:rPr>
        <w:br w:type="page"/>
      </w:r>
    </w:p>
    <w:p>
      <w:pPr>
        <w:numPr>
          <w:ilvl w:val="0"/>
          <w:numId w:val="0"/>
        </w:numPr>
        <w:spacing w:line="360" w:lineRule="auto"/>
        <w:ind w:leftChars="200"/>
        <w:rPr>
          <w:rFonts w:hint="eastAsia" w:asciiTheme="minorEastAsia" w:hAnsiTheme="minorEastAsia" w:cstheme="minorEastAsia"/>
          <w:b/>
          <w:bCs w:val="0"/>
          <w:sz w:val="24"/>
          <w:szCs w:val="24"/>
        </w:rPr>
      </w:pPr>
      <w:r>
        <w:rPr>
          <w:rFonts w:hint="eastAsia" w:asciiTheme="minorEastAsia" w:hAnsiTheme="minorEastAsia" w:cstheme="minorEastAsia"/>
          <w:b/>
          <w:bCs w:val="0"/>
          <w:sz w:val="24"/>
          <w:szCs w:val="24"/>
          <w:lang w:val="en-US" w:eastAsia="zh-CN"/>
        </w:rPr>
        <w:t>2、</w:t>
      </w:r>
      <w:r>
        <w:rPr>
          <w:rFonts w:hint="eastAsia" w:asciiTheme="minorEastAsia" w:hAnsiTheme="minorEastAsia" w:cstheme="minorEastAsia"/>
          <w:b/>
          <w:bCs w:val="0"/>
          <w:sz w:val="24"/>
          <w:szCs w:val="24"/>
        </w:rPr>
        <w:t>教学诊断服务外包：</w:t>
      </w:r>
    </w:p>
    <w:p>
      <w:pPr>
        <w:spacing w:line="360" w:lineRule="auto"/>
        <w:jc w:val="right"/>
        <w:rPr>
          <w:rFonts w:asciiTheme="minorEastAsia" w:hAnsiTheme="minorEastAsia" w:cstheme="minorEastAsia"/>
          <w:bCs/>
          <w:sz w:val="24"/>
          <w:szCs w:val="24"/>
        </w:rPr>
      </w:pPr>
      <w:r>
        <w:rPr>
          <w:rFonts w:hint="eastAsia" w:asciiTheme="minorEastAsia" w:hAnsiTheme="minorEastAsia" w:cstheme="minorEastAsia"/>
          <w:bCs/>
          <w:sz w:val="24"/>
          <w:szCs w:val="24"/>
        </w:rPr>
        <w:t>单位：元/张</w:t>
      </w:r>
    </w:p>
    <w:p>
      <w:pPr>
        <w:pStyle w:val="2"/>
        <w:numPr>
          <w:ilvl w:val="0"/>
          <w:numId w:val="0"/>
        </w:numPr>
        <w:ind w:leftChars="200"/>
        <w:jc w:val="both"/>
      </w:pPr>
    </w:p>
    <w:tbl>
      <w:tblPr>
        <w:tblStyle w:val="31"/>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26"/>
        <w:gridCol w:w="1151"/>
        <w:gridCol w:w="1078"/>
        <w:gridCol w:w="1078"/>
        <w:gridCol w:w="2818"/>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4" w:type="dxa"/>
            <w:vAlign w:val="center"/>
          </w:tcPr>
          <w:p>
            <w:pPr>
              <w:pStyle w:val="133"/>
              <w:snapToGrid w:val="0"/>
              <w:outlineLvl w:val="0"/>
              <w:rPr>
                <w:rFonts w:hAnsi="宋体"/>
                <w:b/>
                <w:bCs/>
                <w:color w:val="auto"/>
                <w:sz w:val="21"/>
                <w:szCs w:val="21"/>
              </w:rPr>
            </w:pPr>
            <w:r>
              <w:rPr>
                <w:rFonts w:hint="eastAsia" w:hAnsi="宋体"/>
                <w:b/>
                <w:bCs/>
                <w:color w:val="auto"/>
                <w:sz w:val="21"/>
                <w:szCs w:val="21"/>
              </w:rPr>
              <w:t>序号</w:t>
            </w:r>
          </w:p>
        </w:tc>
        <w:tc>
          <w:tcPr>
            <w:tcW w:w="1726" w:type="dxa"/>
            <w:vAlign w:val="center"/>
          </w:tcPr>
          <w:p>
            <w:pPr>
              <w:pStyle w:val="133"/>
              <w:snapToGrid w:val="0"/>
              <w:ind w:left="210" w:firstLine="422"/>
              <w:outlineLvl w:val="0"/>
              <w:rPr>
                <w:rFonts w:hAnsi="宋体"/>
                <w:b/>
                <w:bCs/>
                <w:color w:val="auto"/>
                <w:sz w:val="21"/>
                <w:szCs w:val="21"/>
              </w:rPr>
            </w:pPr>
            <w:r>
              <w:rPr>
                <w:rFonts w:hint="eastAsia" w:hAnsi="宋体"/>
                <w:b/>
                <w:bCs/>
                <w:color w:val="auto"/>
                <w:sz w:val="21"/>
                <w:szCs w:val="21"/>
              </w:rPr>
              <w:t>类别</w:t>
            </w:r>
          </w:p>
        </w:tc>
        <w:tc>
          <w:tcPr>
            <w:tcW w:w="1151" w:type="dxa"/>
            <w:vAlign w:val="center"/>
          </w:tcPr>
          <w:p>
            <w:pPr>
              <w:pStyle w:val="133"/>
              <w:snapToGrid w:val="0"/>
              <w:jc w:val="center"/>
              <w:outlineLvl w:val="0"/>
              <w:rPr>
                <w:rFonts w:hAnsi="宋体"/>
                <w:b/>
                <w:bCs/>
                <w:color w:val="auto"/>
                <w:sz w:val="21"/>
                <w:szCs w:val="21"/>
              </w:rPr>
            </w:pPr>
            <w:r>
              <w:rPr>
                <w:rFonts w:hint="eastAsia" w:hAnsi="宋体"/>
                <w:b/>
                <w:bCs/>
                <w:color w:val="auto"/>
                <w:sz w:val="21"/>
                <w:szCs w:val="21"/>
              </w:rPr>
              <w:t>最高限价</w:t>
            </w:r>
          </w:p>
        </w:tc>
        <w:tc>
          <w:tcPr>
            <w:tcW w:w="1078" w:type="dxa"/>
          </w:tcPr>
          <w:p>
            <w:pPr>
              <w:pStyle w:val="133"/>
              <w:snapToGrid w:val="0"/>
              <w:jc w:val="center"/>
              <w:outlineLvl w:val="0"/>
              <w:rPr>
                <w:rFonts w:hint="eastAsia" w:hAnsi="宋体"/>
                <w:b/>
                <w:bCs/>
                <w:color w:val="auto"/>
                <w:sz w:val="21"/>
                <w:szCs w:val="21"/>
              </w:rPr>
            </w:pPr>
            <w:r>
              <w:rPr>
                <w:rFonts w:hint="eastAsia" w:hAnsi="宋体"/>
                <w:b/>
                <w:bCs/>
                <w:color w:val="auto"/>
                <w:sz w:val="21"/>
                <w:szCs w:val="21"/>
              </w:rPr>
              <w:t>投标报价</w:t>
            </w:r>
          </w:p>
        </w:tc>
        <w:tc>
          <w:tcPr>
            <w:tcW w:w="1078" w:type="dxa"/>
            <w:vAlign w:val="center"/>
          </w:tcPr>
          <w:p>
            <w:pPr>
              <w:pStyle w:val="133"/>
              <w:snapToGrid w:val="0"/>
              <w:jc w:val="center"/>
              <w:outlineLvl w:val="0"/>
              <w:rPr>
                <w:rFonts w:hAnsi="宋体"/>
                <w:b/>
                <w:bCs/>
                <w:color w:val="auto"/>
                <w:sz w:val="21"/>
                <w:szCs w:val="21"/>
              </w:rPr>
            </w:pPr>
            <w:r>
              <w:rPr>
                <w:rFonts w:hint="eastAsia" w:hAnsi="宋体"/>
                <w:b/>
                <w:bCs/>
                <w:color w:val="auto"/>
                <w:sz w:val="21"/>
                <w:szCs w:val="21"/>
              </w:rPr>
              <w:t>单位</w:t>
            </w:r>
          </w:p>
        </w:tc>
        <w:tc>
          <w:tcPr>
            <w:tcW w:w="2818" w:type="dxa"/>
            <w:vAlign w:val="center"/>
          </w:tcPr>
          <w:p>
            <w:pPr>
              <w:pStyle w:val="133"/>
              <w:snapToGrid w:val="0"/>
              <w:ind w:firstLine="422"/>
              <w:jc w:val="center"/>
              <w:outlineLvl w:val="0"/>
              <w:rPr>
                <w:rFonts w:hAnsi="宋体"/>
                <w:b/>
                <w:bCs/>
                <w:color w:val="auto"/>
                <w:sz w:val="21"/>
                <w:szCs w:val="21"/>
              </w:rPr>
            </w:pPr>
            <w:r>
              <w:rPr>
                <w:rFonts w:hint="eastAsia" w:hAnsi="宋体"/>
                <w:b/>
                <w:bCs/>
                <w:color w:val="auto"/>
                <w:sz w:val="21"/>
                <w:szCs w:val="21"/>
              </w:rPr>
              <w:t>备注</w:t>
            </w:r>
          </w:p>
        </w:tc>
        <w:tc>
          <w:tcPr>
            <w:tcW w:w="1076" w:type="dxa"/>
            <w:vAlign w:val="center"/>
          </w:tcPr>
          <w:p>
            <w:pPr>
              <w:pStyle w:val="133"/>
              <w:snapToGrid w:val="0"/>
              <w:jc w:val="center"/>
              <w:outlineLvl w:val="0"/>
              <w:rPr>
                <w:rFonts w:hAnsi="宋体"/>
                <w:b/>
                <w:bCs/>
                <w:color w:val="auto"/>
                <w:sz w:val="21"/>
                <w:szCs w:val="21"/>
              </w:rPr>
            </w:pPr>
            <w:r>
              <w:rPr>
                <w:rFonts w:hint="eastAsia" w:hAnsi="宋体"/>
                <w:b/>
                <w:bCs/>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4"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1</w:t>
            </w:r>
          </w:p>
        </w:tc>
        <w:tc>
          <w:tcPr>
            <w:tcW w:w="1726"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条形码</w:t>
            </w:r>
          </w:p>
        </w:tc>
        <w:tc>
          <w:tcPr>
            <w:tcW w:w="1151"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0.08</w:t>
            </w:r>
          </w:p>
        </w:tc>
        <w:tc>
          <w:tcPr>
            <w:tcW w:w="1078" w:type="dxa"/>
          </w:tcPr>
          <w:p>
            <w:pPr>
              <w:pStyle w:val="133"/>
              <w:snapToGrid w:val="0"/>
              <w:jc w:val="center"/>
              <w:outlineLvl w:val="0"/>
              <w:rPr>
                <w:rFonts w:hint="eastAsia" w:hAnsi="宋体"/>
                <w:bCs/>
                <w:color w:val="auto"/>
                <w:sz w:val="21"/>
                <w:szCs w:val="21"/>
              </w:rPr>
            </w:pPr>
          </w:p>
        </w:tc>
        <w:tc>
          <w:tcPr>
            <w:tcW w:w="1078"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元/张</w:t>
            </w:r>
          </w:p>
        </w:tc>
        <w:tc>
          <w:tcPr>
            <w:tcW w:w="2818" w:type="dxa"/>
            <w:vAlign w:val="center"/>
          </w:tcPr>
          <w:p>
            <w:pPr>
              <w:pStyle w:val="133"/>
              <w:snapToGrid w:val="0"/>
              <w:jc w:val="both"/>
              <w:outlineLvl w:val="0"/>
              <w:rPr>
                <w:rFonts w:hAnsi="宋体"/>
                <w:bCs/>
                <w:color w:val="auto"/>
                <w:sz w:val="21"/>
                <w:szCs w:val="21"/>
              </w:rPr>
            </w:pPr>
            <w:r>
              <w:rPr>
                <w:rFonts w:hint="eastAsia" w:hAnsi="宋体"/>
                <w:bCs/>
                <w:color w:val="auto"/>
                <w:sz w:val="21"/>
                <w:szCs w:val="21"/>
              </w:rPr>
              <w:t>按需提供条形码</w:t>
            </w:r>
          </w:p>
        </w:tc>
        <w:tc>
          <w:tcPr>
            <w:tcW w:w="1076" w:type="dxa"/>
            <w:vAlign w:val="center"/>
          </w:tcPr>
          <w:p>
            <w:pPr>
              <w:pStyle w:val="133"/>
              <w:snapToGrid w:val="0"/>
              <w:jc w:val="center"/>
              <w:outlineLvl w:val="0"/>
              <w:rPr>
                <w:rFonts w:hAnsi="宋体"/>
                <w:bCs/>
                <w:color w:val="auto"/>
                <w:sz w:val="21"/>
                <w:szCs w:val="21"/>
              </w:rPr>
            </w:pPr>
            <w:r>
              <w:rPr>
                <w:rFonts w:hint="eastAsia" w:hAnsi="宋体"/>
                <w:b/>
                <w:color w:val="auto"/>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4"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2</w:t>
            </w:r>
          </w:p>
        </w:tc>
        <w:tc>
          <w:tcPr>
            <w:tcW w:w="1726"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扫描</w:t>
            </w:r>
          </w:p>
        </w:tc>
        <w:tc>
          <w:tcPr>
            <w:tcW w:w="1151"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0.5</w:t>
            </w:r>
          </w:p>
        </w:tc>
        <w:tc>
          <w:tcPr>
            <w:tcW w:w="1078" w:type="dxa"/>
          </w:tcPr>
          <w:p>
            <w:pPr>
              <w:pStyle w:val="133"/>
              <w:snapToGrid w:val="0"/>
              <w:jc w:val="center"/>
              <w:outlineLvl w:val="0"/>
              <w:rPr>
                <w:rFonts w:hint="eastAsia" w:hAnsi="宋体"/>
                <w:bCs/>
                <w:color w:val="auto"/>
                <w:sz w:val="21"/>
                <w:szCs w:val="21"/>
              </w:rPr>
            </w:pPr>
          </w:p>
        </w:tc>
        <w:tc>
          <w:tcPr>
            <w:tcW w:w="1078"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元/张</w:t>
            </w:r>
          </w:p>
        </w:tc>
        <w:tc>
          <w:tcPr>
            <w:tcW w:w="2818" w:type="dxa"/>
            <w:vAlign w:val="center"/>
          </w:tcPr>
          <w:p>
            <w:pPr>
              <w:pStyle w:val="133"/>
              <w:snapToGrid w:val="0"/>
              <w:jc w:val="both"/>
              <w:outlineLvl w:val="0"/>
              <w:rPr>
                <w:rFonts w:hAnsi="宋体"/>
                <w:bCs/>
                <w:color w:val="auto"/>
                <w:sz w:val="21"/>
                <w:szCs w:val="21"/>
              </w:rPr>
            </w:pPr>
            <w:r>
              <w:rPr>
                <w:rFonts w:hint="eastAsia" w:hAnsi="宋体"/>
                <w:bCs/>
                <w:color w:val="auto"/>
                <w:sz w:val="21"/>
                <w:szCs w:val="21"/>
              </w:rPr>
              <w:t>按张收费</w:t>
            </w:r>
          </w:p>
        </w:tc>
        <w:tc>
          <w:tcPr>
            <w:tcW w:w="1076" w:type="dxa"/>
            <w:vAlign w:val="center"/>
          </w:tcPr>
          <w:p>
            <w:pPr>
              <w:pStyle w:val="133"/>
              <w:snapToGrid w:val="0"/>
              <w:jc w:val="center"/>
              <w:outlineLvl w:val="0"/>
              <w:rPr>
                <w:rFonts w:hAnsi="宋体"/>
                <w:bCs/>
                <w:color w:val="auto"/>
                <w:sz w:val="21"/>
                <w:szCs w:val="21"/>
              </w:rPr>
            </w:pPr>
            <w:r>
              <w:rPr>
                <w:rFonts w:hint="eastAsia" w:hAnsi="宋体"/>
                <w:b/>
                <w:color w:val="auto"/>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591" w:type="dxa"/>
            <w:gridSpan w:val="7"/>
          </w:tcPr>
          <w:p>
            <w:pPr>
              <w:pStyle w:val="133"/>
              <w:snapToGrid w:val="0"/>
              <w:jc w:val="center"/>
              <w:outlineLvl w:val="0"/>
              <w:rPr>
                <w:rFonts w:hAnsi="宋体"/>
                <w:b/>
                <w:color w:val="auto"/>
                <w:sz w:val="21"/>
                <w:szCs w:val="21"/>
              </w:rPr>
            </w:pPr>
            <w:r>
              <w:rPr>
                <w:rFonts w:hint="eastAsia" w:hAnsi="宋体"/>
                <w:bCs/>
                <w:color w:val="auto"/>
                <w:sz w:val="21"/>
                <w:szCs w:val="21"/>
                <w:highlight w:val="none"/>
              </w:rPr>
              <w:t>以下可选收费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4"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3</w:t>
            </w:r>
          </w:p>
        </w:tc>
        <w:tc>
          <w:tcPr>
            <w:tcW w:w="1726" w:type="dxa"/>
            <w:vAlign w:val="center"/>
          </w:tcPr>
          <w:p>
            <w:pPr>
              <w:pStyle w:val="133"/>
              <w:snapToGrid w:val="0"/>
              <w:outlineLvl w:val="0"/>
              <w:rPr>
                <w:rFonts w:hAnsi="宋体"/>
                <w:bCs/>
                <w:color w:val="auto"/>
                <w:sz w:val="21"/>
                <w:szCs w:val="21"/>
              </w:rPr>
            </w:pPr>
            <w:r>
              <w:rPr>
                <w:rFonts w:hint="eastAsia" w:hAnsi="宋体"/>
                <w:color w:val="auto"/>
                <w:sz w:val="21"/>
                <w:szCs w:val="21"/>
              </w:rPr>
              <w:t>错题集纸质打印服务（数理化)</w:t>
            </w:r>
          </w:p>
        </w:tc>
        <w:tc>
          <w:tcPr>
            <w:tcW w:w="1151"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30.00</w:t>
            </w:r>
          </w:p>
        </w:tc>
        <w:tc>
          <w:tcPr>
            <w:tcW w:w="1078" w:type="dxa"/>
          </w:tcPr>
          <w:p>
            <w:pPr>
              <w:pStyle w:val="133"/>
              <w:snapToGrid w:val="0"/>
              <w:jc w:val="center"/>
              <w:outlineLvl w:val="0"/>
              <w:rPr>
                <w:rFonts w:hint="eastAsia" w:hAnsi="宋体"/>
                <w:bCs/>
                <w:color w:val="auto"/>
                <w:sz w:val="21"/>
                <w:szCs w:val="21"/>
              </w:rPr>
            </w:pPr>
          </w:p>
        </w:tc>
        <w:tc>
          <w:tcPr>
            <w:tcW w:w="1078"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元/人/科/学期</w:t>
            </w:r>
          </w:p>
        </w:tc>
        <w:tc>
          <w:tcPr>
            <w:tcW w:w="2818" w:type="dxa"/>
            <w:vAlign w:val="center"/>
          </w:tcPr>
          <w:p>
            <w:pPr>
              <w:pStyle w:val="133"/>
              <w:snapToGrid w:val="0"/>
              <w:jc w:val="both"/>
              <w:outlineLvl w:val="0"/>
              <w:rPr>
                <w:rFonts w:hAnsi="宋体"/>
                <w:bCs/>
                <w:color w:val="auto"/>
                <w:sz w:val="21"/>
                <w:szCs w:val="21"/>
              </w:rPr>
            </w:pPr>
            <w:r>
              <w:rPr>
                <w:rFonts w:hint="eastAsia" w:hAnsi="宋体"/>
                <w:color w:val="auto"/>
                <w:sz w:val="21"/>
                <w:szCs w:val="21"/>
              </w:rPr>
              <w:t>打印错题集科目＞2门，第三门学科提供免费纸质错题集</w:t>
            </w:r>
          </w:p>
        </w:tc>
        <w:tc>
          <w:tcPr>
            <w:tcW w:w="1076" w:type="dxa"/>
            <w:vAlign w:val="center"/>
          </w:tcPr>
          <w:p>
            <w:pPr>
              <w:pStyle w:val="133"/>
              <w:snapToGrid w:val="0"/>
              <w:jc w:val="center"/>
              <w:outlineLvl w:val="0"/>
              <w:rPr>
                <w:rFonts w:hAnsi="宋体"/>
                <w:bCs/>
                <w:color w:val="auto"/>
                <w:sz w:val="21"/>
                <w:szCs w:val="21"/>
              </w:rPr>
            </w:pPr>
            <w:r>
              <w:rPr>
                <w:rFonts w:hint="eastAsia" w:hAnsi="宋体"/>
                <w:b/>
                <w:color w:val="auto"/>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4"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4</w:t>
            </w:r>
          </w:p>
        </w:tc>
        <w:tc>
          <w:tcPr>
            <w:tcW w:w="1726"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个性化考后刊</w:t>
            </w:r>
          </w:p>
        </w:tc>
        <w:tc>
          <w:tcPr>
            <w:tcW w:w="1151"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30.00</w:t>
            </w:r>
          </w:p>
        </w:tc>
        <w:tc>
          <w:tcPr>
            <w:tcW w:w="1078" w:type="dxa"/>
          </w:tcPr>
          <w:p>
            <w:pPr>
              <w:pStyle w:val="133"/>
              <w:snapToGrid w:val="0"/>
              <w:jc w:val="center"/>
              <w:outlineLvl w:val="0"/>
              <w:rPr>
                <w:rFonts w:hint="eastAsia" w:hAnsi="宋体"/>
                <w:bCs/>
                <w:color w:val="auto"/>
                <w:sz w:val="21"/>
                <w:szCs w:val="21"/>
                <w:highlight w:val="yellow"/>
              </w:rPr>
            </w:pPr>
          </w:p>
        </w:tc>
        <w:tc>
          <w:tcPr>
            <w:tcW w:w="1078"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highlight w:val="none"/>
              </w:rPr>
              <w:t>元/生/次/科/本</w:t>
            </w:r>
          </w:p>
        </w:tc>
        <w:tc>
          <w:tcPr>
            <w:tcW w:w="2818" w:type="dxa"/>
            <w:vAlign w:val="center"/>
          </w:tcPr>
          <w:p>
            <w:pPr>
              <w:pStyle w:val="133"/>
              <w:snapToGrid w:val="0"/>
              <w:jc w:val="both"/>
              <w:outlineLvl w:val="0"/>
              <w:rPr>
                <w:rFonts w:hAnsi="宋体"/>
                <w:bCs/>
                <w:color w:val="auto"/>
                <w:sz w:val="21"/>
                <w:szCs w:val="21"/>
              </w:rPr>
            </w:pPr>
            <w:r>
              <w:rPr>
                <w:rFonts w:hint="eastAsia" w:hAnsi="宋体"/>
                <w:bCs/>
                <w:color w:val="auto"/>
                <w:sz w:val="21"/>
                <w:szCs w:val="21"/>
              </w:rPr>
              <w:t>按时按次结算</w:t>
            </w:r>
          </w:p>
        </w:tc>
        <w:tc>
          <w:tcPr>
            <w:tcW w:w="1076" w:type="dxa"/>
            <w:vAlign w:val="center"/>
          </w:tcPr>
          <w:p>
            <w:pPr>
              <w:pStyle w:val="133"/>
              <w:snapToGrid w:val="0"/>
              <w:jc w:val="center"/>
              <w:outlineLvl w:val="0"/>
              <w:rPr>
                <w:rFonts w:hAnsi="宋体"/>
                <w:bCs/>
                <w:color w:val="auto"/>
                <w:sz w:val="21"/>
                <w:szCs w:val="21"/>
              </w:rPr>
            </w:pPr>
            <w:r>
              <w:rPr>
                <w:rFonts w:hint="eastAsia" w:hAnsi="宋体"/>
                <w:b/>
                <w:color w:val="auto"/>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4"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5</w:t>
            </w:r>
          </w:p>
        </w:tc>
        <w:tc>
          <w:tcPr>
            <w:tcW w:w="1726"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合计</w:t>
            </w:r>
          </w:p>
        </w:tc>
        <w:tc>
          <w:tcPr>
            <w:tcW w:w="1151" w:type="dxa"/>
            <w:vAlign w:val="center"/>
          </w:tcPr>
          <w:p>
            <w:pPr>
              <w:pStyle w:val="133"/>
              <w:snapToGrid w:val="0"/>
              <w:jc w:val="center"/>
              <w:outlineLvl w:val="0"/>
              <w:rPr>
                <w:rFonts w:hAnsi="宋体"/>
                <w:bCs/>
                <w:color w:val="auto"/>
                <w:sz w:val="21"/>
                <w:szCs w:val="21"/>
              </w:rPr>
            </w:pPr>
            <w:r>
              <w:rPr>
                <w:rFonts w:hint="eastAsia" w:hAnsi="宋体"/>
                <w:bCs/>
                <w:color w:val="auto"/>
                <w:sz w:val="21"/>
                <w:szCs w:val="21"/>
              </w:rPr>
              <w:t>60.58</w:t>
            </w:r>
          </w:p>
        </w:tc>
        <w:tc>
          <w:tcPr>
            <w:tcW w:w="1078" w:type="dxa"/>
          </w:tcPr>
          <w:p>
            <w:pPr>
              <w:pStyle w:val="133"/>
              <w:snapToGrid w:val="0"/>
              <w:jc w:val="center"/>
              <w:outlineLvl w:val="0"/>
              <w:rPr>
                <w:rFonts w:hAnsi="宋体"/>
                <w:bCs/>
                <w:color w:val="auto"/>
                <w:sz w:val="21"/>
                <w:szCs w:val="21"/>
                <w:highlight w:val="yellow"/>
              </w:rPr>
            </w:pPr>
          </w:p>
        </w:tc>
        <w:tc>
          <w:tcPr>
            <w:tcW w:w="1078" w:type="dxa"/>
            <w:vAlign w:val="center"/>
          </w:tcPr>
          <w:p>
            <w:pPr>
              <w:pStyle w:val="133"/>
              <w:snapToGrid w:val="0"/>
              <w:jc w:val="center"/>
              <w:outlineLvl w:val="0"/>
              <w:rPr>
                <w:rFonts w:hAnsi="宋体"/>
                <w:bCs/>
                <w:color w:val="auto"/>
                <w:sz w:val="21"/>
                <w:szCs w:val="21"/>
                <w:highlight w:val="yellow"/>
              </w:rPr>
            </w:pPr>
          </w:p>
        </w:tc>
        <w:tc>
          <w:tcPr>
            <w:tcW w:w="2818" w:type="dxa"/>
            <w:vAlign w:val="center"/>
          </w:tcPr>
          <w:p>
            <w:pPr>
              <w:pStyle w:val="133"/>
              <w:snapToGrid w:val="0"/>
              <w:jc w:val="both"/>
              <w:outlineLvl w:val="0"/>
              <w:rPr>
                <w:rFonts w:hAnsi="宋体"/>
                <w:bCs/>
                <w:color w:val="auto"/>
                <w:sz w:val="21"/>
                <w:szCs w:val="21"/>
              </w:rPr>
            </w:pPr>
          </w:p>
        </w:tc>
        <w:tc>
          <w:tcPr>
            <w:tcW w:w="1076" w:type="dxa"/>
            <w:vAlign w:val="center"/>
          </w:tcPr>
          <w:p>
            <w:pPr>
              <w:pStyle w:val="133"/>
              <w:snapToGrid w:val="0"/>
              <w:jc w:val="center"/>
              <w:outlineLvl w:val="0"/>
              <w:rPr>
                <w:rFonts w:hAnsi="宋体"/>
                <w:b/>
                <w:color w:val="auto"/>
                <w:sz w:val="21"/>
                <w:szCs w:val="21"/>
              </w:rPr>
            </w:pPr>
          </w:p>
        </w:tc>
      </w:tr>
    </w:tbl>
    <w:p>
      <w:pPr>
        <w:spacing w:before="5"/>
        <w:rPr>
          <w:rFonts w:hint="eastAsia"/>
          <w:b/>
          <w:bCs/>
          <w:color w:val="000000" w:themeColor="text1"/>
          <w:sz w:val="24"/>
          <w:szCs w:val="24"/>
          <w14:textFill>
            <w14:solidFill>
              <w14:schemeClr w14:val="tx1"/>
            </w14:solidFill>
          </w14:textFill>
        </w:rPr>
      </w:pPr>
    </w:p>
    <w:p>
      <w:pPr>
        <w:spacing w:before="5"/>
        <w:rPr>
          <w:rFonts w:hint="eastAsia"/>
          <w:b/>
          <w:bCs/>
          <w:color w:val="000000" w:themeColor="text1"/>
          <w:sz w:val="24"/>
          <w:szCs w:val="24"/>
          <w14:textFill>
            <w14:solidFill>
              <w14:schemeClr w14:val="tx1"/>
            </w14:solidFill>
          </w14:textFill>
        </w:rPr>
      </w:pPr>
    </w:p>
    <w:p>
      <w:pPr>
        <w:spacing w:before="5"/>
        <w:rPr>
          <w:rFonts w:hint="eastAsia"/>
          <w:b/>
          <w:bCs/>
          <w:color w:val="000000" w:themeColor="text1"/>
          <w:sz w:val="24"/>
          <w:szCs w:val="24"/>
          <w14:textFill>
            <w14:solidFill>
              <w14:schemeClr w14:val="tx1"/>
            </w14:solidFill>
          </w14:textFill>
        </w:rPr>
      </w:pPr>
    </w:p>
    <w:p>
      <w:pPr>
        <w:spacing w:before="5"/>
        <w:rPr>
          <w:rFonts w:hint="eastAsia"/>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eastAsia="宋体"/>
          <w:b/>
          <w:sz w:val="24"/>
          <w:szCs w:val="24"/>
        </w:rPr>
      </w:pPr>
    </w:p>
    <w:p>
      <w:pPr>
        <w:ind w:firstLine="360" w:firstLineChars="150"/>
        <w:rPr>
          <w:rFonts w:hint="eastAsia" w:ascii="宋体" w:hAnsi="宋体" w:eastAsia="宋体"/>
          <w:b/>
          <w:color w:val="FF0000"/>
          <w:sz w:val="24"/>
          <w:szCs w:val="24"/>
          <w:highlight w:val="yellow"/>
        </w:rPr>
      </w:pPr>
      <w:r>
        <w:rPr>
          <w:rFonts w:hint="eastAsia" w:ascii="宋体" w:hAnsi="宋体" w:eastAsia="宋体"/>
          <w:b/>
          <w:color w:val="FF0000"/>
          <w:sz w:val="24"/>
          <w:szCs w:val="24"/>
          <w:highlight w:val="yellow"/>
        </w:rPr>
        <w:t>注：投标人的单项报价不得高于相应单</w:t>
      </w:r>
      <w:r>
        <w:rPr>
          <w:rFonts w:hint="eastAsia" w:ascii="宋体" w:hAnsi="宋体" w:eastAsia="宋体"/>
          <w:b/>
          <w:color w:val="FF0000"/>
          <w:sz w:val="24"/>
          <w:szCs w:val="24"/>
          <w:highlight w:val="yellow"/>
          <w:lang w:eastAsia="zh-CN"/>
        </w:rPr>
        <w:t>项</w:t>
      </w:r>
      <w:r>
        <w:rPr>
          <w:rFonts w:hint="eastAsia" w:ascii="宋体" w:hAnsi="宋体" w:eastAsia="宋体"/>
          <w:b/>
          <w:color w:val="FF0000"/>
          <w:sz w:val="24"/>
          <w:szCs w:val="24"/>
          <w:highlight w:val="yellow"/>
        </w:rPr>
        <w:t>最高限价，有一项或一项以上超过最高限价的作为无效响应处理。</w:t>
      </w:r>
    </w:p>
    <w:p>
      <w:pPr>
        <w:pStyle w:val="2"/>
      </w:pPr>
    </w:p>
    <w:p>
      <w:pPr>
        <w:widowControl/>
        <w:jc w:val="left"/>
        <w:rPr>
          <w:rFonts w:ascii="黑体" w:hAnsi="宋体" w:eastAsia="黑体"/>
          <w:bCs/>
          <w:sz w:val="24"/>
          <w:szCs w:val="24"/>
        </w:rPr>
      </w:pPr>
      <w:r>
        <w:rPr>
          <w:rFonts w:ascii="黑体" w:hAnsi="宋体" w:eastAsia="黑体"/>
          <w:bCs/>
          <w:sz w:val="24"/>
          <w:szCs w:val="24"/>
        </w:rPr>
        <w:br w:type="page"/>
      </w:r>
    </w:p>
    <w:p>
      <w:pPr>
        <w:spacing w:line="360" w:lineRule="auto"/>
        <w:rPr>
          <w:rFonts w:ascii="黑体" w:hAnsi="黑体" w:eastAsia="黑体"/>
          <w:sz w:val="28"/>
          <w:szCs w:val="28"/>
        </w:rPr>
      </w:pPr>
      <w:r>
        <w:rPr>
          <w:rFonts w:hint="eastAsia" w:ascii="黑体" w:hAnsi="黑体" w:eastAsia="黑体"/>
          <w:sz w:val="28"/>
          <w:szCs w:val="28"/>
        </w:rPr>
        <w:t>八、技术参数响应及偏离表</w:t>
      </w:r>
    </w:p>
    <w:p>
      <w:pPr>
        <w:jc w:val="center"/>
        <w:rPr>
          <w:rFonts w:ascii="宋体"/>
          <w:bCs/>
          <w:color w:val="000000" w:themeColor="text1"/>
          <w14:textFill>
            <w14:solidFill>
              <w14:schemeClr w14:val="tx1"/>
            </w14:solidFill>
          </w14:textFill>
        </w:rPr>
      </w:pPr>
    </w:p>
    <w:p>
      <w:pPr>
        <w:jc w:val="center"/>
        <w:rPr>
          <w:rFonts w:ascii="宋体"/>
          <w:bCs/>
          <w:color w:val="000000" w:themeColor="text1"/>
          <w14:textFill>
            <w14:solidFill>
              <w14:schemeClr w14:val="tx1"/>
            </w14:solidFill>
          </w14:textFill>
        </w:rPr>
      </w:pPr>
    </w:p>
    <w:p>
      <w:pPr>
        <w:spacing w:line="400" w:lineRule="exac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供应商名称（盖章）：</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 xml:space="preserve">          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tbl>
      <w:tblPr>
        <w:tblStyle w:val="31"/>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r>
    </w:tbl>
    <w:p>
      <w:pPr>
        <w:rPr>
          <w:rFonts w:ascii="宋体"/>
          <w:b/>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bCs/>
          <w:color w:val="000000" w:themeColor="text1"/>
          <w:sz w:val="30"/>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）本表不得删除；</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）如无任何技术偏离，请于本表 “偏离说明”中注明“无偏离”；</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（3）如有技术偏离项，请于本表中列明偏离内容，如需要可自行延长，其余无偏离内容不须赘述。</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spacing w:line="360" w:lineRule="auto"/>
        <w:rPr>
          <w:rFonts w:ascii="黑体" w:hAnsi="黑体" w:eastAsia="黑体"/>
          <w:bCs/>
          <w:sz w:val="28"/>
          <w:szCs w:val="28"/>
        </w:rPr>
      </w:pPr>
      <w:bookmarkStart w:id="61" w:name="_Toc55147061"/>
      <w:r>
        <w:rPr>
          <w:rFonts w:hint="eastAsia" w:ascii="黑体" w:hAnsi="黑体" w:eastAsia="黑体"/>
          <w:sz w:val="28"/>
          <w:szCs w:val="28"/>
        </w:rPr>
        <w:t>九、其他格式附件</w:t>
      </w:r>
    </w:p>
    <w:p>
      <w:pPr>
        <w:rPr>
          <w:rFonts w:ascii="黑体" w:hAnsi="黑体" w:eastAsia="黑体"/>
          <w:sz w:val="24"/>
          <w:szCs w:val="24"/>
        </w:rPr>
      </w:pPr>
      <w:r>
        <w:rPr>
          <w:rFonts w:hint="eastAsia" w:ascii="黑体" w:hAnsi="黑体" w:eastAsia="黑体"/>
          <w:sz w:val="24"/>
          <w:szCs w:val="24"/>
        </w:rPr>
        <w:t>（一）响应函（格式）</w:t>
      </w:r>
    </w:p>
    <w:p>
      <w:pPr>
        <w:spacing w:line="360" w:lineRule="auto"/>
        <w:jc w:val="center"/>
        <w:rPr>
          <w:rFonts w:ascii="宋体"/>
          <w:bCs/>
          <w:color w:val="000000" w:themeColor="text1"/>
          <w:sz w:val="24"/>
          <w:szCs w:val="24"/>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响应函</w:t>
      </w:r>
    </w:p>
    <w:p>
      <w:pPr>
        <w:spacing w:line="36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致常州中采招投标有限公司：</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我方收到贵方编号</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采购文件，经仔细阅读和研究，我方决定参加此项目的报价。</w:t>
      </w:r>
    </w:p>
    <w:p>
      <w:pPr>
        <w:numPr>
          <w:ilvl w:val="0"/>
          <w:numId w:val="10"/>
        </w:numPr>
        <w:tabs>
          <w:tab w:val="left" w:pos="315"/>
          <w:tab w:val="left" w:pos="840"/>
          <w:tab w:val="left" w:pos="945"/>
          <w:tab w:val="left" w:pos="1050"/>
          <w:tab w:val="left" w:pos="126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我方愿意按照采购文件的一切要求，提供本项目的报价，总价见《报价一览表》。</w:t>
      </w:r>
    </w:p>
    <w:p>
      <w:pPr>
        <w:numPr>
          <w:ilvl w:val="0"/>
          <w:numId w:val="10"/>
        </w:numPr>
        <w:tabs>
          <w:tab w:val="left" w:pos="0"/>
          <w:tab w:val="left" w:pos="315"/>
          <w:tab w:val="left" w:pos="525"/>
          <w:tab w:val="left" w:pos="840"/>
          <w:tab w:val="left" w:pos="945"/>
          <w:tab w:val="left" w:pos="1050"/>
          <w:tab w:val="clear" w:pos="552"/>
        </w:tabs>
        <w:spacing w:line="360" w:lineRule="auto"/>
        <w:ind w:left="0" w:firstLine="523" w:firstLineChars="218"/>
        <w:rPr>
          <w:rStyle w:val="37"/>
          <w:rFonts w:hAnsi="Times New Roman" w:cs="Times New Roman"/>
          <w:bCs/>
          <w:color w:val="000000" w:themeColor="text1"/>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我方愿意提供采购文件中要求的文件、资料。</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我方同意按采购文件中的规定，本响应文件报价的有效期限为报价截止之日起</w:t>
      </w:r>
      <w:r>
        <w:rPr>
          <w:rFonts w:ascii="宋体" w:hAnsi="宋体"/>
          <w:bCs/>
          <w:color w:val="000000" w:themeColor="text1"/>
          <w:sz w:val="24"/>
          <w:szCs w:val="24"/>
          <w14:textFill>
            <w14:solidFill>
              <w14:schemeClr w14:val="tx1"/>
            </w14:solidFill>
          </w14:textFill>
        </w:rPr>
        <w:t>90</w:t>
      </w:r>
      <w:r>
        <w:rPr>
          <w:rFonts w:hint="eastAsia" w:ascii="宋体" w:hAnsi="宋体"/>
          <w:bCs/>
          <w:color w:val="000000" w:themeColor="text1"/>
          <w:sz w:val="24"/>
          <w:szCs w:val="24"/>
          <w14:textFill>
            <w14:solidFill>
              <w14:schemeClr w14:val="tx1"/>
            </w14:solidFill>
          </w14:textFill>
        </w:rPr>
        <w:t>天。</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如果我方的响应文件被接受，我方将履行采购文件中规定的每一项要求，按期、按质、按量，完成交货任务。</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color w:val="000000" w:themeColor="text1"/>
          <w:sz w:val="24"/>
          <w:szCs w:val="24"/>
          <w14:textFill>
            <w14:solidFill>
              <w14:schemeClr w14:val="tx1"/>
            </w14:solidFill>
          </w14:textFill>
        </w:rPr>
        <w:t>我方愿意遵守《中华人民共</w:t>
      </w:r>
      <w:r>
        <w:rPr>
          <w:rFonts w:hint="eastAsia" w:ascii="宋体" w:hAnsi="宋体"/>
          <w:bCs/>
          <w:sz w:val="24"/>
          <w:szCs w:val="24"/>
        </w:rPr>
        <w:t>和国政府采购法》，并按《中华人民共和国民法典》、财政部《政府采购货物和服务招标投标管理办法》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文件所有的规定。</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我方愿意按</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文件的规定填写《投标（报价）承诺函》。如我方在报价截止期后撤回响应及成交后拒绝遵守报价承诺或拒绝在规定的时间内与采购人签订合同，则接受政府采购监督管理部门的处理。</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如果我方被确定为成交供应商，我方愿意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文件、响应文件和合同条款的，一经查实，我方愿意赔偿由此而造成的一切损失，并同意接受按</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文件的相关要求对我方进行的处理。</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我方决不提供虚假材料谋取成交、决不采取不正当手段诋毁、排挤其他供应商、决不与采购人、其它供应商或者采购代理机构恶意串通</w:t>
      </w:r>
      <w:r>
        <w:rPr>
          <w:rFonts w:hint="eastAsia" w:ascii="宋体" w:hAnsi="宋体"/>
          <w:bCs/>
          <w:color w:val="000000" w:themeColor="text1"/>
          <w:sz w:val="24"/>
          <w:szCs w:val="24"/>
          <w14:textFill>
            <w14:solidFill>
              <w14:schemeClr w14:val="tx1"/>
            </w14:solidFill>
          </w14:textFill>
        </w:rPr>
        <w:t>、决不向采购人、</w:t>
      </w:r>
      <w:r>
        <w:rPr>
          <w:rFonts w:hint="eastAsia" w:ascii="宋体" w:hAnsi="宋体"/>
          <w:bCs/>
          <w:sz w:val="24"/>
          <w:szCs w:val="24"/>
        </w:rPr>
        <w:t>采购代理机构</w:t>
      </w:r>
      <w:r>
        <w:rPr>
          <w:rFonts w:hint="eastAsia" w:ascii="宋体" w:hAnsi="宋体"/>
          <w:bCs/>
          <w:color w:val="000000" w:themeColor="text1"/>
          <w:sz w:val="24"/>
          <w:szCs w:val="24"/>
          <w14:textFill>
            <w14:solidFill>
              <w14:schemeClr w14:val="tx1"/>
            </w14:solidFill>
          </w14:textFill>
        </w:rPr>
        <w:t>工作人员和评委进行商业贿赂、决不在采购过程中与采购人进行协商谈判、决不拒绝有关部门监督检查或提供虚假情况，如有违反，无条件接受贵方及相关管理部门的处罚。</w:t>
      </w:r>
    </w:p>
    <w:p>
      <w:pPr>
        <w:numPr>
          <w:ilvl w:val="0"/>
          <w:numId w:val="10"/>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如果我们中标，我们将按照采购文件的规定向贵公司支付采购代理服务费；为执行合同，我们将按供应商须知有关要求提供必要的履约保证。</w:t>
      </w:r>
    </w:p>
    <w:p>
      <w:pPr>
        <w:spacing w:line="360" w:lineRule="auto"/>
        <w:rPr>
          <w:rFonts w:ascii="宋体"/>
          <w:bCs/>
          <w:color w:val="000000" w:themeColor="text1"/>
          <w:sz w:val="24"/>
          <w:szCs w:val="24"/>
          <w14:textFill>
            <w14:solidFill>
              <w14:schemeClr w14:val="tx1"/>
            </w14:solidFill>
          </w14:textFill>
        </w:rPr>
      </w:pP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电话：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传真：</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通讯地址：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邮编：</w:t>
      </w:r>
    </w:p>
    <w:p>
      <w:pPr>
        <w:widowControl/>
        <w:jc w:val="left"/>
        <w:rPr>
          <w:rFonts w:ascii="黑体" w:hAnsi="宋体" w:eastAsia="黑体"/>
          <w:bCs/>
          <w:color w:val="000000" w:themeColor="text1"/>
          <w:sz w:val="24"/>
          <w:szCs w:val="24"/>
          <w14:textFill>
            <w14:solidFill>
              <w14:schemeClr w14:val="tx1"/>
            </w14:solidFill>
          </w14:textFill>
        </w:rPr>
      </w:pP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bookmarkStart w:id="62" w:name="_Toc55147054"/>
    </w:p>
    <w:p>
      <w:pPr>
        <w:rPr>
          <w:rFonts w:ascii="黑体" w:hAnsi="黑体" w:eastAsia="黑体"/>
          <w:sz w:val="24"/>
          <w:szCs w:val="24"/>
        </w:rPr>
      </w:pPr>
      <w:r>
        <w:rPr>
          <w:rFonts w:hint="eastAsia" w:ascii="黑体" w:hAnsi="黑体" w:eastAsia="黑体"/>
          <w:sz w:val="24"/>
          <w:szCs w:val="24"/>
        </w:rPr>
        <w:t>（二）</w:t>
      </w:r>
      <w:bookmarkEnd w:id="62"/>
      <w:r>
        <w:rPr>
          <w:rFonts w:hint="eastAsia" w:ascii="黑体" w:hAnsi="黑体" w:eastAsia="黑体"/>
          <w:sz w:val="24"/>
          <w:szCs w:val="24"/>
        </w:rPr>
        <w:t>关于资格的声明函（格式）</w:t>
      </w:r>
    </w:p>
    <w:p>
      <w:pPr>
        <w:spacing w:line="360" w:lineRule="auto"/>
        <w:rPr>
          <w:rFonts w:ascii="黑体" w:eastAsia="黑体"/>
          <w:bCs/>
          <w:color w:val="000000" w:themeColor="text1"/>
          <w:sz w:val="36"/>
          <w14:textFill>
            <w14:solidFill>
              <w14:schemeClr w14:val="tx1"/>
            </w14:solidFill>
          </w14:textFill>
        </w:rPr>
      </w:pPr>
    </w:p>
    <w:p>
      <w:pPr>
        <w:spacing w:line="480" w:lineRule="auto"/>
        <w:ind w:firstLine="560" w:firstLineChars="200"/>
        <w:jc w:val="center"/>
        <w:rPr>
          <w:rFonts w:ascii="黑体" w:hAnsi="黑体" w:eastAsia="黑体"/>
          <w:bCs/>
          <w:color w:val="000000" w:themeColor="text1"/>
          <w:sz w:val="28"/>
          <w:szCs w:val="28"/>
          <w14:textFill>
            <w14:solidFill>
              <w14:schemeClr w14:val="tx1"/>
            </w14:solidFill>
          </w14:textFill>
        </w:rPr>
      </w:pPr>
      <w:bookmarkStart w:id="63" w:name="报价方关于资格的声明函（格式）"/>
      <w:bookmarkEnd w:id="63"/>
      <w:r>
        <w:rPr>
          <w:rFonts w:hint="eastAsia" w:ascii="黑体" w:hAnsi="黑体" w:eastAsia="黑体"/>
          <w:bCs/>
          <w:color w:val="000000" w:themeColor="text1"/>
          <w:sz w:val="28"/>
          <w:szCs w:val="28"/>
          <w14:textFill>
            <w14:solidFill>
              <w14:schemeClr w14:val="tx1"/>
            </w14:solidFill>
          </w14:textFill>
        </w:rPr>
        <w:t>关于资格的声明函</w:t>
      </w:r>
    </w:p>
    <w:p>
      <w:pPr>
        <w:spacing w:line="480" w:lineRule="auto"/>
        <w:jc w:val="center"/>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常州中采招投标有限公司：</w:t>
      </w:r>
    </w:p>
    <w:p>
      <w:pPr>
        <w:spacing w:line="480" w:lineRule="auto"/>
        <w:rPr>
          <w:rFonts w:ascii="宋体"/>
          <w:bCs/>
          <w:color w:val="000000" w:themeColor="text1"/>
          <w:sz w:val="24"/>
          <w:szCs w:val="24"/>
          <w14:textFill>
            <w14:solidFill>
              <w14:schemeClr w14:val="tx1"/>
            </w14:solidFill>
          </w14:textFill>
        </w:rPr>
      </w:pPr>
    </w:p>
    <w:p>
      <w:pPr>
        <w:spacing w:line="48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我公司（单位）参加本次项目（</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政府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pPr>
        <w:spacing w:line="480" w:lineRule="auto"/>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供应商（盖章）：</w:t>
      </w: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80" w:lineRule="auto"/>
        <w:rPr>
          <w:rFonts w:ascii="宋体"/>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宋体" w:hAnsi="宋体"/>
          <w:bCs/>
          <w:sz w:val="24"/>
        </w:rPr>
        <w:t xml:space="preserve"> 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备注：上述所称“重大违法记录”,是指供应商因违法经营受到刑事处罚或者责令停产停业、吊销许可证或者执照、较大数额罚款等行政处罚。</w:t>
      </w: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rPr>
          <w:rFonts w:ascii="黑体" w:hAnsi="黑体" w:eastAsia="黑体"/>
          <w:sz w:val="24"/>
          <w:szCs w:val="24"/>
        </w:rPr>
      </w:pPr>
      <w:r>
        <w:rPr>
          <w:rFonts w:hint="eastAsia" w:ascii="黑体" w:hAnsi="黑体" w:eastAsia="黑体"/>
          <w:sz w:val="24"/>
          <w:szCs w:val="24"/>
        </w:rPr>
        <w:t>（三）联合体协议（格式）</w:t>
      </w:r>
    </w:p>
    <w:p>
      <w:pPr>
        <w:spacing w:line="360" w:lineRule="auto"/>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联合体协议</w:t>
      </w:r>
    </w:p>
    <w:p>
      <w:pPr>
        <w:spacing w:line="460" w:lineRule="exact"/>
        <w:jc w:val="center"/>
        <w:rPr>
          <w:rFonts w:ascii="宋体" w:hAnsi="宋体"/>
          <w:b/>
          <w:sz w:val="24"/>
          <w:szCs w:val="21"/>
        </w:rPr>
      </w:pPr>
      <w:r>
        <w:rPr>
          <w:rFonts w:hint="eastAsia" w:ascii="宋体" w:hAnsi="宋体"/>
          <w:b/>
          <w:sz w:val="24"/>
          <w:szCs w:val="21"/>
        </w:rPr>
        <w:t>本项目无</w:t>
      </w: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560" w:lineRule="exact"/>
        <w:ind w:firstLine="240" w:firstLineChars="100"/>
        <w:rPr>
          <w:rFonts w:ascii="宋体" w:hAnsi="宋体"/>
          <w:sz w:val="24"/>
          <w:szCs w:val="21"/>
        </w:rPr>
      </w:pP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widowControl/>
        <w:jc w:val="left"/>
        <w:rPr>
          <w:rFonts w:ascii="黑体" w:hAnsi="宋体" w:eastAsia="黑体"/>
          <w:bCs/>
          <w:color w:val="000000" w:themeColor="text1"/>
          <w:sz w:val="24"/>
          <w:szCs w:val="24"/>
          <w14:textFill>
            <w14:solidFill>
              <w14:schemeClr w14:val="tx1"/>
            </w14:solidFill>
          </w14:textFill>
        </w:rPr>
      </w:pPr>
      <w:bookmarkStart w:id="64" w:name="_Toc55147055"/>
      <w:r>
        <w:rPr>
          <w:rFonts w:hint="eastAsia" w:ascii="黑体" w:hAnsi="宋体" w:eastAsia="黑体"/>
          <w:bCs/>
          <w:color w:val="000000" w:themeColor="text1"/>
          <w:sz w:val="24"/>
          <w:szCs w:val="24"/>
          <w14:textFill>
            <w14:solidFill>
              <w14:schemeClr w14:val="tx1"/>
            </w14:solidFill>
          </w14:textFill>
        </w:rPr>
        <w:t>（四）法定代表人资格证明书和法定代表人授权委托书</w:t>
      </w:r>
      <w:bookmarkEnd w:id="64"/>
      <w:r>
        <w:rPr>
          <w:rFonts w:hint="eastAsia" w:ascii="黑体" w:hAnsi="宋体" w:eastAsia="黑体"/>
          <w:bCs/>
          <w:color w:val="000000" w:themeColor="text1"/>
          <w:sz w:val="24"/>
          <w:szCs w:val="24"/>
          <w14:textFill>
            <w14:solidFill>
              <w14:schemeClr w14:val="tx1"/>
            </w14:solidFill>
          </w14:textFill>
        </w:rPr>
        <w:t>（格式）</w:t>
      </w:r>
    </w:p>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法定代表人资格证明书</w:t>
      </w:r>
    </w:p>
    <w:p>
      <w:pPr>
        <w:spacing w:line="580" w:lineRule="exact"/>
        <w:jc w:val="center"/>
        <w:rPr>
          <w:rFonts w:ascii="黑体" w:hAnsi="黑体" w:eastAsia="黑体"/>
          <w:bCs/>
          <w:color w:val="000000" w:themeColor="text1"/>
          <w:sz w:val="28"/>
          <w:szCs w:val="28"/>
          <w14:textFill>
            <w14:solidFill>
              <w14:schemeClr w14:val="tx1"/>
            </w14:solidFill>
          </w14:textFill>
        </w:rPr>
      </w:pPr>
    </w:p>
    <w:p>
      <w:pPr>
        <w:spacing w:line="560" w:lineRule="exact"/>
        <w:rPr>
          <w:rFonts w:ascii="宋体" w:hAnsi="宋体"/>
          <w:sz w:val="24"/>
        </w:rPr>
      </w:pPr>
      <w:r>
        <w:rPr>
          <w:rFonts w:hint="eastAsia" w:ascii="宋体" w:hAnsi="宋体"/>
          <w:sz w:val="24"/>
        </w:rPr>
        <w:t>姓名</w:t>
      </w:r>
      <w:r>
        <w:rPr>
          <w:rFonts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性别</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年龄</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职务</w:t>
      </w:r>
      <w:r>
        <w:rPr>
          <w:rFonts w:ascii="宋体" w:hAnsi="宋体"/>
          <w:sz w:val="24"/>
        </w:rPr>
        <w:t>:</w:t>
      </w:r>
    </w:p>
    <w:p>
      <w:pPr>
        <w:spacing w:line="560" w:lineRule="exact"/>
        <w:rPr>
          <w:rFonts w:ascii="宋体" w:hAnsi="宋体"/>
          <w:sz w:val="24"/>
        </w:rPr>
      </w:pPr>
      <w:r>
        <w:rPr>
          <w:rFonts w:hint="eastAsia" w:ascii="宋体" w:hAnsi="宋体"/>
          <w:sz w:val="24"/>
        </w:rPr>
        <w:t>系</w:t>
      </w:r>
      <w:r>
        <w:rPr>
          <w:rFonts w:ascii="宋体" w:hAnsi="宋体"/>
          <w:sz w:val="24"/>
          <w:u w:val="single"/>
        </w:rPr>
        <w:t xml:space="preserve">            </w:t>
      </w:r>
      <w:r>
        <w:rPr>
          <w:rFonts w:hint="eastAsia" w:ascii="宋体" w:hAnsi="宋体"/>
          <w:sz w:val="24"/>
        </w:rPr>
        <w:t>（供应商名称）的法定代表人。为实施</w:t>
      </w:r>
      <w:r>
        <w:rPr>
          <w:rFonts w:ascii="宋体" w:hAnsi="宋体"/>
          <w:sz w:val="24"/>
        </w:rPr>
        <w:t xml:space="preserve"> </w:t>
      </w:r>
      <w:r>
        <w:rPr>
          <w:rFonts w:hint="eastAsia" w:ascii="宋体" w:hAnsi="宋体"/>
          <w:sz w:val="24"/>
          <w:u w:val="single"/>
        </w:rPr>
        <w:t xml:space="preserve">                 </w:t>
      </w:r>
      <w:r>
        <w:rPr>
          <w:rFonts w:hint="eastAsia" w:ascii="宋体" w:hAnsi="宋体"/>
          <w:sz w:val="24"/>
        </w:rPr>
        <w:t>项目（</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宋体" w:hAnsi="宋体"/>
          <w:sz w:val="24"/>
        </w:rPr>
        <w:t>）的工作，签署上述项目的响应文件、进行合同谈判、签署合同和处理与之有关的一切事务。</w:t>
      </w:r>
    </w:p>
    <w:p>
      <w:pPr>
        <w:spacing w:line="560" w:lineRule="exact"/>
        <w:rPr>
          <w:rFonts w:ascii="宋体" w:hAnsi="宋体"/>
          <w:sz w:val="24"/>
        </w:rPr>
      </w:pPr>
      <w:r>
        <w:rPr>
          <w:rFonts w:hint="eastAsia" w:ascii="宋体" w:hAnsi="宋体"/>
          <w:sz w:val="24"/>
        </w:rPr>
        <w:t>特此证明。</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r>
        <w:rPr>
          <w:rFonts w:ascii="宋体" w:hAnsi="宋体"/>
          <w:sz w:val="24"/>
        </w:rPr>
        <w:t xml:space="preserve">                   </w:t>
      </w:r>
      <w:r>
        <w:rPr>
          <w:rFonts w:hint="eastAsia" w:ascii="宋体" w:hAnsi="宋体"/>
          <w:sz w:val="24"/>
        </w:rPr>
        <w:t>供应商：（公章）</w:t>
      </w:r>
    </w:p>
    <w:p>
      <w:pPr>
        <w:spacing w:line="560" w:lineRule="exact"/>
        <w:rPr>
          <w:rFonts w:ascii="宋体" w:hAnsi="宋体"/>
          <w:sz w:val="24"/>
        </w:rPr>
      </w:pPr>
      <w:r>
        <w:rPr>
          <w:rFonts w:ascii="宋体" w:hAnsi="宋体"/>
          <w:sz w:val="24"/>
        </w:rPr>
        <w:t xml:space="preserve">                       </w:t>
      </w:r>
      <w:r>
        <w:rPr>
          <w:rFonts w:hint="eastAsia" w:ascii="宋体" w:hAnsi="宋体"/>
          <w:sz w:val="24"/>
        </w:rPr>
        <w:t>法定代表人签字或盖章：</w:t>
      </w:r>
    </w:p>
    <w:p>
      <w:pPr>
        <w:spacing w:line="560" w:lineRule="exact"/>
        <w:ind w:firstLine="4320" w:firstLineChars="1800"/>
        <w:rPr>
          <w:rFonts w:ascii="宋体" w:hAnsi="宋体"/>
          <w:sz w:val="24"/>
        </w:rPr>
      </w:pPr>
      <w:r>
        <w:rPr>
          <w:rFonts w:asciiTheme="minorEastAsia" w:hAnsiTheme="minorEastAsia"/>
          <w:sz w:val="24"/>
          <w:szCs w:val="24"/>
        </w:rPr>
        <w:t>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napToGrid w:val="0"/>
        <w:spacing w:line="560" w:lineRule="exact"/>
        <w:rPr>
          <w:rFonts w:ascii="宋体" w:hAnsi="宋体"/>
          <w:sz w:val="24"/>
        </w:rPr>
      </w:pPr>
    </w:p>
    <w:p>
      <w:pPr>
        <w:autoSpaceDE w:val="0"/>
        <w:autoSpaceDN w:val="0"/>
        <w:adjustRightInd w:val="0"/>
        <w:rPr>
          <w:rFonts w:ascii="宋体" w:hAnsi="宋体"/>
          <w:sz w:val="24"/>
        </w:rPr>
      </w:pPr>
      <w:r>
        <w:rPr>
          <w:rFonts w:hint="eastAsia" w:ascii="宋体" w:hAnsi="宋体"/>
          <w:sz w:val="24"/>
        </w:rPr>
        <w:t>法定代表人身份证</w:t>
      </w:r>
    </w:p>
    <w:p>
      <w:pPr>
        <w:autoSpaceDE w:val="0"/>
        <w:autoSpaceDN w:val="0"/>
        <w:adjustRightInd w:val="0"/>
        <w:rPr>
          <w:rFonts w:ascii="宋体" w:hAnsi="宋体"/>
          <w:sz w:val="24"/>
        </w:rPr>
      </w:pPr>
      <w:r>
        <w:rPr>
          <w:rFonts w:hint="eastAsia" w:ascii="宋体" w:hAnsi="宋体"/>
          <w:sz w:val="24"/>
        </w:rPr>
        <w:t>（双面复印件）粘贴处</w:t>
      </w:r>
    </w:p>
    <w:p>
      <w:pPr>
        <w:snapToGrid w:val="0"/>
        <w:spacing w:line="560" w:lineRule="exact"/>
        <w:rPr>
          <w:rFonts w:ascii="宋体" w:hAnsi="宋体"/>
          <w:b/>
          <w:sz w:val="24"/>
        </w:rPr>
      </w:pP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widowControl/>
        <w:jc w:val="left"/>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br w:type="page"/>
      </w:r>
    </w:p>
    <w:p>
      <w:pPr>
        <w:spacing w:line="580" w:lineRule="exact"/>
        <w:jc w:val="center"/>
        <w:rPr>
          <w:rFonts w:ascii="黑体" w:hAnsi="黑体" w:eastAsia="黑体"/>
          <w:bCs/>
          <w:color w:val="000000" w:themeColor="text1"/>
          <w:sz w:val="28"/>
          <w:szCs w:val="28"/>
          <w14:textFill>
            <w14:solidFill>
              <w14:schemeClr w14:val="tx1"/>
            </w14:solidFill>
          </w14:textFill>
        </w:rPr>
      </w:pPr>
      <w:bookmarkStart w:id="65" w:name="_Toc55147056"/>
      <w:r>
        <w:rPr>
          <w:rFonts w:hint="eastAsia" w:ascii="黑体" w:hAnsi="黑体" w:eastAsia="黑体"/>
          <w:bCs/>
          <w:color w:val="000000" w:themeColor="text1"/>
          <w:sz w:val="28"/>
          <w:szCs w:val="28"/>
          <w14:textFill>
            <w14:solidFill>
              <w14:schemeClr w14:val="tx1"/>
            </w14:solidFill>
          </w14:textFill>
        </w:rPr>
        <w:t>法定代表人授权委托书</w:t>
      </w:r>
    </w:p>
    <w:p>
      <w:pPr>
        <w:spacing w:line="360" w:lineRule="auto"/>
        <w:jc w:val="center"/>
        <w:rPr>
          <w:rFonts w:ascii="楷体_GB2312" w:eastAsia="楷体_GB2312"/>
          <w:bCs/>
          <w:color w:val="000000" w:themeColor="text1"/>
          <w:sz w:val="36"/>
          <w14:textFill>
            <w14:solidFill>
              <w14:schemeClr w14:val="tx1"/>
            </w14:solidFill>
          </w14:textFill>
        </w:rPr>
      </w:pPr>
    </w:p>
    <w:p>
      <w:pPr>
        <w:spacing w:line="360" w:lineRule="auto"/>
        <w:ind w:firstLine="480" w:firstLineChars="200"/>
        <w:rPr>
          <w:rFonts w:ascii="宋体" w:hAnsi="宋体"/>
          <w:sz w:val="24"/>
        </w:rPr>
      </w:pPr>
      <w:r>
        <w:rPr>
          <w:rFonts w:hint="eastAsia" w:ascii="宋体" w:hAnsi="宋体"/>
          <w:sz w:val="24"/>
        </w:rPr>
        <w:t>本授权委托书声明：</w:t>
      </w:r>
    </w:p>
    <w:p>
      <w:pPr>
        <w:spacing w:line="360" w:lineRule="auto"/>
        <w:ind w:firstLine="480" w:firstLineChars="200"/>
        <w:rPr>
          <w:rFonts w:ascii="宋体" w:hAnsi="宋体"/>
          <w:sz w:val="24"/>
        </w:rPr>
      </w:pPr>
      <w:r>
        <w:rPr>
          <w:rFonts w:ascii="宋体" w:hAnsi="宋体"/>
          <w:sz w:val="24"/>
        </w:rPr>
        <w:t>______________________</w:t>
      </w:r>
      <w:r>
        <w:rPr>
          <w:rFonts w:hint="eastAsia" w:ascii="宋体" w:hAnsi="宋体"/>
          <w:sz w:val="24"/>
        </w:rPr>
        <w:t>（供应商名称）的</w:t>
      </w:r>
      <w:r>
        <w:rPr>
          <w:rFonts w:ascii="宋体" w:hAnsi="宋体"/>
          <w:sz w:val="24"/>
        </w:rPr>
        <w:t>____________</w:t>
      </w:r>
      <w:r>
        <w:rPr>
          <w:rFonts w:hint="eastAsia" w:ascii="宋体" w:hAnsi="宋体"/>
          <w:sz w:val="24"/>
        </w:rPr>
        <w:t>（法定代表人姓名、职务）代表供应商授权</w:t>
      </w:r>
      <w:r>
        <w:rPr>
          <w:rFonts w:ascii="宋体" w:hAnsi="宋体"/>
          <w:sz w:val="24"/>
        </w:rPr>
        <w:t>_____________</w:t>
      </w:r>
      <w:r>
        <w:rPr>
          <w:rFonts w:hint="eastAsia" w:ascii="宋体" w:hAnsi="宋体"/>
          <w:sz w:val="24"/>
        </w:rPr>
        <w:t>（被授权代表姓名）为</w:t>
      </w:r>
      <w:r>
        <w:rPr>
          <w:rFonts w:hint="eastAsia" w:ascii="宋体" w:hAnsi="宋体"/>
          <w:sz w:val="24"/>
          <w:u w:val="single"/>
        </w:rPr>
        <w:t xml:space="preserve">                  项目</w:t>
      </w:r>
      <w:r>
        <w:rPr>
          <w:rFonts w:hint="eastAsia" w:ascii="宋体" w:hAnsi="宋体"/>
          <w:sz w:val="24"/>
        </w:rPr>
        <w:t>（</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宋体" w:hAnsi="宋体"/>
          <w:sz w:val="24"/>
        </w:rPr>
        <w:t>）报价的合法代理人，全权负责参加本次政府采购项目的报价、</w:t>
      </w:r>
      <w:r>
        <w:rPr>
          <w:rFonts w:hint="eastAsia" w:ascii="宋体" w:hAnsi="宋体"/>
          <w:bCs/>
          <w:color w:val="000000" w:themeColor="text1"/>
          <w:sz w:val="24"/>
          <w:szCs w:val="24"/>
          <w14:textFill>
            <w14:solidFill>
              <w14:schemeClr w14:val="tx1"/>
            </w14:solidFill>
          </w14:textFill>
        </w:rPr>
        <w:t>参与协商、签约</w:t>
      </w:r>
      <w:r>
        <w:rPr>
          <w:rFonts w:hint="eastAsia" w:ascii="宋体" w:hAnsi="宋体"/>
          <w:sz w:val="24"/>
        </w:rPr>
        <w:t>以及与之相关的各项工作。本供应商对代理人的</w:t>
      </w:r>
      <w:r>
        <w:rPr>
          <w:rFonts w:ascii="宋体" w:hAnsi="宋体"/>
          <w:sz w:val="24"/>
        </w:rPr>
        <w:t>所有</w:t>
      </w:r>
      <w:r>
        <w:rPr>
          <w:rFonts w:hint="eastAsia" w:ascii="宋体" w:hAnsi="宋体"/>
          <w:sz w:val="24"/>
        </w:rPr>
        <w:t>签字负全部责任。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我公司（单位）对被授权代表的签名负全部责任。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在撤销授权的书面通知送达贵公司以前，本授权书一直有效，被授权代表签署的所有文件（在授权书有效期内签署的）不因授权的撤销而失效。</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被授权代表情况：</w:t>
      </w:r>
    </w:p>
    <w:p>
      <w:pPr>
        <w:spacing w:line="360" w:lineRule="auto"/>
        <w:ind w:firstLine="676" w:firstLineChars="282"/>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姓名：</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性别：</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电话：</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职务：</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单位名称（盖章）：</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宋体" w:hAnsi="宋体"/>
          <w:bCs/>
          <w:sz w:val="24"/>
        </w:rPr>
        <w:t xml:space="preserve"> 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法定代表人（签字或盖章）：</w:t>
      </w:r>
      <w:r>
        <w:rPr>
          <w:rFonts w:hint="eastAsia" w:ascii="宋体" w:hAnsi="宋体"/>
          <w:bCs/>
          <w:sz w:val="24"/>
        </w:rPr>
        <w:t>_____________</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sz w:val="24"/>
        </w:rPr>
        <w:t>代理人（签字或盖章）：_____________</w:t>
      </w:r>
    </w:p>
    <w:p>
      <w:pPr>
        <w:spacing w:line="360" w:lineRule="auto"/>
        <w:ind w:firstLine="480" w:firstLineChars="200"/>
        <w:rPr>
          <w:rFonts w:ascii="宋体" w:hAnsi="宋体"/>
          <w:sz w:val="24"/>
        </w:rPr>
      </w:pPr>
    </w:p>
    <w:p>
      <w:pPr>
        <w:autoSpaceDE w:val="0"/>
        <w:autoSpaceDN w:val="0"/>
        <w:adjustRightInd w:val="0"/>
        <w:spacing w:line="360" w:lineRule="auto"/>
        <w:ind w:firstLine="480" w:firstLineChars="200"/>
        <w:rPr>
          <w:rFonts w:ascii="宋体" w:hAnsi="宋体"/>
          <w:sz w:val="24"/>
        </w:rPr>
      </w:pPr>
      <w:r>
        <w:rPr>
          <w:rFonts w:hint="eastAsia" w:ascii="宋体" w:hAnsi="宋体"/>
          <w:sz w:val="24"/>
        </w:rPr>
        <w:t>法定代表人身份证</w:t>
      </w:r>
    </w:p>
    <w:p>
      <w:pPr>
        <w:autoSpaceDE w:val="0"/>
        <w:autoSpaceDN w:val="0"/>
        <w:adjustRightInd w:val="0"/>
        <w:spacing w:line="360" w:lineRule="auto"/>
        <w:ind w:firstLine="240" w:firstLineChars="100"/>
        <w:rPr>
          <w:rFonts w:ascii="宋体" w:hAnsi="宋体"/>
          <w:sz w:val="24"/>
        </w:rPr>
      </w:pPr>
      <w:r>
        <w:rPr>
          <w:rFonts w:hint="eastAsia" w:ascii="宋体" w:hAnsi="宋体"/>
          <w:sz w:val="24"/>
        </w:rPr>
        <w:t>（双面复印件）粘贴处</w:t>
      </w:r>
    </w:p>
    <w:p>
      <w:pPr>
        <w:autoSpaceDE w:val="0"/>
        <w:autoSpaceDN w:val="0"/>
        <w:adjustRightInd w:val="0"/>
        <w:spacing w:line="360" w:lineRule="auto"/>
        <w:rPr>
          <w:rFonts w:ascii="宋体" w:hAnsi="宋体"/>
          <w:sz w:val="24"/>
        </w:rPr>
      </w:pPr>
    </w:p>
    <w:p>
      <w:pPr>
        <w:autoSpaceDE w:val="0"/>
        <w:autoSpaceDN w:val="0"/>
        <w:adjustRightInd w:val="0"/>
        <w:spacing w:line="360" w:lineRule="auto"/>
        <w:ind w:firstLine="480" w:firstLineChars="200"/>
        <w:rPr>
          <w:rFonts w:ascii="宋体" w:hAnsi="宋体"/>
          <w:sz w:val="24"/>
        </w:rPr>
      </w:pPr>
      <w:r>
        <w:rPr>
          <w:rFonts w:hint="eastAsia" w:ascii="宋体" w:hAnsi="宋体"/>
          <w:sz w:val="24"/>
        </w:rPr>
        <w:t>代理人身份证：</w:t>
      </w:r>
    </w:p>
    <w:p>
      <w:pPr>
        <w:spacing w:line="360" w:lineRule="auto"/>
        <w:ind w:firstLine="480" w:firstLineChars="200"/>
        <w:rPr>
          <w:rFonts w:ascii="宋体" w:hAnsi="宋体"/>
          <w:sz w:val="24"/>
        </w:rPr>
      </w:pPr>
      <w:r>
        <w:rPr>
          <w:rFonts w:hint="eastAsia" w:ascii="宋体" w:hAnsi="宋体"/>
          <w:sz w:val="24"/>
        </w:rPr>
        <w:t>（双面复印件）粘贴处</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备注：</w:t>
      </w:r>
    </w:p>
    <w:p>
      <w:pPr>
        <w:snapToGrid w:val="0"/>
        <w:spacing w:line="360" w:lineRule="auto"/>
        <w:ind w:firstLine="480" w:firstLineChars="200"/>
        <w:rPr>
          <w:rFonts w:ascii="宋体" w:hAnsi="宋体" w:cs="宋体"/>
          <w:sz w:val="24"/>
        </w:rPr>
      </w:pPr>
      <w:r>
        <w:rPr>
          <w:rFonts w:hint="eastAsia" w:ascii="宋体" w:hAnsi="宋体" w:cs="宋体"/>
          <w:sz w:val="24"/>
        </w:rPr>
        <w:t>1.法定代表人参加报价时，需携带法定代表人资格证明书和本人身份证原件。</w:t>
      </w:r>
    </w:p>
    <w:p>
      <w:pPr>
        <w:snapToGrid w:val="0"/>
        <w:spacing w:line="360" w:lineRule="auto"/>
        <w:ind w:firstLine="480" w:firstLineChars="200"/>
        <w:rPr>
          <w:rFonts w:ascii="宋体" w:hAnsi="宋体" w:cs="宋体"/>
          <w:sz w:val="24"/>
        </w:rPr>
      </w:pPr>
      <w:r>
        <w:rPr>
          <w:rFonts w:hint="eastAsia" w:ascii="宋体" w:hAnsi="宋体" w:cs="宋体"/>
          <w:sz w:val="24"/>
        </w:rPr>
        <w:t>2.代理人参加报价时，需携带法定代表人授权委托书和本人身份证原件。</w:t>
      </w:r>
    </w:p>
    <w:p>
      <w:pPr>
        <w:snapToGrid w:val="0"/>
        <w:spacing w:line="360" w:lineRule="auto"/>
        <w:ind w:firstLine="480" w:firstLineChars="200"/>
        <w:rPr>
          <w:rFonts w:ascii="宋体" w:hAnsi="宋体" w:cs="宋体"/>
          <w:sz w:val="24"/>
        </w:rPr>
      </w:pPr>
    </w:p>
    <w:bookmarkEnd w:id="65"/>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bookmarkStart w:id="66" w:name="_Toc59000743"/>
      <w:r>
        <w:rPr>
          <w:rFonts w:hint="eastAsia" w:ascii="黑体" w:hAnsi="宋体" w:eastAsia="黑体"/>
          <w:bCs/>
          <w:color w:val="000000" w:themeColor="text1"/>
          <w:sz w:val="24"/>
          <w:szCs w:val="24"/>
          <w14:textFill>
            <w14:solidFill>
              <w14:schemeClr w14:val="tx1"/>
            </w14:solidFill>
          </w14:textFill>
        </w:rPr>
        <w:t>（五）具备履行合同所必需的设备和专业技术能力的书面声明（格式）</w:t>
      </w:r>
    </w:p>
    <w:p>
      <w:pPr>
        <w:widowControl/>
        <w:jc w:val="left"/>
        <w:rPr>
          <w:rFonts w:ascii="黑体" w:hAnsi="宋体" w:eastAsia="黑体"/>
          <w:bCs/>
          <w:sz w:val="24"/>
          <w:szCs w:val="24"/>
        </w:rPr>
      </w:pPr>
    </w:p>
    <w:p>
      <w:pPr>
        <w:widowControl/>
        <w:jc w:val="left"/>
        <w:rPr>
          <w:rFonts w:ascii="黑体" w:hAnsi="宋体" w:eastAsia="黑体"/>
          <w:bCs/>
          <w:sz w:val="24"/>
          <w:szCs w:val="24"/>
        </w:rPr>
      </w:pPr>
    </w:p>
    <w:p>
      <w:pPr>
        <w:pStyle w:val="127"/>
      </w:pPr>
      <w:r>
        <w:rPr>
          <w:rFonts w:hint="eastAsia"/>
        </w:rPr>
        <w:t>具备履行合同所必需的设备和专业技术能力的书面声明</w:t>
      </w:r>
      <w:bookmarkEnd w:id="66"/>
    </w:p>
    <w:p/>
    <w:p>
      <w:pPr>
        <w:spacing w:line="360" w:lineRule="auto"/>
        <w:ind w:firstLine="480" w:firstLineChars="200"/>
        <w:rPr>
          <w:rFonts w:ascii="宋体" w:hAnsi="宋体"/>
          <w:bCs/>
          <w:sz w:val="24"/>
        </w:rPr>
      </w:pPr>
      <w:r>
        <w:rPr>
          <w:rFonts w:hint="eastAsia" w:ascii="宋体" w:hAnsi="宋体"/>
          <w:bCs/>
          <w:sz w:val="24"/>
        </w:rPr>
        <w:t>我单位郑重声明：我单位具备履行本项采购合同所必需的设备和专业技术能力，为履行本项采购合同我单位具备如下主要设备和主要专业技术能力：</w:t>
      </w:r>
    </w:p>
    <w:p>
      <w:pPr>
        <w:spacing w:line="360" w:lineRule="auto"/>
        <w:ind w:firstLine="480" w:firstLineChars="200"/>
        <w:rPr>
          <w:rFonts w:ascii="宋体" w:hAnsi="宋体"/>
          <w:bCs/>
          <w:sz w:val="24"/>
        </w:rPr>
      </w:pPr>
      <w:r>
        <w:rPr>
          <w:rFonts w:hint="eastAsia" w:ascii="宋体" w:hAnsi="宋体"/>
          <w:bCs/>
          <w:sz w:val="24"/>
        </w:rPr>
        <w:t xml:space="preserve">主要设备有：            </w:t>
      </w:r>
    </w:p>
    <w:p>
      <w:pPr>
        <w:spacing w:line="360" w:lineRule="auto"/>
        <w:ind w:firstLine="480" w:firstLineChars="200"/>
        <w:rPr>
          <w:rFonts w:ascii="宋体" w:hAnsi="宋体"/>
          <w:bCs/>
          <w:sz w:val="24"/>
        </w:rPr>
      </w:pPr>
      <w:r>
        <w:rPr>
          <w:rFonts w:hint="eastAsia" w:ascii="宋体" w:hAnsi="宋体"/>
          <w:bCs/>
          <w:sz w:val="24"/>
        </w:rPr>
        <w:t xml:space="preserve">主要专业技术能力有：  </w:t>
      </w:r>
    </w:p>
    <w:p>
      <w:pPr>
        <w:spacing w:line="460" w:lineRule="exact"/>
        <w:rPr>
          <w:rFonts w:ascii="宋体" w:hAnsi="宋体"/>
          <w:bCs/>
          <w:sz w:val="24"/>
        </w:rPr>
      </w:pPr>
    </w:p>
    <w:p>
      <w:pPr>
        <w:spacing w:line="460" w:lineRule="exact"/>
        <w:rPr>
          <w:rFonts w:ascii="宋体" w:hAnsi="宋体"/>
          <w:bCs/>
          <w:sz w:val="24"/>
        </w:rPr>
      </w:pPr>
    </w:p>
    <w:p>
      <w:pPr>
        <w:spacing w:line="460" w:lineRule="exact"/>
        <w:ind w:firstLine="3120" w:firstLineChars="1300"/>
        <w:jc w:val="left"/>
        <w:rPr>
          <w:rFonts w:ascii="宋体" w:hAnsi="宋体"/>
          <w:bCs/>
          <w:sz w:val="24"/>
        </w:rPr>
      </w:pPr>
      <w:r>
        <w:rPr>
          <w:rFonts w:hint="eastAsia" w:ascii="宋体" w:hAnsi="宋体"/>
          <w:bCs/>
          <w:sz w:val="24"/>
        </w:rPr>
        <w:t>单位名称（公章）：</w:t>
      </w:r>
    </w:p>
    <w:p>
      <w:pPr>
        <w:spacing w:line="460" w:lineRule="exact"/>
        <w:ind w:firstLine="3120" w:firstLineChars="1300"/>
        <w:jc w:val="left"/>
        <w:rPr>
          <w:rFonts w:ascii="宋体" w:hAnsi="宋体"/>
          <w:bCs/>
          <w:sz w:val="24"/>
        </w:rPr>
      </w:pPr>
      <w:r>
        <w:rPr>
          <w:rFonts w:hint="eastAsia" w:ascii="宋体" w:hAnsi="宋体"/>
          <w:bCs/>
          <w:sz w:val="24"/>
        </w:rPr>
        <w:t>法定代表人或代理人（签字或盖章）：_____________</w:t>
      </w:r>
    </w:p>
    <w:p>
      <w:pPr>
        <w:spacing w:line="460" w:lineRule="exact"/>
        <w:ind w:firstLine="3120" w:firstLineChars="1300"/>
        <w:jc w:val="left"/>
        <w:rPr>
          <w:rFonts w:ascii="宋体" w:hAnsi="宋体"/>
          <w:bCs/>
          <w:sz w:val="24"/>
        </w:rPr>
      </w:pPr>
      <w:r>
        <w:rPr>
          <w:rFonts w:hint="eastAsia" w:ascii="宋体" w:hAnsi="宋体"/>
          <w:bCs/>
          <w:sz w:val="24"/>
        </w:rPr>
        <w:t>日期：______年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widowControl/>
        <w:jc w:val="left"/>
        <w:rPr>
          <w:rFonts w:ascii="黑体" w:hAnsi="宋体" w:eastAsia="黑体"/>
          <w:bCs/>
          <w:color w:val="000000" w:themeColor="text1"/>
          <w:sz w:val="24"/>
          <w:szCs w:val="24"/>
          <w14:textFill>
            <w14:solidFill>
              <w14:schemeClr w14:val="tx1"/>
            </w14:solidFill>
          </w14:textFill>
        </w:rPr>
      </w:pPr>
    </w:p>
    <w:p>
      <w:pPr>
        <w:spacing w:line="580" w:lineRule="exact"/>
        <w:ind w:firstLine="480" w:firstLineChars="200"/>
        <w:jc w:val="left"/>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widowControl/>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br w:type="page"/>
      </w:r>
    </w:p>
    <w:p>
      <w:pPr>
        <w:widowControl/>
        <w:jc w:val="left"/>
        <w:rPr>
          <w:rFonts w:ascii="宋体" w:hAnsi="宋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（六）参加政府采购活动前 3 年内在经营活动中没有重大违法记录的书面声明</w:t>
      </w:r>
      <w:r>
        <w:rPr>
          <w:rFonts w:hint="eastAsia" w:ascii="黑体" w:hAnsi="黑体" w:eastAsia="黑体"/>
          <w:sz w:val="24"/>
          <w:szCs w:val="24"/>
        </w:rPr>
        <w:t>（格式）</w:t>
      </w:r>
    </w:p>
    <w:p>
      <w:pPr>
        <w:spacing w:line="580" w:lineRule="exact"/>
        <w:rPr>
          <w:rFonts w:ascii="黑体" w:hAnsi="宋体" w:eastAsia="黑体"/>
          <w:bCs/>
          <w:color w:val="000000" w:themeColor="text1"/>
          <w:sz w:val="24"/>
          <w:szCs w:val="24"/>
          <w14:textFill>
            <w14:solidFill>
              <w14:schemeClr w14:val="tx1"/>
            </w14:solidFill>
          </w14:textFill>
        </w:rPr>
      </w:pPr>
    </w:p>
    <w:p>
      <w:pPr>
        <w:pStyle w:val="127"/>
      </w:pPr>
      <w:bookmarkStart w:id="67" w:name="_Toc59000745"/>
      <w:r>
        <w:rPr>
          <w:rFonts w:hint="eastAsia"/>
        </w:rPr>
        <w:t>参加政府采购活动前 3 年内在经营活动中没有重大违法记录的书面声明</w:t>
      </w:r>
      <w:bookmarkEnd w:id="67"/>
    </w:p>
    <w:p>
      <w:pPr>
        <w:pStyle w:val="127"/>
      </w:pPr>
    </w:p>
    <w:p>
      <w:pPr>
        <w:spacing w:line="560" w:lineRule="exact"/>
        <w:rPr>
          <w:rFonts w:ascii="宋体" w:hAnsi="宋体"/>
          <w:b/>
          <w:bCs/>
          <w:sz w:val="36"/>
          <w:szCs w:val="36"/>
        </w:rPr>
      </w:pPr>
      <w:r>
        <w:rPr>
          <w:rFonts w:hint="eastAsia" w:ascii="宋体" w:hAnsi="宋体"/>
          <w:b/>
          <w:bCs/>
          <w:sz w:val="32"/>
          <w:szCs w:val="32"/>
        </w:rPr>
        <w:t xml:space="preserve">                       </w:t>
      </w:r>
      <w:r>
        <w:rPr>
          <w:rFonts w:hint="eastAsia" w:ascii="宋体" w:hAnsi="宋体"/>
          <w:b/>
          <w:bCs/>
          <w:sz w:val="36"/>
          <w:szCs w:val="36"/>
        </w:rPr>
        <w:t xml:space="preserve">    声  明 </w:t>
      </w:r>
    </w:p>
    <w:p>
      <w:pPr>
        <w:spacing w:line="560" w:lineRule="exact"/>
        <w:rPr>
          <w:rFonts w:ascii="宋体" w:hAnsi="宋体"/>
          <w:b/>
          <w:bCs/>
          <w:sz w:val="32"/>
          <w:szCs w:val="32"/>
        </w:rPr>
      </w:pPr>
    </w:p>
    <w:p>
      <w:pPr>
        <w:snapToGrid w:val="0"/>
        <w:spacing w:line="360" w:lineRule="auto"/>
        <w:ind w:firstLine="480" w:firstLineChars="200"/>
        <w:rPr>
          <w:rFonts w:ascii="宋体" w:hAnsi="宋体"/>
          <w:sz w:val="24"/>
        </w:rPr>
      </w:pPr>
      <w:r>
        <w:rPr>
          <w:rFonts w:hint="eastAsia" w:ascii="宋体" w:hAnsi="宋体"/>
          <w:sz w:val="24"/>
        </w:rPr>
        <w:t>我</w:t>
      </w:r>
      <w:r>
        <w:rPr>
          <w:rFonts w:hint="eastAsia"/>
          <w:sz w:val="24"/>
        </w:rPr>
        <w:t>单位</w:t>
      </w:r>
      <w:r>
        <w:rPr>
          <w:rFonts w:hint="eastAsia" w:ascii="宋体" w:hAnsi="宋体"/>
          <w:sz w:val="24"/>
        </w:rPr>
        <w:t>郑重声明：参加本次政府采购活动前 3 年内，我</w:t>
      </w:r>
      <w:r>
        <w:rPr>
          <w:rFonts w:hint="eastAsia"/>
          <w:sz w:val="24"/>
        </w:rPr>
        <w:t>单位</w:t>
      </w:r>
      <w:r>
        <w:rPr>
          <w:rFonts w:hint="eastAsia" w:ascii="宋体" w:hAnsi="宋体"/>
          <w:sz w:val="24"/>
        </w:rPr>
        <w:t>在经营活动中没有因违法经营受到刑事处罚或者责令停产停业、吊销许可证或者执照、较大数额罚款等行政处罚。</w:t>
      </w:r>
    </w:p>
    <w:p>
      <w:pPr>
        <w:snapToGrid w:val="0"/>
        <w:spacing w:line="460" w:lineRule="exact"/>
        <w:rPr>
          <w:rFonts w:ascii="宋体" w:hAnsi="宋体"/>
          <w:sz w:val="24"/>
        </w:rPr>
      </w:pPr>
      <w:r>
        <w:rPr>
          <w:rFonts w:hint="eastAsia" w:ascii="宋体" w:hAnsi="宋体"/>
          <w:sz w:val="24"/>
        </w:rPr>
        <w:t xml:space="preserve">    </w:t>
      </w:r>
    </w:p>
    <w:p>
      <w:pPr>
        <w:snapToGrid w:val="0"/>
        <w:spacing w:line="460" w:lineRule="exact"/>
        <w:ind w:firstLine="3120" w:firstLineChars="1300"/>
        <w:rPr>
          <w:rFonts w:ascii="宋体" w:hAnsi="宋体"/>
          <w:sz w:val="24"/>
        </w:rPr>
      </w:pPr>
      <w:r>
        <w:rPr>
          <w:rFonts w:hint="eastAsia" w:ascii="宋体" w:hAnsi="宋体"/>
          <w:sz w:val="24"/>
        </w:rPr>
        <w:t>单位名称（公章）：</w:t>
      </w:r>
    </w:p>
    <w:p>
      <w:pPr>
        <w:snapToGrid w:val="0"/>
        <w:spacing w:line="460" w:lineRule="exact"/>
        <w:rPr>
          <w:rFonts w:ascii="宋体" w:hAnsi="宋体"/>
          <w:sz w:val="24"/>
        </w:rPr>
      </w:pPr>
      <w:r>
        <w:rPr>
          <w:rFonts w:hint="eastAsia" w:ascii="宋体" w:hAnsi="宋体"/>
          <w:sz w:val="24"/>
        </w:rPr>
        <w:t xml:space="preserve">                          法定代表人或代理人（签字或盖章）：_______________</w:t>
      </w:r>
    </w:p>
    <w:p>
      <w:pPr>
        <w:spacing w:line="560" w:lineRule="exact"/>
        <w:ind w:firstLine="495"/>
        <w:rPr>
          <w:rFonts w:ascii="宋体" w:hAnsi="宋体"/>
          <w:sz w:val="24"/>
        </w:rPr>
      </w:pPr>
      <w:r>
        <w:rPr>
          <w:rFonts w:hint="eastAsia" w:ascii="宋体" w:hAnsi="宋体"/>
          <w:sz w:val="24"/>
        </w:rPr>
        <w:t xml:space="preserve">                      日期: ______年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widowControl/>
        <w:jc w:val="left"/>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（七）、项目人员配置表</w:t>
      </w:r>
      <w:r>
        <w:rPr>
          <w:rFonts w:hint="eastAsia" w:ascii="黑体" w:hAnsi="黑体" w:eastAsia="黑体"/>
          <w:sz w:val="24"/>
          <w:szCs w:val="24"/>
        </w:rPr>
        <w:t>（格式）</w:t>
      </w:r>
    </w:p>
    <w:p>
      <w:pPr>
        <w:spacing w:line="360" w:lineRule="auto"/>
        <w:ind w:firstLine="480" w:firstLineChars="200"/>
        <w:rPr>
          <w:color w:val="000000" w:themeColor="text1"/>
          <w:sz w:val="24"/>
          <w:szCs w:val="24"/>
          <w14:textFill>
            <w14:solidFill>
              <w14:schemeClr w14:val="tx1"/>
            </w14:solidFill>
          </w14:textFill>
        </w:rPr>
      </w:pPr>
    </w:p>
    <w:p>
      <w:pPr>
        <w:jc w:val="center"/>
        <w:rPr>
          <w:rFonts w:ascii="黑体" w:hAnsi="黑体" w:eastAsia="黑体"/>
          <w:sz w:val="28"/>
          <w:szCs w:val="28"/>
        </w:rPr>
      </w:pPr>
      <w:r>
        <w:rPr>
          <w:rFonts w:ascii="黑体" w:hAnsi="黑体" w:eastAsia="黑体"/>
          <w:sz w:val="28"/>
          <w:szCs w:val="28"/>
        </w:rPr>
        <w:t>项目人员配置</w:t>
      </w:r>
      <w:r>
        <w:rPr>
          <w:rFonts w:hint="eastAsia" w:ascii="黑体" w:hAnsi="黑体" w:eastAsia="黑体"/>
          <w:sz w:val="28"/>
          <w:szCs w:val="28"/>
        </w:rPr>
        <w:t>表</w:t>
      </w:r>
    </w:p>
    <w:p>
      <w:pPr>
        <w:ind w:firstLine="840" w:firstLineChars="350"/>
        <w:rPr>
          <w:rFonts w:ascii="黑体" w:hAnsi="Calibri" w:eastAsia="黑体"/>
          <w:bCs/>
          <w:sz w:val="24"/>
          <w:szCs w:val="24"/>
          <w:u w:val="single"/>
        </w:rPr>
      </w:pPr>
      <w:r>
        <w:rPr>
          <w:rFonts w:hint="eastAsia" w:ascii="黑体" w:hAnsi="Calibri" w:eastAsia="黑体"/>
          <w:bCs/>
          <w:sz w:val="24"/>
          <w:szCs w:val="24"/>
        </w:rPr>
        <w:t>供应商名称（盖章）：</w:t>
      </w:r>
      <w:r>
        <w:rPr>
          <w:rFonts w:hint="eastAsia" w:ascii="黑体" w:hAnsi="Calibri" w:eastAsia="黑体"/>
          <w:bCs/>
          <w:sz w:val="24"/>
          <w:szCs w:val="24"/>
          <w:u w:val="single"/>
        </w:rPr>
        <w:t xml:space="preserve">                </w:t>
      </w:r>
      <w:r>
        <w:rPr>
          <w:rFonts w:hint="eastAsia" w:ascii="黑体" w:hAnsi="Calibri" w:eastAsia="黑体"/>
          <w:bCs/>
          <w:sz w:val="24"/>
          <w:szCs w:val="24"/>
        </w:rPr>
        <w:t xml:space="preserve">      采购项目编号：</w:t>
      </w:r>
      <w:r>
        <w:rPr>
          <w:rFonts w:hint="eastAsia" w:ascii="黑体" w:hAnsi="Calibri" w:eastAsia="黑体"/>
          <w:bCs/>
          <w:sz w:val="24"/>
          <w:szCs w:val="24"/>
          <w:u w:val="single"/>
        </w:rPr>
        <w:t xml:space="preserve">              </w:t>
      </w:r>
    </w:p>
    <w:p>
      <w:pPr>
        <w:ind w:firstLine="840" w:firstLineChars="350"/>
        <w:rPr>
          <w:rFonts w:ascii="黑体" w:hAnsi="Calibri" w:eastAsia="黑体"/>
          <w:bCs/>
          <w:sz w:val="24"/>
          <w:szCs w:val="24"/>
        </w:rPr>
      </w:pPr>
    </w:p>
    <w:tbl>
      <w:tblPr>
        <w:tblStyle w:val="31"/>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139"/>
        <w:gridCol w:w="1134"/>
        <w:gridCol w:w="2126"/>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112" w:type="dxa"/>
            <w:vAlign w:val="center"/>
          </w:tcPr>
          <w:p>
            <w:pPr>
              <w:jc w:val="center"/>
              <w:rPr>
                <w:rFonts w:ascii="Calibri" w:hAnsi="Calibri"/>
                <w:b/>
                <w:sz w:val="24"/>
              </w:rPr>
            </w:pPr>
            <w:r>
              <w:rPr>
                <w:rFonts w:hint="eastAsia" w:ascii="Calibri" w:hAnsi="Calibri"/>
                <w:b/>
                <w:sz w:val="24"/>
              </w:rPr>
              <w:t>序号</w:t>
            </w:r>
          </w:p>
        </w:tc>
        <w:tc>
          <w:tcPr>
            <w:tcW w:w="2139" w:type="dxa"/>
            <w:vAlign w:val="center"/>
          </w:tcPr>
          <w:p>
            <w:pPr>
              <w:jc w:val="center"/>
              <w:rPr>
                <w:rFonts w:ascii="Calibri" w:hAnsi="Calibri"/>
                <w:b/>
                <w:sz w:val="24"/>
              </w:rPr>
            </w:pPr>
            <w:r>
              <w:rPr>
                <w:rFonts w:hint="eastAsia" w:ascii="Calibri" w:hAnsi="Calibri"/>
                <w:b/>
                <w:sz w:val="24"/>
              </w:rPr>
              <w:t>姓名</w:t>
            </w:r>
          </w:p>
        </w:tc>
        <w:tc>
          <w:tcPr>
            <w:tcW w:w="1134" w:type="dxa"/>
            <w:vAlign w:val="center"/>
          </w:tcPr>
          <w:p>
            <w:pPr>
              <w:jc w:val="center"/>
              <w:rPr>
                <w:rFonts w:ascii="Calibri" w:hAnsi="Calibri"/>
                <w:b/>
                <w:sz w:val="24"/>
              </w:rPr>
            </w:pPr>
            <w:r>
              <w:rPr>
                <w:rFonts w:hint="eastAsia" w:ascii="Calibri" w:hAnsi="Calibri"/>
                <w:b/>
                <w:sz w:val="24"/>
              </w:rPr>
              <w:t>年龄</w:t>
            </w:r>
          </w:p>
        </w:tc>
        <w:tc>
          <w:tcPr>
            <w:tcW w:w="2126" w:type="dxa"/>
            <w:vAlign w:val="center"/>
          </w:tcPr>
          <w:p>
            <w:pPr>
              <w:jc w:val="center"/>
              <w:rPr>
                <w:rFonts w:ascii="Calibri" w:hAnsi="Calibri"/>
                <w:b/>
                <w:sz w:val="24"/>
              </w:rPr>
            </w:pPr>
            <w:r>
              <w:rPr>
                <w:rFonts w:hint="eastAsia" w:ascii="Calibri" w:hAnsi="Calibri"/>
                <w:b/>
                <w:sz w:val="24"/>
              </w:rPr>
              <w:t>本项目职责</w:t>
            </w:r>
          </w:p>
        </w:tc>
        <w:tc>
          <w:tcPr>
            <w:tcW w:w="1689" w:type="dxa"/>
            <w:vAlign w:val="center"/>
          </w:tcPr>
          <w:p>
            <w:pPr>
              <w:jc w:val="center"/>
              <w:rPr>
                <w:rFonts w:ascii="Calibri" w:hAnsi="Calibri"/>
                <w:b/>
                <w:sz w:val="24"/>
              </w:rPr>
            </w:pPr>
            <w:r>
              <w:rPr>
                <w:rFonts w:hint="eastAsia" w:ascii="Calibri" w:hAnsi="Calibri"/>
                <w:b/>
                <w:sz w:val="24"/>
              </w:rPr>
              <w:t>持有证书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黑体" w:hAnsi="Calibri" w:eastAsia="黑体"/>
                <w:bCs/>
                <w:sz w:val="24"/>
                <w:szCs w:val="24"/>
              </w:rPr>
            </w:pPr>
          </w:p>
        </w:tc>
        <w:tc>
          <w:tcPr>
            <w:tcW w:w="1689" w:type="dxa"/>
          </w:tcPr>
          <w:p>
            <w:pPr>
              <w:jc w:val="center"/>
              <w:outlineLvl w:val="0"/>
              <w:rPr>
                <w:rFonts w:ascii="黑体" w:hAnsi="Calibri" w:eastAsia="黑体"/>
                <w:bCs/>
                <w:sz w:val="24"/>
                <w:szCs w:val="24"/>
              </w:rPr>
            </w:pPr>
          </w:p>
        </w:tc>
      </w:tr>
    </w:tbl>
    <w:p>
      <w:pPr>
        <w:rPr>
          <w:rFonts w:ascii="Calibri" w:hAnsi="Calibri"/>
          <w:b/>
          <w:bCs/>
          <w:color w:val="000000"/>
          <w:sz w:val="24"/>
          <w:szCs w:val="24"/>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bCs/>
          <w:color w:val="000000"/>
          <w:szCs w:val="21"/>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 表格不够可自行延长。</w:t>
      </w:r>
    </w:p>
    <w:p>
      <w:pPr>
        <w:spacing w:line="560" w:lineRule="exact"/>
        <w:rPr>
          <w:rFonts w:ascii="宋体" w:hAnsi="宋体"/>
          <w:bCs/>
          <w:sz w:val="24"/>
        </w:rPr>
      </w:pPr>
      <w:r>
        <w:br w:type="page"/>
      </w:r>
    </w:p>
    <w:bookmarkEnd w:id="61"/>
    <w:p>
      <w:pPr>
        <w:widowControl/>
        <w:jc w:val="left"/>
        <w:rPr>
          <w:rFonts w:asciiTheme="minorEastAsia" w:hAnsiTheme="minorEastAsia"/>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（八）疫情期间参与政府采购活动开评标人员健康信息登记表</w:t>
      </w:r>
    </w:p>
    <w:p>
      <w:pPr>
        <w:jc w:val="center"/>
        <w:rPr>
          <w:rFonts w:ascii="Times New Roman" w:hAnsi="Times New Roman"/>
          <w:b/>
          <w:color w:val="000000"/>
          <w:sz w:val="28"/>
          <w:szCs w:val="28"/>
        </w:rPr>
      </w:pPr>
    </w:p>
    <w:p>
      <w:pPr>
        <w:spacing w:line="360" w:lineRule="auto"/>
        <w:jc w:val="center"/>
        <w:rPr>
          <w:rFonts w:ascii="黑体" w:hAnsi="黑体" w:eastAsia="黑体"/>
          <w:color w:val="000000"/>
          <w:sz w:val="28"/>
          <w:szCs w:val="28"/>
        </w:rPr>
      </w:pPr>
      <w:r>
        <w:rPr>
          <w:rFonts w:hint="eastAsia" w:ascii="黑体" w:hAnsi="黑体" w:eastAsia="黑体"/>
          <w:color w:val="000000"/>
          <w:sz w:val="28"/>
          <w:szCs w:val="28"/>
        </w:rPr>
        <w:t>疫情期间参与政府采购活动开评标人员健康信息登记表</w:t>
      </w:r>
    </w:p>
    <w:tbl>
      <w:tblPr>
        <w:tblStyle w:val="31"/>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姓名</w:t>
            </w:r>
          </w:p>
        </w:tc>
        <w:tc>
          <w:tcPr>
            <w:tcW w:w="1582" w:type="dxa"/>
            <w:vAlign w:val="center"/>
          </w:tcPr>
          <w:p>
            <w:pPr>
              <w:jc w:val="center"/>
              <w:rPr>
                <w:rFonts w:ascii="宋体" w:hAnsi="宋体"/>
                <w:sz w:val="24"/>
              </w:rPr>
            </w:pPr>
          </w:p>
        </w:tc>
        <w:tc>
          <w:tcPr>
            <w:tcW w:w="1537" w:type="dxa"/>
            <w:gridSpan w:val="3"/>
            <w:vAlign w:val="center"/>
          </w:tcPr>
          <w:p>
            <w:pPr>
              <w:jc w:val="center"/>
              <w:rPr>
                <w:rFonts w:ascii="宋体" w:hAnsi="宋体"/>
                <w:sz w:val="24"/>
              </w:rPr>
            </w:pPr>
            <w:r>
              <w:rPr>
                <w:rFonts w:hint="eastAsia" w:ascii="宋体" w:hAnsi="宋体"/>
                <w:sz w:val="24"/>
              </w:rPr>
              <w:t>身份证号码</w:t>
            </w:r>
          </w:p>
        </w:tc>
        <w:tc>
          <w:tcPr>
            <w:tcW w:w="348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单位地址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个人住址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单位电话</w:t>
            </w:r>
          </w:p>
        </w:tc>
        <w:tc>
          <w:tcPr>
            <w:tcW w:w="2142" w:type="dxa"/>
            <w:gridSpan w:val="3"/>
            <w:vAlign w:val="center"/>
          </w:tcPr>
          <w:p>
            <w:pPr>
              <w:jc w:val="center"/>
              <w:rPr>
                <w:rFonts w:ascii="宋体" w:hAnsi="宋体"/>
                <w:sz w:val="24"/>
              </w:rPr>
            </w:pPr>
          </w:p>
        </w:tc>
        <w:tc>
          <w:tcPr>
            <w:tcW w:w="1545" w:type="dxa"/>
            <w:gridSpan w:val="2"/>
            <w:vAlign w:val="center"/>
          </w:tcPr>
          <w:p>
            <w:pPr>
              <w:jc w:val="center"/>
              <w:rPr>
                <w:rFonts w:ascii="宋体" w:hAnsi="宋体"/>
                <w:sz w:val="24"/>
              </w:rPr>
            </w:pPr>
            <w:r>
              <w:rPr>
                <w:rFonts w:hint="eastAsia" w:ascii="宋体" w:hAnsi="宋体"/>
                <w:sz w:val="24"/>
              </w:rPr>
              <w:t>个人手机</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人员身份</w:t>
            </w:r>
          </w:p>
        </w:tc>
        <w:tc>
          <w:tcPr>
            <w:tcW w:w="6601" w:type="dxa"/>
            <w:gridSpan w:val="6"/>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jc w:val="left"/>
              <w:rPr>
                <w:rFonts w:ascii="宋体" w:hAnsi="宋体"/>
                <w:sz w:val="24"/>
              </w:rPr>
            </w:pPr>
            <w:r>
              <w:rPr>
                <w:rFonts w:hint="eastAsia" w:ascii="宋体" w:hAnsi="宋体"/>
                <w:sz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项目名称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u w:val="single"/>
              </w:rPr>
            </w:pPr>
            <w:r>
              <w:rPr>
                <w:rFonts w:hint="eastAsia" w:ascii="宋体" w:hAnsi="宋体"/>
                <w:sz w:val="24"/>
              </w:rPr>
              <w:t>□否     □是 ，到达时间为：</w:t>
            </w:r>
            <w:r>
              <w:rPr>
                <w:rFonts w:hint="eastAsia" w:ascii="宋体" w:hAnsi="宋体"/>
                <w:sz w:val="24"/>
                <w:u w:val="single"/>
              </w:rPr>
              <w:t xml:space="preserve"> </w:t>
            </w:r>
            <w:r>
              <w:rPr>
                <w:rFonts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离开常州往</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返常日期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途径（换乘）</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途径日期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pStyle w:val="109"/>
              <w:numPr>
                <w:ilvl w:val="0"/>
                <w:numId w:val="11"/>
              </w:numPr>
              <w:ind w:firstLineChars="0"/>
              <w:jc w:val="center"/>
              <w:rPr>
                <w:rFonts w:ascii="宋体" w:hAnsi="宋体"/>
                <w:sz w:val="24"/>
              </w:rPr>
            </w:pPr>
            <w:r>
              <w:rPr>
                <w:rFonts w:hint="eastAsia" w:ascii="宋体" w:hAnsi="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297" w:type="dxa"/>
            <w:gridSpan w:val="7"/>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sz w:val="24"/>
              </w:rPr>
            </w:pPr>
            <w:r>
              <w:rPr>
                <w:rFonts w:hint="eastAsia"/>
                <w:sz w:val="24"/>
              </w:rPr>
              <w:t>单位（公章）：</w:t>
            </w:r>
          </w:p>
          <w:p>
            <w:pPr>
              <w:ind w:firstLine="4920" w:firstLineChars="2050"/>
              <w:jc w:val="left"/>
              <w:rPr>
                <w:sz w:val="24"/>
              </w:rPr>
            </w:pPr>
            <w:r>
              <w:rPr>
                <w:rFonts w:hint="eastAsia" w:ascii="宋体" w:hAnsi="宋体"/>
                <w:sz w:val="24"/>
              </w:rPr>
              <w:t>日期：</w:t>
            </w:r>
          </w:p>
        </w:tc>
      </w:tr>
    </w:tbl>
    <w:p>
      <w:pPr>
        <w:spacing w:line="360" w:lineRule="auto"/>
        <w:rPr>
          <w:rFonts w:ascii="宋体" w:hAnsi="宋体" w:eastAsia="宋体" w:cs="宋体"/>
          <w:b/>
          <w:sz w:val="24"/>
          <w:szCs w:val="24"/>
        </w:rPr>
      </w:pPr>
      <w:r>
        <w:rPr>
          <w:rFonts w:hint="eastAsia" w:ascii="宋体" w:hAnsi="宋体" w:eastAsia="宋体" w:cs="宋体"/>
          <w:b/>
          <w:sz w:val="24"/>
          <w:szCs w:val="24"/>
        </w:rPr>
        <w:t>存在瞒报或审查不严的企业，一经发现将严肃处理，在诚信体系中予以记录，并报有关部门依法追究责任。</w:t>
      </w:r>
    </w:p>
    <w:p>
      <w:pPr>
        <w:widowControl/>
        <w:jc w:val="left"/>
        <w:rPr>
          <w:color w:val="000000" w:themeColor="text1"/>
          <w:sz w:val="24"/>
          <w:szCs w:val="24"/>
          <w14:textFill>
            <w14:solidFill>
              <w14:schemeClr w14:val="tx1"/>
            </w14:solidFill>
          </w14:textFill>
        </w:rPr>
      </w:pPr>
    </w:p>
    <w:p>
      <w:pPr>
        <w:widowControl/>
        <w:jc w:val="left"/>
      </w:pPr>
      <w:r>
        <w:br w:type="page"/>
      </w:r>
    </w:p>
    <w:p>
      <w:pPr>
        <w:pStyle w:val="121"/>
      </w:pPr>
      <w:bookmarkStart w:id="68" w:name="_Toc70512796"/>
      <w:r>
        <w:rPr>
          <w:rFonts w:hint="eastAsia"/>
        </w:rPr>
        <w:t>友 情 提 醒</w:t>
      </w:r>
      <w:bookmarkEnd w:id="68"/>
    </w:p>
    <w:p>
      <w:pPr>
        <w:spacing w:line="360" w:lineRule="auto"/>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各供应商：</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您好！</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为了提高贵单位的响应文件的有效性，减少不必要的无效</w:t>
      </w:r>
      <w:r>
        <w:rPr>
          <w:rFonts w:hint="eastAsia" w:eastAsia="宋体"/>
          <w:color w:val="000000" w:themeColor="text1"/>
          <w:sz w:val="24"/>
          <w:szCs w:val="24"/>
          <w14:textFill>
            <w14:solidFill>
              <w14:schemeClr w14:val="tx1"/>
            </w14:solidFill>
          </w14:textFill>
        </w:rPr>
        <w:t>报价</w:t>
      </w:r>
      <w:r>
        <w:rPr>
          <w:rFonts w:eastAsia="宋体"/>
          <w:color w:val="000000" w:themeColor="text1"/>
          <w:sz w:val="24"/>
          <w:szCs w:val="24"/>
          <w14:textFill>
            <w14:solidFill>
              <w14:schemeClr w14:val="tx1"/>
            </w14:solidFill>
          </w14:textFill>
        </w:rPr>
        <w:t>，特友情提醒注意以下几点：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请谨记采购文件上表述的各项事宜时间节点，特别是开标时间和地点，迟到的将一律不能进入开标室。</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响应文件应按要求密封，并在封袋上加盖供应商公章。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响应文件须按采购文件《二、供应商须知》及《六、响应文件格式》中相关要求装订、密封、标记、盖章和签署。响应文件封袋须加盖供应商公章。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响应文件中的证明文件及资料需提供复印件并加盖公章，有要求提供原件或公证件的必须将原件或公证件携带至开标现场备查或核查。</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需要提供样品的，请严格按采购文件要求提供，同时注意密封、隐蔽标签的相关要求。</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因采购文件文字表述有限，鼓励您现场踏勘，可以在投标前充分了解现场环境、项目进度和质量要求等信息，为贵单位有针对性的制作响应文件积累充分的原始资料。</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设定最高限价的，超过限价一律废标。</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8.</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请精心仔细审阅采购文件，特别是加粗部分的文字。如有疑问，请按采购文件要求进行询疑。</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 xml:space="preserve">我单位十分欢迎贵单位对招标采购组织工作提出宝贵意见和建议。电话：0519-86661066  </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最后祝贵单位投标成功！</w:t>
      </w:r>
    </w:p>
    <w:p>
      <w:pPr>
        <w:spacing w:line="360" w:lineRule="auto"/>
        <w:ind w:firstLine="480" w:firstLineChars="200"/>
        <w:rPr>
          <w:rFonts w:eastAsia="宋体"/>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本采购文件的最终解释权归常州中采招投标有限公司所有。</w:t>
      </w:r>
    </w:p>
    <w:p>
      <w:pPr>
        <w:spacing w:line="36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（全文完）</w:t>
      </w:r>
    </w:p>
    <w:sectPr>
      <w:headerReference r:id="rId11" w:type="first"/>
      <w:footerReference r:id="rId13" w:type="first"/>
      <w:headerReference r:id="rId9" w:type="default"/>
      <w:footerReference r:id="rId12" w:type="default"/>
      <w:headerReference r:id="rId10" w:type="even"/>
      <w:pgSz w:w="11906" w:h="16838"/>
      <w:pgMar w:top="1109" w:right="851" w:bottom="1135" w:left="1134" w:header="426" w:footer="543"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1</w:t>
    </w:r>
    <w:r>
      <w:rPr>
        <w:rStyle w:val="35"/>
      </w:rPr>
      <w:fldChar w:fldCharType="end"/>
    </w:r>
  </w:p>
  <w:p>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6144368"/>
    </w:sdtPr>
    <w:sdtContent>
      <w:sdt>
        <w:sdtPr>
          <w:id w:val="591365474"/>
        </w:sdtPr>
        <w:sdtContent>
          <w:p>
            <w:pPr>
              <w:pStyle w:val="20"/>
              <w:jc w:val="center"/>
            </w:pPr>
            <w:r>
              <w:rPr>
                <w:rFonts w:asciiTheme="minorEastAsia" w:hAnsiTheme="minorEastAsia" w:eastAsiaTheme="minorEastAsia"/>
                <w:sz w:val="21"/>
                <w:szCs w:val="21"/>
                <w:lang w:val="zh-CN"/>
              </w:rPr>
              <w:t xml:space="preserve"> 第</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23</w:t>
            </w:r>
            <w:r>
              <w:rPr>
                <w:rFonts w:asciiTheme="minorEastAsia" w:hAnsiTheme="minorEastAsia" w:eastAsiaTheme="minorEastAsia"/>
                <w:bCs/>
                <w:sz w:val="21"/>
                <w:szCs w:val="21"/>
              </w:rPr>
              <w:fldChar w:fldCharType="end"/>
            </w:r>
            <w:r>
              <w:rPr>
                <w:rFonts w:asciiTheme="minorEastAsia" w:hAnsiTheme="minorEastAsia" w:eastAsiaTheme="minorEastAsia"/>
                <w:bCs/>
                <w:sz w:val="21"/>
                <w:szCs w:val="21"/>
              </w:rPr>
              <w:t>页</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 xml:space="preserve"> </w:t>
            </w:r>
            <w:r>
              <w:rPr>
                <w:rFonts w:asciiTheme="minorEastAsia" w:hAnsiTheme="minorEastAsia" w:eastAsiaTheme="minorEastAsia"/>
                <w:sz w:val="21"/>
                <w:szCs w:val="21"/>
                <w:lang w:val="zh-CN"/>
              </w:rPr>
              <w:t xml:space="preserve">共 </w:t>
            </w:r>
            <w:r>
              <w:rPr>
                <w:rFonts w:hint="eastAsia" w:asciiTheme="minorEastAsia" w:hAnsiTheme="minorEastAsia" w:eastAsiaTheme="minorEastAsia"/>
                <w:bCs/>
                <w:sz w:val="21"/>
                <w:szCs w:val="21"/>
              </w:rPr>
              <w:t>4</w:t>
            </w:r>
            <w:r>
              <w:rPr>
                <w:rFonts w:hint="eastAsia" w:asciiTheme="minorEastAsia" w:hAnsiTheme="minorEastAsia" w:eastAsiaTheme="minorEastAsia"/>
                <w:bCs/>
                <w:sz w:val="21"/>
                <w:szCs w:val="21"/>
                <w:lang w:val="en-US" w:eastAsia="zh-CN"/>
              </w:rPr>
              <w:t>5</w:t>
            </w:r>
            <w:r>
              <w:rPr>
                <w:rFonts w:asciiTheme="minorEastAsia" w:hAnsiTheme="minorEastAsia" w:eastAsiaTheme="minorEastAsia"/>
                <w:bCs/>
                <w:sz w:val="21"/>
                <w:szCs w:val="21"/>
              </w:rPr>
              <w:t>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100909"/>
    </w:sdtPr>
    <w:sdtContent>
      <w:sdt>
        <w:sdtPr>
          <w:id w:val="-1669238322"/>
        </w:sdtPr>
        <w:sdtContent>
          <w:p>
            <w:pPr>
              <w:pStyle w:val="20"/>
              <w:jc w:val="cente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47</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 xml:space="preserve"> 页，</w:t>
            </w:r>
            <w:r>
              <w:rPr>
                <w:rFonts w:hint="eastAsia" w:asciiTheme="minorEastAsia" w:hAnsiTheme="minorEastAsia" w:eastAsiaTheme="minorEastAsia"/>
                <w:sz w:val="21"/>
                <w:szCs w:val="21"/>
                <w:lang w:val="zh-CN"/>
              </w:rPr>
              <w:t>共</w:t>
            </w:r>
            <w:r>
              <w:rPr>
                <w:rFonts w:asciiTheme="minorEastAsia" w:hAnsiTheme="minorEastAsia" w:eastAsiaTheme="minorEastAsia"/>
                <w:sz w:val="21"/>
                <w:szCs w:val="21"/>
                <w:lang w:val="zh-CN"/>
              </w:rPr>
              <w:t xml:space="preserve"> </w:t>
            </w:r>
            <w:r>
              <w:rPr>
                <w:rFonts w:hint="eastAsia" w:asciiTheme="minorEastAsia" w:hAnsiTheme="minorEastAsia" w:eastAsiaTheme="minorEastAsia"/>
                <w:bCs/>
                <w:sz w:val="21"/>
                <w:szCs w:val="21"/>
              </w:rPr>
              <w:t>45页</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5"/>
      </w:rPr>
      <w:id w:val="-368604791"/>
    </w:sdtPr>
    <w:sdtEndPr>
      <w:rPr>
        <w:rStyle w:val="35"/>
      </w:rPr>
    </w:sdtEndPr>
    <w:sdtContent>
      <w:p>
        <w:pPr>
          <w:pStyle w:val="20"/>
          <w:framePr w:wrap="around" w:vAnchor="text" w:hAnchor="margin" w:xAlign="center" w:y="1"/>
          <w:rPr>
            <w:rStyle w:val="35"/>
          </w:rPr>
        </w:pPr>
        <w:r>
          <w:rPr>
            <w:rStyle w:val="35"/>
          </w:rPr>
          <w:fldChar w:fldCharType="begin"/>
        </w:r>
        <w:r>
          <w:rPr>
            <w:rStyle w:val="35"/>
          </w:rPr>
          <w:instrText xml:space="preserve"> PAGE </w:instrText>
        </w:r>
        <w:r>
          <w:rPr>
            <w:rStyle w:val="35"/>
          </w:rPr>
          <w:fldChar w:fldCharType="separate"/>
        </w:r>
        <w:r>
          <w:rPr>
            <w:rStyle w:val="35"/>
          </w:rPr>
          <w:t>1</w:t>
        </w:r>
        <w:r>
          <w:rPr>
            <w:rStyle w:val="35"/>
          </w:rP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2"/>
      </w:pBdr>
      <w:ind w:right="-2"/>
      <w:jc w:val="both"/>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4384" behindDoc="0" locked="0" layoutInCell="1" allowOverlap="1">
          <wp:simplePos x="0" y="0"/>
          <wp:positionH relativeFrom="column">
            <wp:posOffset>2124075</wp:posOffset>
          </wp:positionH>
          <wp:positionV relativeFrom="paragraph">
            <wp:posOffset>-64770</wp:posOffset>
          </wp:positionV>
          <wp:extent cx="2016760" cy="2044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60950" cy="5080000"/>
          <wp:effectExtent l="0" t="0" r="6350" b="6350"/>
          <wp:wrapNone/>
          <wp:docPr id="10"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5408" behindDoc="0" locked="0" layoutInCell="1" allowOverlap="1">
          <wp:simplePos x="0" y="0"/>
          <wp:positionH relativeFrom="column">
            <wp:posOffset>1972945</wp:posOffset>
          </wp:positionH>
          <wp:positionV relativeFrom="paragraph">
            <wp:posOffset>-56515</wp:posOffset>
          </wp:positionV>
          <wp:extent cx="2016760" cy="204470"/>
          <wp:effectExtent l="0" t="0" r="2540" b="508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left" w:pos="6795"/>
        <w:tab w:val="right" w:pos="8789"/>
      </w:tabs>
      <w:snapToGrid w:val="0"/>
      <w:ind w:right="55"/>
      <w:jc w:val="left"/>
      <w:rPr>
        <w:rFonts w:ascii="华文新魏" w:hAnsi="华文新魏" w:eastAsia="华文新魏" w:cs="Times New Roman"/>
        <w:kern w:val="0"/>
        <w:szCs w:val="21"/>
      </w:rPr>
    </w:pPr>
    <w:r>
      <w:rPr>
        <w:rFonts w:ascii="华文新魏" w:hAnsi="华文新魏" w:eastAsia="华文新魏" w:cs="Times New Roman"/>
        <w:kern w:val="0"/>
        <w:szCs w:val="21"/>
      </w:rPr>
      <w:tab/>
    </w:r>
    <w:r>
      <w:rPr>
        <w:rFonts w:ascii="华文新魏" w:hAnsi="华文新魏" w:eastAsia="华文新魏" w:cs="Times New Roman"/>
        <w:kern w:val="0"/>
        <w:szCs w:val="21"/>
      </w:rPr>
      <w:tab/>
    </w:r>
    <w:r>
      <w:rPr>
        <w:rFonts w:ascii="华文新魏" w:hAnsi="华文新魏" w:eastAsia="华文新魏" w:cs="Times New Roman"/>
        <w:kern w:val="0"/>
        <w:szCs w:val="21"/>
      </w:rPr>
      <w:tab/>
    </w:r>
    <w:r>
      <w:rPr>
        <w:rFonts w:hint="eastAsia" w:ascii="华文新魏" w:hAnsi="华文新魏" w:eastAsia="华文新魏" w:cs="Times New Roman"/>
        <w:kern w:val="0"/>
        <w:szCs w:val="21"/>
      </w:rPr>
      <w:drawing>
        <wp:anchor distT="0" distB="0" distL="114300" distR="114300" simplePos="0" relativeHeight="251659264" behindDoc="0" locked="0" layoutInCell="1" allowOverlap="1">
          <wp:simplePos x="0" y="0"/>
          <wp:positionH relativeFrom="column">
            <wp:posOffset>2122170</wp:posOffset>
          </wp:positionH>
          <wp:positionV relativeFrom="paragraph">
            <wp:posOffset>-43180</wp:posOffset>
          </wp:positionV>
          <wp:extent cx="2016760" cy="204470"/>
          <wp:effectExtent l="0" t="0" r="2540" b="508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3360" behindDoc="0" locked="0" layoutInCell="1" allowOverlap="1">
          <wp:simplePos x="0" y="0"/>
          <wp:positionH relativeFrom="column">
            <wp:posOffset>2343150</wp:posOffset>
          </wp:positionH>
          <wp:positionV relativeFrom="paragraph">
            <wp:posOffset>-55245</wp:posOffset>
          </wp:positionV>
          <wp:extent cx="2016760" cy="20447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60950" cy="5080000"/>
          <wp:effectExtent l="0" t="0" r="0" b="0"/>
          <wp:wrapNone/>
          <wp:docPr id="7" name="图片 7"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60950" cy="5080000"/>
          <wp:effectExtent l="0" t="0" r="0" b="0"/>
          <wp:wrapNone/>
          <wp:docPr id="6"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B0B0B"/>
    <w:multiLevelType w:val="singleLevel"/>
    <w:tmpl w:val="BDFB0B0B"/>
    <w:lvl w:ilvl="0" w:tentative="0">
      <w:start w:val="2"/>
      <w:numFmt w:val="decimal"/>
      <w:suff w:val="nothing"/>
      <w:lvlText w:val="%1、"/>
      <w:lvlJc w:val="left"/>
    </w:lvl>
  </w:abstractNum>
  <w:abstractNum w:abstractNumId="1">
    <w:nsid w:val="CD9D611A"/>
    <w:multiLevelType w:val="singleLevel"/>
    <w:tmpl w:val="CD9D611A"/>
    <w:lvl w:ilvl="0" w:tentative="0">
      <w:start w:val="2"/>
      <w:numFmt w:val="chineseCounting"/>
      <w:suff w:val="nothing"/>
      <w:lvlText w:val="%1、"/>
      <w:lvlJc w:val="left"/>
      <w:rPr>
        <w:rFonts w:hint="eastAsia"/>
      </w:rPr>
    </w:lvl>
  </w:abstractNum>
  <w:abstractNum w:abstractNumId="2">
    <w:nsid w:val="D1C017B6"/>
    <w:multiLevelType w:val="singleLevel"/>
    <w:tmpl w:val="D1C017B6"/>
    <w:lvl w:ilvl="0" w:tentative="0">
      <w:start w:val="1"/>
      <w:numFmt w:val="decimal"/>
      <w:suff w:val="nothing"/>
      <w:lvlText w:val="%1）"/>
      <w:lvlJc w:val="left"/>
    </w:lvl>
  </w:abstractNum>
  <w:abstractNum w:abstractNumId="3">
    <w:nsid w:val="F64611CA"/>
    <w:multiLevelType w:val="singleLevel"/>
    <w:tmpl w:val="F64611CA"/>
    <w:lvl w:ilvl="0" w:tentative="0">
      <w:start w:val="1"/>
      <w:numFmt w:val="decimal"/>
      <w:suff w:val="nothing"/>
      <w:lvlText w:val="%1、"/>
      <w:lvlJc w:val="left"/>
    </w:lvl>
  </w:abstractNum>
  <w:abstractNum w:abstractNumId="4">
    <w:nsid w:val="085007CF"/>
    <w:multiLevelType w:val="multilevel"/>
    <w:tmpl w:val="085007CF"/>
    <w:lvl w:ilvl="0" w:tentative="0">
      <w:start w:val="1"/>
      <w:numFmt w:val="decimal"/>
      <w:lvlText w:val="%1."/>
      <w:lvlJc w:val="left"/>
      <w:pPr>
        <w:tabs>
          <w:tab w:val="left" w:pos="3255"/>
        </w:tabs>
        <w:ind w:left="3255" w:hanging="420"/>
      </w:pPr>
      <w:rPr>
        <w:rFonts w:cs="Times New Roman"/>
      </w:rPr>
    </w:lvl>
    <w:lvl w:ilvl="1" w:tentative="0">
      <w:start w:val="1"/>
      <w:numFmt w:val="decimal"/>
      <w:lvlText w:val="（%2）"/>
      <w:lvlJc w:val="left"/>
      <w:pPr>
        <w:tabs>
          <w:tab w:val="left" w:pos="990"/>
        </w:tabs>
        <w:ind w:left="990" w:hanging="360"/>
      </w:pPr>
      <w:rPr>
        <w:rFonts w:ascii="宋体" w:hAnsi="宋体" w:eastAsia="宋体" w:cs="Times New Roman"/>
        <w:color w:val="auto"/>
        <w:lang w:val="en-US"/>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5">
    <w:nsid w:val="1595E331"/>
    <w:multiLevelType w:val="singleLevel"/>
    <w:tmpl w:val="1595E331"/>
    <w:lvl w:ilvl="0" w:tentative="0">
      <w:start w:val="1"/>
      <w:numFmt w:val="decimal"/>
      <w:suff w:val="nothing"/>
      <w:lvlText w:val="%1、"/>
      <w:lvlJc w:val="left"/>
    </w:lvl>
  </w:abstractNum>
  <w:abstractNum w:abstractNumId="6">
    <w:nsid w:val="4B320AA5"/>
    <w:multiLevelType w:val="multilevel"/>
    <w:tmpl w:val="4B320AA5"/>
    <w:lvl w:ilvl="0" w:tentative="0">
      <w:start w:val="1"/>
      <w:numFmt w:val="decimalEnclosedCircle"/>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7">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8">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1D54D18"/>
    <w:multiLevelType w:val="multilevel"/>
    <w:tmpl w:val="71D54D18"/>
    <w:lvl w:ilvl="0" w:tentative="0">
      <w:start w:val="1"/>
      <w:numFmt w:val="upperLetter"/>
      <w:pStyle w:val="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781E7A82"/>
    <w:multiLevelType w:val="multilevel"/>
    <w:tmpl w:val="781E7A82"/>
    <w:lvl w:ilvl="0" w:tentative="0">
      <w:start w:val="2016"/>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4"/>
  </w:num>
  <w:num w:numId="3">
    <w:abstractNumId w:val="7"/>
  </w:num>
  <w:num w:numId="4">
    <w:abstractNumId w:val="6"/>
  </w:num>
  <w:num w:numId="5">
    <w:abstractNumId w:val="1"/>
  </w:num>
  <w:num w:numId="6">
    <w:abstractNumId w:val="3"/>
  </w:num>
  <w:num w:numId="7">
    <w:abstractNumId w:val="5"/>
  </w:num>
  <w:num w:numId="8">
    <w:abstractNumId w:val="0"/>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RhZDcxNGIyMWQ0YjQ5NmIyNmM4ODJlN2QyYmYifQ=="/>
  </w:docVars>
  <w:rsids>
    <w:rsidRoot w:val="00202940"/>
    <w:rsid w:val="00002CEF"/>
    <w:rsid w:val="000048AE"/>
    <w:rsid w:val="00007D9A"/>
    <w:rsid w:val="00011B5A"/>
    <w:rsid w:val="00013662"/>
    <w:rsid w:val="000207AD"/>
    <w:rsid w:val="00021B35"/>
    <w:rsid w:val="000221B5"/>
    <w:rsid w:val="000237ED"/>
    <w:rsid w:val="00023F37"/>
    <w:rsid w:val="00025A02"/>
    <w:rsid w:val="00025CDA"/>
    <w:rsid w:val="00027136"/>
    <w:rsid w:val="000344CA"/>
    <w:rsid w:val="0003756D"/>
    <w:rsid w:val="00040D3C"/>
    <w:rsid w:val="0004340F"/>
    <w:rsid w:val="000467D6"/>
    <w:rsid w:val="00047F4C"/>
    <w:rsid w:val="00050C6E"/>
    <w:rsid w:val="000532E3"/>
    <w:rsid w:val="000542BD"/>
    <w:rsid w:val="00055659"/>
    <w:rsid w:val="00056FC0"/>
    <w:rsid w:val="00057274"/>
    <w:rsid w:val="0006261F"/>
    <w:rsid w:val="000628AA"/>
    <w:rsid w:val="00064546"/>
    <w:rsid w:val="00064823"/>
    <w:rsid w:val="00064F9E"/>
    <w:rsid w:val="00071CFE"/>
    <w:rsid w:val="00072395"/>
    <w:rsid w:val="000723C6"/>
    <w:rsid w:val="0007466C"/>
    <w:rsid w:val="00085025"/>
    <w:rsid w:val="000853A3"/>
    <w:rsid w:val="0008643C"/>
    <w:rsid w:val="0009001D"/>
    <w:rsid w:val="00090DF6"/>
    <w:rsid w:val="00091725"/>
    <w:rsid w:val="00091930"/>
    <w:rsid w:val="000935DA"/>
    <w:rsid w:val="00096B78"/>
    <w:rsid w:val="000A01C4"/>
    <w:rsid w:val="000A611A"/>
    <w:rsid w:val="000A6A2A"/>
    <w:rsid w:val="000B5A22"/>
    <w:rsid w:val="000B60E3"/>
    <w:rsid w:val="000B7BF4"/>
    <w:rsid w:val="000C394C"/>
    <w:rsid w:val="000C3CE0"/>
    <w:rsid w:val="000D034A"/>
    <w:rsid w:val="000D3354"/>
    <w:rsid w:val="000D7793"/>
    <w:rsid w:val="000D7B2C"/>
    <w:rsid w:val="000E0666"/>
    <w:rsid w:val="000E4CE7"/>
    <w:rsid w:val="000E5708"/>
    <w:rsid w:val="000F08EC"/>
    <w:rsid w:val="000F13DD"/>
    <w:rsid w:val="000F18E1"/>
    <w:rsid w:val="000F3F52"/>
    <w:rsid w:val="000F4EF1"/>
    <w:rsid w:val="000F5E0F"/>
    <w:rsid w:val="000F5F4C"/>
    <w:rsid w:val="00101B15"/>
    <w:rsid w:val="0010372C"/>
    <w:rsid w:val="00105613"/>
    <w:rsid w:val="0010573A"/>
    <w:rsid w:val="001059EA"/>
    <w:rsid w:val="0010690C"/>
    <w:rsid w:val="00110852"/>
    <w:rsid w:val="001111BA"/>
    <w:rsid w:val="00114F5B"/>
    <w:rsid w:val="00116B5C"/>
    <w:rsid w:val="00120495"/>
    <w:rsid w:val="00123E77"/>
    <w:rsid w:val="00125078"/>
    <w:rsid w:val="001313B9"/>
    <w:rsid w:val="00131434"/>
    <w:rsid w:val="0013250F"/>
    <w:rsid w:val="0013265E"/>
    <w:rsid w:val="00132C07"/>
    <w:rsid w:val="00133344"/>
    <w:rsid w:val="00133FEA"/>
    <w:rsid w:val="0013492C"/>
    <w:rsid w:val="00136D32"/>
    <w:rsid w:val="00136D88"/>
    <w:rsid w:val="001370A3"/>
    <w:rsid w:val="0013765A"/>
    <w:rsid w:val="00140402"/>
    <w:rsid w:val="00151AAE"/>
    <w:rsid w:val="00153554"/>
    <w:rsid w:val="00153F19"/>
    <w:rsid w:val="00161412"/>
    <w:rsid w:val="0016169A"/>
    <w:rsid w:val="00161974"/>
    <w:rsid w:val="001623C6"/>
    <w:rsid w:val="00163838"/>
    <w:rsid w:val="001645F2"/>
    <w:rsid w:val="00164C83"/>
    <w:rsid w:val="001661B4"/>
    <w:rsid w:val="00166A1C"/>
    <w:rsid w:val="00166B9F"/>
    <w:rsid w:val="00170876"/>
    <w:rsid w:val="00180119"/>
    <w:rsid w:val="0018151D"/>
    <w:rsid w:val="0018434D"/>
    <w:rsid w:val="00184781"/>
    <w:rsid w:val="00186C2A"/>
    <w:rsid w:val="00186D32"/>
    <w:rsid w:val="0019702C"/>
    <w:rsid w:val="00197209"/>
    <w:rsid w:val="001A0B7A"/>
    <w:rsid w:val="001A3FBC"/>
    <w:rsid w:val="001A4A68"/>
    <w:rsid w:val="001A6D24"/>
    <w:rsid w:val="001A706E"/>
    <w:rsid w:val="001A7A41"/>
    <w:rsid w:val="001B3832"/>
    <w:rsid w:val="001B4A4A"/>
    <w:rsid w:val="001B7080"/>
    <w:rsid w:val="001B76D5"/>
    <w:rsid w:val="001C0091"/>
    <w:rsid w:val="001C0741"/>
    <w:rsid w:val="001C0B47"/>
    <w:rsid w:val="001C0DBC"/>
    <w:rsid w:val="001C1F22"/>
    <w:rsid w:val="001C4F4A"/>
    <w:rsid w:val="001D26CC"/>
    <w:rsid w:val="001D3F66"/>
    <w:rsid w:val="001E0760"/>
    <w:rsid w:val="001E150A"/>
    <w:rsid w:val="001E4668"/>
    <w:rsid w:val="001E4B61"/>
    <w:rsid w:val="001E58C3"/>
    <w:rsid w:val="001E6093"/>
    <w:rsid w:val="001F0A78"/>
    <w:rsid w:val="001F4C40"/>
    <w:rsid w:val="00201347"/>
    <w:rsid w:val="00201A79"/>
    <w:rsid w:val="00202940"/>
    <w:rsid w:val="00202D50"/>
    <w:rsid w:val="0020399D"/>
    <w:rsid w:val="002039D9"/>
    <w:rsid w:val="00203A18"/>
    <w:rsid w:val="00204136"/>
    <w:rsid w:val="00204689"/>
    <w:rsid w:val="00207EEF"/>
    <w:rsid w:val="00220ED1"/>
    <w:rsid w:val="0022401B"/>
    <w:rsid w:val="00226E8B"/>
    <w:rsid w:val="00230B6F"/>
    <w:rsid w:val="00230D81"/>
    <w:rsid w:val="002313E0"/>
    <w:rsid w:val="002372E7"/>
    <w:rsid w:val="00240134"/>
    <w:rsid w:val="002421C7"/>
    <w:rsid w:val="00242E47"/>
    <w:rsid w:val="002445B8"/>
    <w:rsid w:val="0024665D"/>
    <w:rsid w:val="00250429"/>
    <w:rsid w:val="002520C9"/>
    <w:rsid w:val="00255030"/>
    <w:rsid w:val="002578CC"/>
    <w:rsid w:val="00257AFA"/>
    <w:rsid w:val="00260899"/>
    <w:rsid w:val="00261EC1"/>
    <w:rsid w:val="00274DB6"/>
    <w:rsid w:val="00277872"/>
    <w:rsid w:val="00277DD9"/>
    <w:rsid w:val="00280BDD"/>
    <w:rsid w:val="00282792"/>
    <w:rsid w:val="00283719"/>
    <w:rsid w:val="00284350"/>
    <w:rsid w:val="002856D4"/>
    <w:rsid w:val="0028759F"/>
    <w:rsid w:val="002876DA"/>
    <w:rsid w:val="002910AF"/>
    <w:rsid w:val="00294538"/>
    <w:rsid w:val="002946D4"/>
    <w:rsid w:val="00294F38"/>
    <w:rsid w:val="002A00E4"/>
    <w:rsid w:val="002A7AF7"/>
    <w:rsid w:val="002B0BDB"/>
    <w:rsid w:val="002B150D"/>
    <w:rsid w:val="002B4BC3"/>
    <w:rsid w:val="002B5A71"/>
    <w:rsid w:val="002B685A"/>
    <w:rsid w:val="002B6AD1"/>
    <w:rsid w:val="002C6557"/>
    <w:rsid w:val="002D03B7"/>
    <w:rsid w:val="002D3797"/>
    <w:rsid w:val="002D5175"/>
    <w:rsid w:val="002D56D9"/>
    <w:rsid w:val="002D6B2A"/>
    <w:rsid w:val="002D7397"/>
    <w:rsid w:val="002E1DAC"/>
    <w:rsid w:val="002E1F11"/>
    <w:rsid w:val="002E23ED"/>
    <w:rsid w:val="002E2B64"/>
    <w:rsid w:val="002E2D89"/>
    <w:rsid w:val="002E6F43"/>
    <w:rsid w:val="002E7F65"/>
    <w:rsid w:val="002F260C"/>
    <w:rsid w:val="002F2892"/>
    <w:rsid w:val="002F342E"/>
    <w:rsid w:val="002F72C2"/>
    <w:rsid w:val="002F79C7"/>
    <w:rsid w:val="00301DEA"/>
    <w:rsid w:val="00305E08"/>
    <w:rsid w:val="003065D7"/>
    <w:rsid w:val="003128B5"/>
    <w:rsid w:val="003140CE"/>
    <w:rsid w:val="0032309C"/>
    <w:rsid w:val="003245E2"/>
    <w:rsid w:val="003268BA"/>
    <w:rsid w:val="00327E25"/>
    <w:rsid w:val="0033294C"/>
    <w:rsid w:val="003373D3"/>
    <w:rsid w:val="00342126"/>
    <w:rsid w:val="003453B0"/>
    <w:rsid w:val="00345ED2"/>
    <w:rsid w:val="00346850"/>
    <w:rsid w:val="00350549"/>
    <w:rsid w:val="003517F5"/>
    <w:rsid w:val="0035426D"/>
    <w:rsid w:val="00354B67"/>
    <w:rsid w:val="00356747"/>
    <w:rsid w:val="00356F78"/>
    <w:rsid w:val="003606A1"/>
    <w:rsid w:val="00362634"/>
    <w:rsid w:val="003631D4"/>
    <w:rsid w:val="003709CC"/>
    <w:rsid w:val="003724E1"/>
    <w:rsid w:val="00374F99"/>
    <w:rsid w:val="00375644"/>
    <w:rsid w:val="0037573B"/>
    <w:rsid w:val="00387D89"/>
    <w:rsid w:val="003912E4"/>
    <w:rsid w:val="00393FB0"/>
    <w:rsid w:val="003973FB"/>
    <w:rsid w:val="003A0052"/>
    <w:rsid w:val="003A2B32"/>
    <w:rsid w:val="003A30AE"/>
    <w:rsid w:val="003B1C96"/>
    <w:rsid w:val="003B413E"/>
    <w:rsid w:val="003B5D97"/>
    <w:rsid w:val="003B6A60"/>
    <w:rsid w:val="003C0333"/>
    <w:rsid w:val="003C3F5B"/>
    <w:rsid w:val="003C44D1"/>
    <w:rsid w:val="003C46E2"/>
    <w:rsid w:val="003C64FC"/>
    <w:rsid w:val="003C7688"/>
    <w:rsid w:val="003D33EB"/>
    <w:rsid w:val="003D3D61"/>
    <w:rsid w:val="003D7165"/>
    <w:rsid w:val="003E2FFD"/>
    <w:rsid w:val="003F0A6E"/>
    <w:rsid w:val="003F191E"/>
    <w:rsid w:val="003F5DD0"/>
    <w:rsid w:val="0040069E"/>
    <w:rsid w:val="0040123D"/>
    <w:rsid w:val="004037FD"/>
    <w:rsid w:val="004049FA"/>
    <w:rsid w:val="00404C9E"/>
    <w:rsid w:val="0040669C"/>
    <w:rsid w:val="00410F06"/>
    <w:rsid w:val="00412113"/>
    <w:rsid w:val="0041222C"/>
    <w:rsid w:val="004128C0"/>
    <w:rsid w:val="00412CF3"/>
    <w:rsid w:val="00413FED"/>
    <w:rsid w:val="004173ED"/>
    <w:rsid w:val="00420198"/>
    <w:rsid w:val="00421BC3"/>
    <w:rsid w:val="00423A2F"/>
    <w:rsid w:val="00423D1A"/>
    <w:rsid w:val="00426BA9"/>
    <w:rsid w:val="004318E8"/>
    <w:rsid w:val="00433266"/>
    <w:rsid w:val="0043343C"/>
    <w:rsid w:val="004345F2"/>
    <w:rsid w:val="00435500"/>
    <w:rsid w:val="00436F70"/>
    <w:rsid w:val="0044360E"/>
    <w:rsid w:val="004438AB"/>
    <w:rsid w:val="00443AAC"/>
    <w:rsid w:val="00444AD2"/>
    <w:rsid w:val="004466E4"/>
    <w:rsid w:val="00450228"/>
    <w:rsid w:val="004534D3"/>
    <w:rsid w:val="00457796"/>
    <w:rsid w:val="00462729"/>
    <w:rsid w:val="00463218"/>
    <w:rsid w:val="004635E7"/>
    <w:rsid w:val="00463A00"/>
    <w:rsid w:val="004719BA"/>
    <w:rsid w:val="00471E03"/>
    <w:rsid w:val="004737EA"/>
    <w:rsid w:val="00473CE7"/>
    <w:rsid w:val="00475381"/>
    <w:rsid w:val="00476318"/>
    <w:rsid w:val="00481371"/>
    <w:rsid w:val="004829BA"/>
    <w:rsid w:val="00482E88"/>
    <w:rsid w:val="00483830"/>
    <w:rsid w:val="00484AFF"/>
    <w:rsid w:val="00485546"/>
    <w:rsid w:val="0048797F"/>
    <w:rsid w:val="00490A1F"/>
    <w:rsid w:val="00490AE2"/>
    <w:rsid w:val="00491052"/>
    <w:rsid w:val="00492B24"/>
    <w:rsid w:val="00494C86"/>
    <w:rsid w:val="00495540"/>
    <w:rsid w:val="004960B6"/>
    <w:rsid w:val="0049762D"/>
    <w:rsid w:val="004A242D"/>
    <w:rsid w:val="004A27F7"/>
    <w:rsid w:val="004A339B"/>
    <w:rsid w:val="004A4748"/>
    <w:rsid w:val="004A5848"/>
    <w:rsid w:val="004B28CE"/>
    <w:rsid w:val="004B47A7"/>
    <w:rsid w:val="004B5D69"/>
    <w:rsid w:val="004B6848"/>
    <w:rsid w:val="004C0608"/>
    <w:rsid w:val="004C152C"/>
    <w:rsid w:val="004C296E"/>
    <w:rsid w:val="004C4A91"/>
    <w:rsid w:val="004D261A"/>
    <w:rsid w:val="004D48F5"/>
    <w:rsid w:val="004E0145"/>
    <w:rsid w:val="004E1640"/>
    <w:rsid w:val="004E3B03"/>
    <w:rsid w:val="004E41A4"/>
    <w:rsid w:val="004E5FB8"/>
    <w:rsid w:val="004F08E1"/>
    <w:rsid w:val="004F15CD"/>
    <w:rsid w:val="004F243A"/>
    <w:rsid w:val="004F32D8"/>
    <w:rsid w:val="004F4FA2"/>
    <w:rsid w:val="004F580F"/>
    <w:rsid w:val="004F59A2"/>
    <w:rsid w:val="004F7E47"/>
    <w:rsid w:val="00506D80"/>
    <w:rsid w:val="00513459"/>
    <w:rsid w:val="005175EA"/>
    <w:rsid w:val="00521C9B"/>
    <w:rsid w:val="005222A7"/>
    <w:rsid w:val="0052245F"/>
    <w:rsid w:val="00522535"/>
    <w:rsid w:val="00524369"/>
    <w:rsid w:val="00526482"/>
    <w:rsid w:val="00526615"/>
    <w:rsid w:val="00526B1D"/>
    <w:rsid w:val="00527C97"/>
    <w:rsid w:val="0053068B"/>
    <w:rsid w:val="00530AD6"/>
    <w:rsid w:val="0053113B"/>
    <w:rsid w:val="005333BD"/>
    <w:rsid w:val="0053577E"/>
    <w:rsid w:val="005357A9"/>
    <w:rsid w:val="005404BB"/>
    <w:rsid w:val="00542479"/>
    <w:rsid w:val="005430CC"/>
    <w:rsid w:val="00543C1B"/>
    <w:rsid w:val="00544176"/>
    <w:rsid w:val="005445D1"/>
    <w:rsid w:val="00545525"/>
    <w:rsid w:val="00546D8E"/>
    <w:rsid w:val="0055195C"/>
    <w:rsid w:val="005522C5"/>
    <w:rsid w:val="00553339"/>
    <w:rsid w:val="00561A77"/>
    <w:rsid w:val="005626DE"/>
    <w:rsid w:val="0056335D"/>
    <w:rsid w:val="0056576F"/>
    <w:rsid w:val="005658EF"/>
    <w:rsid w:val="00565EB9"/>
    <w:rsid w:val="00570777"/>
    <w:rsid w:val="00570C84"/>
    <w:rsid w:val="005718D8"/>
    <w:rsid w:val="00576301"/>
    <w:rsid w:val="00576367"/>
    <w:rsid w:val="00576D88"/>
    <w:rsid w:val="005823CC"/>
    <w:rsid w:val="00584DE3"/>
    <w:rsid w:val="005856CE"/>
    <w:rsid w:val="005913F0"/>
    <w:rsid w:val="00592696"/>
    <w:rsid w:val="0059393F"/>
    <w:rsid w:val="0059575F"/>
    <w:rsid w:val="005A05DD"/>
    <w:rsid w:val="005A1486"/>
    <w:rsid w:val="005A34BA"/>
    <w:rsid w:val="005A5511"/>
    <w:rsid w:val="005A662E"/>
    <w:rsid w:val="005B1391"/>
    <w:rsid w:val="005B2BBA"/>
    <w:rsid w:val="005B2F1F"/>
    <w:rsid w:val="005B3341"/>
    <w:rsid w:val="005B3F52"/>
    <w:rsid w:val="005B67A5"/>
    <w:rsid w:val="005C05C5"/>
    <w:rsid w:val="005C1267"/>
    <w:rsid w:val="005C1778"/>
    <w:rsid w:val="005C2F0F"/>
    <w:rsid w:val="005C789E"/>
    <w:rsid w:val="005D0719"/>
    <w:rsid w:val="005D3EB4"/>
    <w:rsid w:val="005E140C"/>
    <w:rsid w:val="005E15AD"/>
    <w:rsid w:val="005E4D9F"/>
    <w:rsid w:val="005E53C9"/>
    <w:rsid w:val="005E5BA9"/>
    <w:rsid w:val="005F06CD"/>
    <w:rsid w:val="005F0F16"/>
    <w:rsid w:val="005F3AC4"/>
    <w:rsid w:val="005F4C4E"/>
    <w:rsid w:val="005F59AD"/>
    <w:rsid w:val="005F6732"/>
    <w:rsid w:val="00601A43"/>
    <w:rsid w:val="00601C0F"/>
    <w:rsid w:val="0060276E"/>
    <w:rsid w:val="00603685"/>
    <w:rsid w:val="006045D2"/>
    <w:rsid w:val="00606F49"/>
    <w:rsid w:val="00607CEB"/>
    <w:rsid w:val="00610BFE"/>
    <w:rsid w:val="0061201B"/>
    <w:rsid w:val="00612E01"/>
    <w:rsid w:val="00613CEF"/>
    <w:rsid w:val="00614E3A"/>
    <w:rsid w:val="0061534B"/>
    <w:rsid w:val="0061622D"/>
    <w:rsid w:val="00616B3E"/>
    <w:rsid w:val="006205AA"/>
    <w:rsid w:val="006206E6"/>
    <w:rsid w:val="0062745C"/>
    <w:rsid w:val="00627FF7"/>
    <w:rsid w:val="0063000B"/>
    <w:rsid w:val="00634FB9"/>
    <w:rsid w:val="00635C8B"/>
    <w:rsid w:val="00636C20"/>
    <w:rsid w:val="00636E84"/>
    <w:rsid w:val="00644095"/>
    <w:rsid w:val="006445BC"/>
    <w:rsid w:val="006446A8"/>
    <w:rsid w:val="00646147"/>
    <w:rsid w:val="006469F7"/>
    <w:rsid w:val="006474D8"/>
    <w:rsid w:val="006522E2"/>
    <w:rsid w:val="00656D3B"/>
    <w:rsid w:val="0065723F"/>
    <w:rsid w:val="006605B2"/>
    <w:rsid w:val="00660C5F"/>
    <w:rsid w:val="00660DA3"/>
    <w:rsid w:val="00661355"/>
    <w:rsid w:val="0066527B"/>
    <w:rsid w:val="00675965"/>
    <w:rsid w:val="00676436"/>
    <w:rsid w:val="006777BA"/>
    <w:rsid w:val="0067785E"/>
    <w:rsid w:val="00680DF5"/>
    <w:rsid w:val="0068161F"/>
    <w:rsid w:val="006856D2"/>
    <w:rsid w:val="00691240"/>
    <w:rsid w:val="0069647A"/>
    <w:rsid w:val="00696666"/>
    <w:rsid w:val="0069738B"/>
    <w:rsid w:val="00697621"/>
    <w:rsid w:val="006A7A51"/>
    <w:rsid w:val="006C02D1"/>
    <w:rsid w:val="006C68A2"/>
    <w:rsid w:val="006C6D06"/>
    <w:rsid w:val="006C7D90"/>
    <w:rsid w:val="006D1C29"/>
    <w:rsid w:val="006D3F61"/>
    <w:rsid w:val="006D41F6"/>
    <w:rsid w:val="006D4A4D"/>
    <w:rsid w:val="006D73B5"/>
    <w:rsid w:val="006E38AA"/>
    <w:rsid w:val="006E5FAD"/>
    <w:rsid w:val="006F5130"/>
    <w:rsid w:val="006F545D"/>
    <w:rsid w:val="006F5AEB"/>
    <w:rsid w:val="006F5F68"/>
    <w:rsid w:val="006F62A7"/>
    <w:rsid w:val="006F6F4A"/>
    <w:rsid w:val="006F717D"/>
    <w:rsid w:val="007008D6"/>
    <w:rsid w:val="0070121E"/>
    <w:rsid w:val="007017C2"/>
    <w:rsid w:val="0070333F"/>
    <w:rsid w:val="00704DB6"/>
    <w:rsid w:val="007061C1"/>
    <w:rsid w:val="00710672"/>
    <w:rsid w:val="00715100"/>
    <w:rsid w:val="00722856"/>
    <w:rsid w:val="00723A81"/>
    <w:rsid w:val="00723B1D"/>
    <w:rsid w:val="00723F71"/>
    <w:rsid w:val="00724587"/>
    <w:rsid w:val="00724C4E"/>
    <w:rsid w:val="00727356"/>
    <w:rsid w:val="00731841"/>
    <w:rsid w:val="00731A57"/>
    <w:rsid w:val="00732F82"/>
    <w:rsid w:val="00733BB2"/>
    <w:rsid w:val="0073514C"/>
    <w:rsid w:val="00735757"/>
    <w:rsid w:val="00736C16"/>
    <w:rsid w:val="00736C20"/>
    <w:rsid w:val="00741229"/>
    <w:rsid w:val="00741676"/>
    <w:rsid w:val="00741FF9"/>
    <w:rsid w:val="00743825"/>
    <w:rsid w:val="00744442"/>
    <w:rsid w:val="00745C42"/>
    <w:rsid w:val="007461A4"/>
    <w:rsid w:val="00747BFB"/>
    <w:rsid w:val="00750061"/>
    <w:rsid w:val="00752A59"/>
    <w:rsid w:val="00754655"/>
    <w:rsid w:val="0075660E"/>
    <w:rsid w:val="0076117C"/>
    <w:rsid w:val="00761377"/>
    <w:rsid w:val="00762816"/>
    <w:rsid w:val="00763E37"/>
    <w:rsid w:val="00766BE9"/>
    <w:rsid w:val="00766C58"/>
    <w:rsid w:val="007707FD"/>
    <w:rsid w:val="007760F7"/>
    <w:rsid w:val="00777BC4"/>
    <w:rsid w:val="00782E16"/>
    <w:rsid w:val="00786361"/>
    <w:rsid w:val="0079236A"/>
    <w:rsid w:val="0079249B"/>
    <w:rsid w:val="00792B4C"/>
    <w:rsid w:val="007931AD"/>
    <w:rsid w:val="007949B8"/>
    <w:rsid w:val="007958D4"/>
    <w:rsid w:val="00796065"/>
    <w:rsid w:val="007A2784"/>
    <w:rsid w:val="007A4216"/>
    <w:rsid w:val="007A4CBA"/>
    <w:rsid w:val="007A6C6B"/>
    <w:rsid w:val="007C200A"/>
    <w:rsid w:val="007C7D02"/>
    <w:rsid w:val="007D13A4"/>
    <w:rsid w:val="007D1D8A"/>
    <w:rsid w:val="007D1F93"/>
    <w:rsid w:val="007D2AE4"/>
    <w:rsid w:val="007D3D4F"/>
    <w:rsid w:val="007D409E"/>
    <w:rsid w:val="007D4FDA"/>
    <w:rsid w:val="007D6609"/>
    <w:rsid w:val="007D7487"/>
    <w:rsid w:val="007E7C05"/>
    <w:rsid w:val="007E7CF1"/>
    <w:rsid w:val="007F0718"/>
    <w:rsid w:val="007F08D6"/>
    <w:rsid w:val="007F265F"/>
    <w:rsid w:val="007F288F"/>
    <w:rsid w:val="007F29CE"/>
    <w:rsid w:val="007F2B33"/>
    <w:rsid w:val="007F2EE7"/>
    <w:rsid w:val="007F5F43"/>
    <w:rsid w:val="007F79AD"/>
    <w:rsid w:val="00801153"/>
    <w:rsid w:val="008023B6"/>
    <w:rsid w:val="008057D7"/>
    <w:rsid w:val="00805A17"/>
    <w:rsid w:val="00806C06"/>
    <w:rsid w:val="00807505"/>
    <w:rsid w:val="00811E89"/>
    <w:rsid w:val="008126F6"/>
    <w:rsid w:val="00812E0E"/>
    <w:rsid w:val="00813408"/>
    <w:rsid w:val="00824179"/>
    <w:rsid w:val="00824828"/>
    <w:rsid w:val="00824AC5"/>
    <w:rsid w:val="008317C3"/>
    <w:rsid w:val="008333AB"/>
    <w:rsid w:val="0083444F"/>
    <w:rsid w:val="00842802"/>
    <w:rsid w:val="0084448D"/>
    <w:rsid w:val="00845C90"/>
    <w:rsid w:val="0084602D"/>
    <w:rsid w:val="00846AEC"/>
    <w:rsid w:val="00850AA2"/>
    <w:rsid w:val="0085451C"/>
    <w:rsid w:val="00855D06"/>
    <w:rsid w:val="00856B91"/>
    <w:rsid w:val="00861B70"/>
    <w:rsid w:val="00862560"/>
    <w:rsid w:val="00864082"/>
    <w:rsid w:val="0086457D"/>
    <w:rsid w:val="00865DF8"/>
    <w:rsid w:val="00865EF6"/>
    <w:rsid w:val="008663DF"/>
    <w:rsid w:val="0086672B"/>
    <w:rsid w:val="0086699A"/>
    <w:rsid w:val="008712A3"/>
    <w:rsid w:val="00874EF3"/>
    <w:rsid w:val="00875A1D"/>
    <w:rsid w:val="00875BEC"/>
    <w:rsid w:val="00876B1C"/>
    <w:rsid w:val="00877260"/>
    <w:rsid w:val="0087730C"/>
    <w:rsid w:val="00880BD8"/>
    <w:rsid w:val="00883AEB"/>
    <w:rsid w:val="0088562E"/>
    <w:rsid w:val="0088637D"/>
    <w:rsid w:val="0088663F"/>
    <w:rsid w:val="00890027"/>
    <w:rsid w:val="0089291B"/>
    <w:rsid w:val="00893294"/>
    <w:rsid w:val="00894B56"/>
    <w:rsid w:val="0089599A"/>
    <w:rsid w:val="00896C30"/>
    <w:rsid w:val="0089731A"/>
    <w:rsid w:val="00897357"/>
    <w:rsid w:val="008A15DF"/>
    <w:rsid w:val="008A1C5A"/>
    <w:rsid w:val="008A22E0"/>
    <w:rsid w:val="008A2ECD"/>
    <w:rsid w:val="008A5ECC"/>
    <w:rsid w:val="008A6412"/>
    <w:rsid w:val="008A6AEF"/>
    <w:rsid w:val="008A7FF8"/>
    <w:rsid w:val="008B0C6D"/>
    <w:rsid w:val="008C0E76"/>
    <w:rsid w:val="008C3E2E"/>
    <w:rsid w:val="008C435E"/>
    <w:rsid w:val="008C5372"/>
    <w:rsid w:val="008C6F75"/>
    <w:rsid w:val="008C7558"/>
    <w:rsid w:val="008D075F"/>
    <w:rsid w:val="008D0D50"/>
    <w:rsid w:val="008D1CFF"/>
    <w:rsid w:val="008D480A"/>
    <w:rsid w:val="008E1E9A"/>
    <w:rsid w:val="008E56C2"/>
    <w:rsid w:val="008F1893"/>
    <w:rsid w:val="008F1DE8"/>
    <w:rsid w:val="008F3E0B"/>
    <w:rsid w:val="008F68AC"/>
    <w:rsid w:val="008F727D"/>
    <w:rsid w:val="008F7BCF"/>
    <w:rsid w:val="0090009F"/>
    <w:rsid w:val="00901172"/>
    <w:rsid w:val="009074EF"/>
    <w:rsid w:val="009141DF"/>
    <w:rsid w:val="00914675"/>
    <w:rsid w:val="009152FE"/>
    <w:rsid w:val="009236CD"/>
    <w:rsid w:val="00924DDB"/>
    <w:rsid w:val="00925A6F"/>
    <w:rsid w:val="00932960"/>
    <w:rsid w:val="0093404F"/>
    <w:rsid w:val="00935A8E"/>
    <w:rsid w:val="009409F6"/>
    <w:rsid w:val="00942491"/>
    <w:rsid w:val="00942E16"/>
    <w:rsid w:val="00943480"/>
    <w:rsid w:val="009438D9"/>
    <w:rsid w:val="0094561A"/>
    <w:rsid w:val="00945C18"/>
    <w:rsid w:val="00950746"/>
    <w:rsid w:val="009521C2"/>
    <w:rsid w:val="0095758D"/>
    <w:rsid w:val="00962A10"/>
    <w:rsid w:val="00963166"/>
    <w:rsid w:val="009672D8"/>
    <w:rsid w:val="009705FE"/>
    <w:rsid w:val="009717DD"/>
    <w:rsid w:val="00971CA8"/>
    <w:rsid w:val="00971EF0"/>
    <w:rsid w:val="00971F8D"/>
    <w:rsid w:val="00972BEB"/>
    <w:rsid w:val="0097392D"/>
    <w:rsid w:val="00974255"/>
    <w:rsid w:val="00975B86"/>
    <w:rsid w:val="00976596"/>
    <w:rsid w:val="00977902"/>
    <w:rsid w:val="00980FC6"/>
    <w:rsid w:val="00981606"/>
    <w:rsid w:val="00981814"/>
    <w:rsid w:val="00981F25"/>
    <w:rsid w:val="009842D1"/>
    <w:rsid w:val="00985ECC"/>
    <w:rsid w:val="009863E9"/>
    <w:rsid w:val="00987443"/>
    <w:rsid w:val="0099184F"/>
    <w:rsid w:val="00991BF9"/>
    <w:rsid w:val="00993817"/>
    <w:rsid w:val="0099412D"/>
    <w:rsid w:val="009942E5"/>
    <w:rsid w:val="00994A86"/>
    <w:rsid w:val="00995F4A"/>
    <w:rsid w:val="009A1108"/>
    <w:rsid w:val="009A74B4"/>
    <w:rsid w:val="009A78DF"/>
    <w:rsid w:val="009B25C6"/>
    <w:rsid w:val="009B7BB0"/>
    <w:rsid w:val="009C228A"/>
    <w:rsid w:val="009C5894"/>
    <w:rsid w:val="009C7E4A"/>
    <w:rsid w:val="009D5E5A"/>
    <w:rsid w:val="009D7C01"/>
    <w:rsid w:val="009E0241"/>
    <w:rsid w:val="009E7068"/>
    <w:rsid w:val="009F5499"/>
    <w:rsid w:val="00A02F7E"/>
    <w:rsid w:val="00A03484"/>
    <w:rsid w:val="00A044A8"/>
    <w:rsid w:val="00A10335"/>
    <w:rsid w:val="00A11D6B"/>
    <w:rsid w:val="00A12125"/>
    <w:rsid w:val="00A15462"/>
    <w:rsid w:val="00A16545"/>
    <w:rsid w:val="00A17C62"/>
    <w:rsid w:val="00A24ADC"/>
    <w:rsid w:val="00A2675E"/>
    <w:rsid w:val="00A30862"/>
    <w:rsid w:val="00A311C2"/>
    <w:rsid w:val="00A3237C"/>
    <w:rsid w:val="00A32AF8"/>
    <w:rsid w:val="00A33178"/>
    <w:rsid w:val="00A3373D"/>
    <w:rsid w:val="00A36AB2"/>
    <w:rsid w:val="00A44C50"/>
    <w:rsid w:val="00A45084"/>
    <w:rsid w:val="00A45208"/>
    <w:rsid w:val="00A46430"/>
    <w:rsid w:val="00A47566"/>
    <w:rsid w:val="00A52C98"/>
    <w:rsid w:val="00A52E96"/>
    <w:rsid w:val="00A53ED0"/>
    <w:rsid w:val="00A54422"/>
    <w:rsid w:val="00A63FA0"/>
    <w:rsid w:val="00A70042"/>
    <w:rsid w:val="00A70373"/>
    <w:rsid w:val="00A7044D"/>
    <w:rsid w:val="00A7070F"/>
    <w:rsid w:val="00A74EB5"/>
    <w:rsid w:val="00A75069"/>
    <w:rsid w:val="00A76753"/>
    <w:rsid w:val="00A7765D"/>
    <w:rsid w:val="00A81174"/>
    <w:rsid w:val="00A82858"/>
    <w:rsid w:val="00A83D02"/>
    <w:rsid w:val="00A915B3"/>
    <w:rsid w:val="00A916D0"/>
    <w:rsid w:val="00A922DD"/>
    <w:rsid w:val="00A94252"/>
    <w:rsid w:val="00A94C4E"/>
    <w:rsid w:val="00A95566"/>
    <w:rsid w:val="00A97430"/>
    <w:rsid w:val="00AA0A52"/>
    <w:rsid w:val="00AA1D00"/>
    <w:rsid w:val="00AA6090"/>
    <w:rsid w:val="00AB0A41"/>
    <w:rsid w:val="00AB1AAE"/>
    <w:rsid w:val="00AB2031"/>
    <w:rsid w:val="00AB49D7"/>
    <w:rsid w:val="00AB62BB"/>
    <w:rsid w:val="00AC5887"/>
    <w:rsid w:val="00AC6297"/>
    <w:rsid w:val="00AC68A3"/>
    <w:rsid w:val="00AD1E17"/>
    <w:rsid w:val="00AD2FE6"/>
    <w:rsid w:val="00AD4F7A"/>
    <w:rsid w:val="00AD6A03"/>
    <w:rsid w:val="00AE0BF8"/>
    <w:rsid w:val="00AE18A3"/>
    <w:rsid w:val="00AE1D21"/>
    <w:rsid w:val="00AE2251"/>
    <w:rsid w:val="00AE5201"/>
    <w:rsid w:val="00AF2FCB"/>
    <w:rsid w:val="00AF3353"/>
    <w:rsid w:val="00B0737E"/>
    <w:rsid w:val="00B1059A"/>
    <w:rsid w:val="00B119AC"/>
    <w:rsid w:val="00B15872"/>
    <w:rsid w:val="00B16459"/>
    <w:rsid w:val="00B20C8D"/>
    <w:rsid w:val="00B21D6F"/>
    <w:rsid w:val="00B226FB"/>
    <w:rsid w:val="00B25D0E"/>
    <w:rsid w:val="00B278AB"/>
    <w:rsid w:val="00B31203"/>
    <w:rsid w:val="00B32392"/>
    <w:rsid w:val="00B340F0"/>
    <w:rsid w:val="00B3582B"/>
    <w:rsid w:val="00B404C5"/>
    <w:rsid w:val="00B40679"/>
    <w:rsid w:val="00B41C14"/>
    <w:rsid w:val="00B43A62"/>
    <w:rsid w:val="00B525BD"/>
    <w:rsid w:val="00B57E69"/>
    <w:rsid w:val="00B6010A"/>
    <w:rsid w:val="00B60C02"/>
    <w:rsid w:val="00B64016"/>
    <w:rsid w:val="00B65504"/>
    <w:rsid w:val="00B65957"/>
    <w:rsid w:val="00B66323"/>
    <w:rsid w:val="00B66EA0"/>
    <w:rsid w:val="00B67BE4"/>
    <w:rsid w:val="00B73026"/>
    <w:rsid w:val="00B80449"/>
    <w:rsid w:val="00B91A6A"/>
    <w:rsid w:val="00B92D19"/>
    <w:rsid w:val="00B936D6"/>
    <w:rsid w:val="00B96226"/>
    <w:rsid w:val="00B966ED"/>
    <w:rsid w:val="00BA1EF2"/>
    <w:rsid w:val="00BA2328"/>
    <w:rsid w:val="00BA3FC9"/>
    <w:rsid w:val="00BA708B"/>
    <w:rsid w:val="00BA70CF"/>
    <w:rsid w:val="00BB1B9A"/>
    <w:rsid w:val="00BB3EFD"/>
    <w:rsid w:val="00BB70AD"/>
    <w:rsid w:val="00BC06C8"/>
    <w:rsid w:val="00BC4C05"/>
    <w:rsid w:val="00BC6208"/>
    <w:rsid w:val="00BC67D9"/>
    <w:rsid w:val="00BC723B"/>
    <w:rsid w:val="00BD037E"/>
    <w:rsid w:val="00BD3F67"/>
    <w:rsid w:val="00BD4706"/>
    <w:rsid w:val="00BD4E1B"/>
    <w:rsid w:val="00BD6F4C"/>
    <w:rsid w:val="00BE0257"/>
    <w:rsid w:val="00BE19AA"/>
    <w:rsid w:val="00BE19AC"/>
    <w:rsid w:val="00BE2195"/>
    <w:rsid w:val="00BF00D8"/>
    <w:rsid w:val="00BF10CF"/>
    <w:rsid w:val="00BF2E28"/>
    <w:rsid w:val="00BF4006"/>
    <w:rsid w:val="00BF42C1"/>
    <w:rsid w:val="00BF4DA0"/>
    <w:rsid w:val="00BF582C"/>
    <w:rsid w:val="00BF5BFA"/>
    <w:rsid w:val="00BF67D7"/>
    <w:rsid w:val="00BF6F51"/>
    <w:rsid w:val="00C005AF"/>
    <w:rsid w:val="00C01A0F"/>
    <w:rsid w:val="00C12842"/>
    <w:rsid w:val="00C148F7"/>
    <w:rsid w:val="00C158B9"/>
    <w:rsid w:val="00C16CB1"/>
    <w:rsid w:val="00C206A1"/>
    <w:rsid w:val="00C20E61"/>
    <w:rsid w:val="00C232F5"/>
    <w:rsid w:val="00C23F31"/>
    <w:rsid w:val="00C23FAA"/>
    <w:rsid w:val="00C2723D"/>
    <w:rsid w:val="00C273A9"/>
    <w:rsid w:val="00C3084B"/>
    <w:rsid w:val="00C314A5"/>
    <w:rsid w:val="00C32026"/>
    <w:rsid w:val="00C32179"/>
    <w:rsid w:val="00C33D8C"/>
    <w:rsid w:val="00C3646B"/>
    <w:rsid w:val="00C365AA"/>
    <w:rsid w:val="00C36B02"/>
    <w:rsid w:val="00C40ACA"/>
    <w:rsid w:val="00C42C72"/>
    <w:rsid w:val="00C45685"/>
    <w:rsid w:val="00C46B06"/>
    <w:rsid w:val="00C475D6"/>
    <w:rsid w:val="00C50959"/>
    <w:rsid w:val="00C51638"/>
    <w:rsid w:val="00C52244"/>
    <w:rsid w:val="00C5362D"/>
    <w:rsid w:val="00C570C4"/>
    <w:rsid w:val="00C61569"/>
    <w:rsid w:val="00C61D69"/>
    <w:rsid w:val="00C633A5"/>
    <w:rsid w:val="00C65DBC"/>
    <w:rsid w:val="00C65F6C"/>
    <w:rsid w:val="00C678E0"/>
    <w:rsid w:val="00C718EB"/>
    <w:rsid w:val="00C720A7"/>
    <w:rsid w:val="00C729BC"/>
    <w:rsid w:val="00C731EF"/>
    <w:rsid w:val="00C74828"/>
    <w:rsid w:val="00C752F2"/>
    <w:rsid w:val="00C762E0"/>
    <w:rsid w:val="00C76E8C"/>
    <w:rsid w:val="00C80189"/>
    <w:rsid w:val="00C8063F"/>
    <w:rsid w:val="00C82C3C"/>
    <w:rsid w:val="00C82EA4"/>
    <w:rsid w:val="00C84452"/>
    <w:rsid w:val="00C8468B"/>
    <w:rsid w:val="00C87CC8"/>
    <w:rsid w:val="00C925A2"/>
    <w:rsid w:val="00C93603"/>
    <w:rsid w:val="00C937EB"/>
    <w:rsid w:val="00C9419C"/>
    <w:rsid w:val="00CA228C"/>
    <w:rsid w:val="00CA24DC"/>
    <w:rsid w:val="00CA5CD2"/>
    <w:rsid w:val="00CA6C5E"/>
    <w:rsid w:val="00CB1DFA"/>
    <w:rsid w:val="00CB481B"/>
    <w:rsid w:val="00CB60F5"/>
    <w:rsid w:val="00CB6ED2"/>
    <w:rsid w:val="00CC1A08"/>
    <w:rsid w:val="00CC1F4B"/>
    <w:rsid w:val="00CC234A"/>
    <w:rsid w:val="00CC30B6"/>
    <w:rsid w:val="00CC3E8E"/>
    <w:rsid w:val="00CC4C52"/>
    <w:rsid w:val="00CC6205"/>
    <w:rsid w:val="00CD0B46"/>
    <w:rsid w:val="00CE012D"/>
    <w:rsid w:val="00CE0132"/>
    <w:rsid w:val="00CE1157"/>
    <w:rsid w:val="00CE50DC"/>
    <w:rsid w:val="00CE5BAC"/>
    <w:rsid w:val="00CE79DC"/>
    <w:rsid w:val="00CE7B2C"/>
    <w:rsid w:val="00CF2A13"/>
    <w:rsid w:val="00CF49F4"/>
    <w:rsid w:val="00CF4EF4"/>
    <w:rsid w:val="00D05F26"/>
    <w:rsid w:val="00D14AB0"/>
    <w:rsid w:val="00D151D8"/>
    <w:rsid w:val="00D17E71"/>
    <w:rsid w:val="00D21159"/>
    <w:rsid w:val="00D219B1"/>
    <w:rsid w:val="00D21FF3"/>
    <w:rsid w:val="00D22BDC"/>
    <w:rsid w:val="00D23E46"/>
    <w:rsid w:val="00D24BFB"/>
    <w:rsid w:val="00D26503"/>
    <w:rsid w:val="00D2693E"/>
    <w:rsid w:val="00D26E15"/>
    <w:rsid w:val="00D26E2F"/>
    <w:rsid w:val="00D26E4F"/>
    <w:rsid w:val="00D30EAE"/>
    <w:rsid w:val="00D331C8"/>
    <w:rsid w:val="00D3615A"/>
    <w:rsid w:val="00D36C7E"/>
    <w:rsid w:val="00D419B2"/>
    <w:rsid w:val="00D42742"/>
    <w:rsid w:val="00D437C3"/>
    <w:rsid w:val="00D4430C"/>
    <w:rsid w:val="00D44571"/>
    <w:rsid w:val="00D44CB0"/>
    <w:rsid w:val="00D44D9B"/>
    <w:rsid w:val="00D459B7"/>
    <w:rsid w:val="00D45E41"/>
    <w:rsid w:val="00D52C98"/>
    <w:rsid w:val="00D56FB3"/>
    <w:rsid w:val="00D6434A"/>
    <w:rsid w:val="00D711FC"/>
    <w:rsid w:val="00D71615"/>
    <w:rsid w:val="00D7259C"/>
    <w:rsid w:val="00D73609"/>
    <w:rsid w:val="00D8192E"/>
    <w:rsid w:val="00D85A4A"/>
    <w:rsid w:val="00D86895"/>
    <w:rsid w:val="00D9196A"/>
    <w:rsid w:val="00D9261D"/>
    <w:rsid w:val="00D95F91"/>
    <w:rsid w:val="00D97ACA"/>
    <w:rsid w:val="00D97D84"/>
    <w:rsid w:val="00D97F38"/>
    <w:rsid w:val="00DA2066"/>
    <w:rsid w:val="00DA4302"/>
    <w:rsid w:val="00DA591C"/>
    <w:rsid w:val="00DA5F28"/>
    <w:rsid w:val="00DB0A68"/>
    <w:rsid w:val="00DB1399"/>
    <w:rsid w:val="00DB27C7"/>
    <w:rsid w:val="00DB3378"/>
    <w:rsid w:val="00DB6A15"/>
    <w:rsid w:val="00DB7163"/>
    <w:rsid w:val="00DB72E8"/>
    <w:rsid w:val="00DC2123"/>
    <w:rsid w:val="00DC2181"/>
    <w:rsid w:val="00DC47BA"/>
    <w:rsid w:val="00DC691B"/>
    <w:rsid w:val="00DC7240"/>
    <w:rsid w:val="00DD0983"/>
    <w:rsid w:val="00DD2ED6"/>
    <w:rsid w:val="00DD4FBA"/>
    <w:rsid w:val="00DD5E50"/>
    <w:rsid w:val="00DD6A43"/>
    <w:rsid w:val="00DE0C70"/>
    <w:rsid w:val="00DE5195"/>
    <w:rsid w:val="00DE6763"/>
    <w:rsid w:val="00DF25DE"/>
    <w:rsid w:val="00DF26E9"/>
    <w:rsid w:val="00DF59F7"/>
    <w:rsid w:val="00DF618C"/>
    <w:rsid w:val="00DF62E0"/>
    <w:rsid w:val="00DF671F"/>
    <w:rsid w:val="00DF7896"/>
    <w:rsid w:val="00E018EC"/>
    <w:rsid w:val="00E03BA4"/>
    <w:rsid w:val="00E04524"/>
    <w:rsid w:val="00E06AA0"/>
    <w:rsid w:val="00E10501"/>
    <w:rsid w:val="00E12152"/>
    <w:rsid w:val="00E2007C"/>
    <w:rsid w:val="00E2091D"/>
    <w:rsid w:val="00E217AA"/>
    <w:rsid w:val="00E23555"/>
    <w:rsid w:val="00E3335C"/>
    <w:rsid w:val="00E34CFD"/>
    <w:rsid w:val="00E356D0"/>
    <w:rsid w:val="00E3647A"/>
    <w:rsid w:val="00E376E0"/>
    <w:rsid w:val="00E37852"/>
    <w:rsid w:val="00E41111"/>
    <w:rsid w:val="00E4203F"/>
    <w:rsid w:val="00E42213"/>
    <w:rsid w:val="00E425A1"/>
    <w:rsid w:val="00E425F8"/>
    <w:rsid w:val="00E438A6"/>
    <w:rsid w:val="00E43FFD"/>
    <w:rsid w:val="00E4441D"/>
    <w:rsid w:val="00E46A46"/>
    <w:rsid w:val="00E52199"/>
    <w:rsid w:val="00E52510"/>
    <w:rsid w:val="00E53251"/>
    <w:rsid w:val="00E53D98"/>
    <w:rsid w:val="00E54648"/>
    <w:rsid w:val="00E57E8F"/>
    <w:rsid w:val="00E626CC"/>
    <w:rsid w:val="00E706A0"/>
    <w:rsid w:val="00E71C5E"/>
    <w:rsid w:val="00E773B0"/>
    <w:rsid w:val="00E77453"/>
    <w:rsid w:val="00E82488"/>
    <w:rsid w:val="00E83580"/>
    <w:rsid w:val="00E83988"/>
    <w:rsid w:val="00E85328"/>
    <w:rsid w:val="00E9185C"/>
    <w:rsid w:val="00E926BC"/>
    <w:rsid w:val="00E9365C"/>
    <w:rsid w:val="00EA6787"/>
    <w:rsid w:val="00EA6A80"/>
    <w:rsid w:val="00EB07B1"/>
    <w:rsid w:val="00EB2DF5"/>
    <w:rsid w:val="00EB38DE"/>
    <w:rsid w:val="00EB5776"/>
    <w:rsid w:val="00EB5F33"/>
    <w:rsid w:val="00EB7F8E"/>
    <w:rsid w:val="00EC2E19"/>
    <w:rsid w:val="00EC67D4"/>
    <w:rsid w:val="00EC7871"/>
    <w:rsid w:val="00EC7F1A"/>
    <w:rsid w:val="00EC7FBD"/>
    <w:rsid w:val="00ED1BF6"/>
    <w:rsid w:val="00ED257E"/>
    <w:rsid w:val="00ED290E"/>
    <w:rsid w:val="00ED2D47"/>
    <w:rsid w:val="00ED361F"/>
    <w:rsid w:val="00ED5D78"/>
    <w:rsid w:val="00EE19F1"/>
    <w:rsid w:val="00EE3926"/>
    <w:rsid w:val="00EF0017"/>
    <w:rsid w:val="00EF048E"/>
    <w:rsid w:val="00EF190F"/>
    <w:rsid w:val="00EF19B4"/>
    <w:rsid w:val="00EF33C0"/>
    <w:rsid w:val="00EF3D99"/>
    <w:rsid w:val="00EF4C18"/>
    <w:rsid w:val="00EF5366"/>
    <w:rsid w:val="00EF53AE"/>
    <w:rsid w:val="00EF5DF2"/>
    <w:rsid w:val="00EF6F57"/>
    <w:rsid w:val="00EF7CF5"/>
    <w:rsid w:val="00F01FEB"/>
    <w:rsid w:val="00F0294E"/>
    <w:rsid w:val="00F0340B"/>
    <w:rsid w:val="00F056F4"/>
    <w:rsid w:val="00F05AB4"/>
    <w:rsid w:val="00F13EF7"/>
    <w:rsid w:val="00F14DF3"/>
    <w:rsid w:val="00F204B5"/>
    <w:rsid w:val="00F235A5"/>
    <w:rsid w:val="00F23A32"/>
    <w:rsid w:val="00F26CBC"/>
    <w:rsid w:val="00F27FC4"/>
    <w:rsid w:val="00F31331"/>
    <w:rsid w:val="00F3572C"/>
    <w:rsid w:val="00F371AF"/>
    <w:rsid w:val="00F40892"/>
    <w:rsid w:val="00F4261B"/>
    <w:rsid w:val="00F43789"/>
    <w:rsid w:val="00F45272"/>
    <w:rsid w:val="00F456DA"/>
    <w:rsid w:val="00F45D72"/>
    <w:rsid w:val="00F5641D"/>
    <w:rsid w:val="00F56F14"/>
    <w:rsid w:val="00F61A77"/>
    <w:rsid w:val="00F62790"/>
    <w:rsid w:val="00F62BB8"/>
    <w:rsid w:val="00F65F81"/>
    <w:rsid w:val="00F66FD0"/>
    <w:rsid w:val="00F67465"/>
    <w:rsid w:val="00F67DA1"/>
    <w:rsid w:val="00F7216E"/>
    <w:rsid w:val="00F74AEC"/>
    <w:rsid w:val="00F75850"/>
    <w:rsid w:val="00F81001"/>
    <w:rsid w:val="00F81CA3"/>
    <w:rsid w:val="00F8434F"/>
    <w:rsid w:val="00F85F24"/>
    <w:rsid w:val="00F862F8"/>
    <w:rsid w:val="00F8737D"/>
    <w:rsid w:val="00F9038C"/>
    <w:rsid w:val="00F92044"/>
    <w:rsid w:val="00F92FAD"/>
    <w:rsid w:val="00F949F0"/>
    <w:rsid w:val="00FA0738"/>
    <w:rsid w:val="00FA2E64"/>
    <w:rsid w:val="00FA300B"/>
    <w:rsid w:val="00FA34CE"/>
    <w:rsid w:val="00FA4293"/>
    <w:rsid w:val="00FA71A7"/>
    <w:rsid w:val="00FA7242"/>
    <w:rsid w:val="00FB1F91"/>
    <w:rsid w:val="00FB27B6"/>
    <w:rsid w:val="00FB29A7"/>
    <w:rsid w:val="00FB31C0"/>
    <w:rsid w:val="00FB4E2F"/>
    <w:rsid w:val="00FB5B17"/>
    <w:rsid w:val="00FB5CEF"/>
    <w:rsid w:val="00FB75CE"/>
    <w:rsid w:val="00FC6707"/>
    <w:rsid w:val="00FD2746"/>
    <w:rsid w:val="00FD4C16"/>
    <w:rsid w:val="00FE02D3"/>
    <w:rsid w:val="00FE1B3A"/>
    <w:rsid w:val="00FE48E5"/>
    <w:rsid w:val="00FE684C"/>
    <w:rsid w:val="00FE719E"/>
    <w:rsid w:val="00FE725F"/>
    <w:rsid w:val="00FF020B"/>
    <w:rsid w:val="00FF2191"/>
    <w:rsid w:val="00FF323F"/>
    <w:rsid w:val="00FF4F25"/>
    <w:rsid w:val="00FF543C"/>
    <w:rsid w:val="00FF5693"/>
    <w:rsid w:val="00FF7B14"/>
    <w:rsid w:val="00FF7E9E"/>
    <w:rsid w:val="04216810"/>
    <w:rsid w:val="079A1EA5"/>
    <w:rsid w:val="0BDA5C7F"/>
    <w:rsid w:val="0CC8111A"/>
    <w:rsid w:val="0D095939"/>
    <w:rsid w:val="0E3A09BC"/>
    <w:rsid w:val="181B0164"/>
    <w:rsid w:val="1A012BC5"/>
    <w:rsid w:val="1B8334A3"/>
    <w:rsid w:val="243630DE"/>
    <w:rsid w:val="2443482B"/>
    <w:rsid w:val="261801CB"/>
    <w:rsid w:val="287470E4"/>
    <w:rsid w:val="29C84D44"/>
    <w:rsid w:val="2C9D0FE9"/>
    <w:rsid w:val="2CC11E82"/>
    <w:rsid w:val="2E0208B5"/>
    <w:rsid w:val="30B93DAF"/>
    <w:rsid w:val="32E26AEB"/>
    <w:rsid w:val="339B23CC"/>
    <w:rsid w:val="35C63166"/>
    <w:rsid w:val="37F96FB9"/>
    <w:rsid w:val="38D044A6"/>
    <w:rsid w:val="3A9B2953"/>
    <w:rsid w:val="3ADB5E9B"/>
    <w:rsid w:val="4087134E"/>
    <w:rsid w:val="425B78F8"/>
    <w:rsid w:val="43DF7D46"/>
    <w:rsid w:val="4A7C7370"/>
    <w:rsid w:val="4AB1448F"/>
    <w:rsid w:val="4F703179"/>
    <w:rsid w:val="4F924AA9"/>
    <w:rsid w:val="509269D5"/>
    <w:rsid w:val="543F2900"/>
    <w:rsid w:val="545D0574"/>
    <w:rsid w:val="55DE6837"/>
    <w:rsid w:val="56182331"/>
    <w:rsid w:val="57F54EC7"/>
    <w:rsid w:val="5ACF14DF"/>
    <w:rsid w:val="5E693542"/>
    <w:rsid w:val="5E9E4309"/>
    <w:rsid w:val="5F080BC0"/>
    <w:rsid w:val="61B362BB"/>
    <w:rsid w:val="63263B15"/>
    <w:rsid w:val="68405C75"/>
    <w:rsid w:val="6B984566"/>
    <w:rsid w:val="6C132FB6"/>
    <w:rsid w:val="6DFF2EC7"/>
    <w:rsid w:val="76F50039"/>
    <w:rsid w:val="77203274"/>
    <w:rsid w:val="7D9256E8"/>
    <w:rsid w:val="7FC23E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9"/>
    <w:pPr>
      <w:keepNext/>
      <w:jc w:val="center"/>
      <w:outlineLvl w:val="0"/>
    </w:pPr>
    <w:rPr>
      <w:rFonts w:ascii="楷体_GB2312" w:hAnsi="Times New Roman" w:eastAsia="楷体_GB2312" w:cs="Times New Roman"/>
      <w:b/>
      <w:kern w:val="0"/>
      <w:sz w:val="28"/>
      <w:szCs w:val="20"/>
    </w:rPr>
  </w:style>
  <w:style w:type="paragraph" w:styleId="4">
    <w:name w:val="heading 2"/>
    <w:basedOn w:val="1"/>
    <w:next w:val="1"/>
    <w:link w:val="41"/>
    <w:qFormat/>
    <w:uiPriority w:val="99"/>
    <w:pPr>
      <w:keepNext/>
      <w:jc w:val="center"/>
      <w:outlineLvl w:val="1"/>
    </w:pPr>
    <w:rPr>
      <w:rFonts w:ascii="楷体_GB2312" w:hAnsi="Times New Roman" w:eastAsia="楷体_GB2312" w:cs="Times New Roman"/>
      <w:b/>
      <w:bCs/>
      <w:kern w:val="0"/>
      <w:sz w:val="18"/>
      <w:szCs w:val="20"/>
    </w:rPr>
  </w:style>
  <w:style w:type="paragraph" w:styleId="2">
    <w:name w:val="heading 3"/>
    <w:basedOn w:val="1"/>
    <w:next w:val="1"/>
    <w:link w:val="42"/>
    <w:qFormat/>
    <w:uiPriority w:val="99"/>
    <w:pPr>
      <w:keepNext/>
      <w:jc w:val="center"/>
      <w:outlineLvl w:val="2"/>
    </w:pPr>
    <w:rPr>
      <w:rFonts w:ascii="Times New Roman" w:hAnsi="Times New Roman" w:eastAsia="楷体_GB2312" w:cs="Times New Roman"/>
      <w:b/>
      <w:bCs/>
      <w:kern w:val="0"/>
      <w:sz w:val="15"/>
      <w:szCs w:val="20"/>
    </w:rPr>
  </w:style>
  <w:style w:type="paragraph" w:styleId="5">
    <w:name w:val="heading 4"/>
    <w:basedOn w:val="1"/>
    <w:next w:val="1"/>
    <w:link w:val="43"/>
    <w:qFormat/>
    <w:uiPriority w:val="99"/>
    <w:pPr>
      <w:keepNext/>
      <w:jc w:val="center"/>
      <w:outlineLvl w:val="3"/>
    </w:pPr>
    <w:rPr>
      <w:rFonts w:ascii="Times New Roman" w:hAnsi="Times New Roman" w:eastAsia="楷体_GB2312" w:cs="Times New Roman"/>
      <w:b/>
      <w:bCs/>
      <w:kern w:val="0"/>
      <w:sz w:val="13"/>
      <w:szCs w:val="20"/>
    </w:rPr>
  </w:style>
  <w:style w:type="paragraph" w:styleId="6">
    <w:name w:val="heading 5"/>
    <w:basedOn w:val="1"/>
    <w:next w:val="1"/>
    <w:link w:val="44"/>
    <w:qFormat/>
    <w:uiPriority w:val="99"/>
    <w:pPr>
      <w:keepNext/>
      <w:numPr>
        <w:ilvl w:val="0"/>
        <w:numId w:val="1"/>
      </w:numPr>
      <w:outlineLvl w:val="4"/>
    </w:pPr>
    <w:rPr>
      <w:rFonts w:ascii="楷体_GB2312" w:hAnsi="Times New Roman" w:eastAsia="楷体_GB2312" w:cs="Times New Roman"/>
      <w:bCs/>
      <w:kern w:val="0"/>
      <w:sz w:val="28"/>
      <w:szCs w:val="20"/>
    </w:rPr>
  </w:style>
  <w:style w:type="paragraph" w:styleId="7">
    <w:name w:val="heading 6"/>
    <w:basedOn w:val="1"/>
    <w:next w:val="1"/>
    <w:link w:val="115"/>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1260"/>
      <w:jc w:val="left"/>
    </w:pPr>
    <w:rPr>
      <w:sz w:val="20"/>
      <w:szCs w:val="20"/>
    </w:rPr>
  </w:style>
  <w:style w:type="paragraph" w:styleId="9">
    <w:name w:val="Normal Indent"/>
    <w:basedOn w:val="1"/>
    <w:next w:val="1"/>
    <w:link w:val="123"/>
    <w:qFormat/>
    <w:uiPriority w:val="0"/>
    <w:pPr>
      <w:ind w:firstLine="420"/>
    </w:pPr>
    <w:rPr>
      <w:rFonts w:ascii="Times New Roman" w:hAnsi="Times New Roman" w:eastAsia="宋体" w:cs="Times New Roman"/>
      <w:szCs w:val="20"/>
    </w:rPr>
  </w:style>
  <w:style w:type="paragraph" w:styleId="10">
    <w:name w:val="Document Map"/>
    <w:basedOn w:val="1"/>
    <w:link w:val="105"/>
    <w:semiHidden/>
    <w:qFormat/>
    <w:uiPriority w:val="99"/>
    <w:pPr>
      <w:shd w:val="clear" w:color="auto" w:fill="000080"/>
    </w:pPr>
    <w:rPr>
      <w:rFonts w:ascii="Times New Roman" w:hAnsi="Times New Roman" w:eastAsia="宋体" w:cs="Times New Roman"/>
      <w:kern w:val="0"/>
      <w:sz w:val="20"/>
      <w:szCs w:val="20"/>
    </w:rPr>
  </w:style>
  <w:style w:type="paragraph" w:styleId="11">
    <w:name w:val="annotation text"/>
    <w:basedOn w:val="1"/>
    <w:link w:val="112"/>
    <w:unhideWhenUsed/>
    <w:qFormat/>
    <w:uiPriority w:val="99"/>
    <w:pPr>
      <w:jc w:val="left"/>
    </w:pPr>
  </w:style>
  <w:style w:type="paragraph" w:styleId="12">
    <w:name w:val="Body Text"/>
    <w:basedOn w:val="1"/>
    <w:link w:val="49"/>
    <w:qFormat/>
    <w:uiPriority w:val="99"/>
    <w:rPr>
      <w:rFonts w:ascii="华文中宋" w:hAnsi="Times New Roman" w:eastAsia="华文中宋" w:cs="Times New Roman"/>
      <w:bCs/>
      <w:kern w:val="0"/>
      <w:sz w:val="28"/>
      <w:szCs w:val="20"/>
    </w:rPr>
  </w:style>
  <w:style w:type="paragraph" w:styleId="13">
    <w:name w:val="Body Text Indent"/>
    <w:basedOn w:val="1"/>
    <w:link w:val="46"/>
    <w:qFormat/>
    <w:uiPriority w:val="99"/>
    <w:pPr>
      <w:ind w:firstLine="576"/>
    </w:pPr>
    <w:rPr>
      <w:rFonts w:ascii="Times New Roman" w:hAnsi="Times New Roman" w:eastAsia="宋体" w:cs="Times New Roman"/>
      <w:b/>
      <w:kern w:val="0"/>
      <w:sz w:val="30"/>
      <w:szCs w:val="20"/>
    </w:rPr>
  </w:style>
  <w:style w:type="paragraph" w:styleId="14">
    <w:name w:val="toc 5"/>
    <w:basedOn w:val="1"/>
    <w:next w:val="1"/>
    <w:unhideWhenUsed/>
    <w:qFormat/>
    <w:uiPriority w:val="39"/>
    <w:pPr>
      <w:ind w:left="840"/>
      <w:jc w:val="left"/>
    </w:pPr>
    <w:rPr>
      <w:sz w:val="20"/>
      <w:szCs w:val="20"/>
    </w:rPr>
  </w:style>
  <w:style w:type="paragraph" w:styleId="15">
    <w:name w:val="toc 3"/>
    <w:basedOn w:val="1"/>
    <w:next w:val="1"/>
    <w:unhideWhenUsed/>
    <w:qFormat/>
    <w:uiPriority w:val="39"/>
    <w:pPr>
      <w:ind w:left="420"/>
      <w:jc w:val="left"/>
    </w:pPr>
    <w:rPr>
      <w:sz w:val="20"/>
      <w:szCs w:val="20"/>
    </w:rPr>
  </w:style>
  <w:style w:type="paragraph" w:styleId="16">
    <w:name w:val="toc 8"/>
    <w:basedOn w:val="1"/>
    <w:next w:val="1"/>
    <w:unhideWhenUsed/>
    <w:qFormat/>
    <w:uiPriority w:val="39"/>
    <w:pPr>
      <w:ind w:left="1470"/>
      <w:jc w:val="left"/>
    </w:pPr>
    <w:rPr>
      <w:sz w:val="20"/>
      <w:szCs w:val="20"/>
    </w:rPr>
  </w:style>
  <w:style w:type="paragraph" w:styleId="17">
    <w:name w:val="Date"/>
    <w:basedOn w:val="1"/>
    <w:next w:val="1"/>
    <w:link w:val="45"/>
    <w:qFormat/>
    <w:uiPriority w:val="0"/>
    <w:rPr>
      <w:rFonts w:ascii="Times New Roman" w:hAnsi="Times New Roman" w:eastAsia="黑体" w:cs="Times New Roman"/>
      <w:b/>
      <w:kern w:val="0"/>
      <w:sz w:val="36"/>
      <w:szCs w:val="20"/>
    </w:rPr>
  </w:style>
  <w:style w:type="paragraph" w:styleId="18">
    <w:name w:val="Body Text Indent 2"/>
    <w:basedOn w:val="1"/>
    <w:link w:val="50"/>
    <w:qFormat/>
    <w:uiPriority w:val="99"/>
    <w:pPr>
      <w:ind w:left="900"/>
    </w:pPr>
    <w:rPr>
      <w:rFonts w:ascii="楷体_GB2312" w:hAnsi="Times New Roman" w:eastAsia="楷体_GB2312" w:cs="Times New Roman"/>
      <w:b/>
      <w:kern w:val="0"/>
      <w:sz w:val="28"/>
      <w:szCs w:val="20"/>
    </w:rPr>
  </w:style>
  <w:style w:type="paragraph" w:styleId="19">
    <w:name w:val="Balloon Text"/>
    <w:basedOn w:val="1"/>
    <w:link w:val="111"/>
    <w:unhideWhenUsed/>
    <w:qFormat/>
    <w:uiPriority w:val="99"/>
    <w:rPr>
      <w:rFonts w:ascii="Times New Roman" w:hAnsi="Times New Roman" w:eastAsia="宋体" w:cs="Times New Roman"/>
      <w:sz w:val="18"/>
      <w:szCs w:val="18"/>
    </w:rPr>
  </w:style>
  <w:style w:type="paragraph" w:styleId="20">
    <w:name w:val="footer"/>
    <w:basedOn w:val="1"/>
    <w:link w:val="47"/>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22">
    <w:name w:val="toc 1"/>
    <w:basedOn w:val="1"/>
    <w:next w:val="1"/>
    <w:unhideWhenUsed/>
    <w:qFormat/>
    <w:uiPriority w:val="39"/>
    <w:pPr>
      <w:tabs>
        <w:tab w:val="right" w:leader="dot" w:pos="9911"/>
      </w:tabs>
      <w:jc w:val="left"/>
    </w:pPr>
    <w:rPr>
      <w:rFonts w:eastAsia="黑体"/>
      <w:sz w:val="28"/>
      <w:szCs w:val="28"/>
    </w:rPr>
  </w:style>
  <w:style w:type="paragraph" w:styleId="23">
    <w:name w:val="toc 4"/>
    <w:basedOn w:val="1"/>
    <w:next w:val="1"/>
    <w:unhideWhenUsed/>
    <w:qFormat/>
    <w:uiPriority w:val="39"/>
    <w:pPr>
      <w:ind w:left="630"/>
      <w:jc w:val="left"/>
    </w:pPr>
    <w:rPr>
      <w:sz w:val="20"/>
      <w:szCs w:val="20"/>
    </w:rPr>
  </w:style>
  <w:style w:type="paragraph" w:styleId="24">
    <w:name w:val="toc 6"/>
    <w:basedOn w:val="1"/>
    <w:next w:val="1"/>
    <w:unhideWhenUsed/>
    <w:qFormat/>
    <w:uiPriority w:val="39"/>
    <w:pPr>
      <w:ind w:left="1050"/>
      <w:jc w:val="left"/>
    </w:pPr>
    <w:rPr>
      <w:sz w:val="20"/>
      <w:szCs w:val="20"/>
    </w:rPr>
  </w:style>
  <w:style w:type="paragraph" w:styleId="25">
    <w:name w:val="Body Text Indent 3"/>
    <w:basedOn w:val="1"/>
    <w:link w:val="51"/>
    <w:qFormat/>
    <w:uiPriority w:val="99"/>
    <w:pPr>
      <w:ind w:left="359" w:leftChars="171" w:firstLine="359" w:firstLineChars="171"/>
    </w:pPr>
    <w:rPr>
      <w:rFonts w:ascii="Times New Roman" w:hAnsi="Times New Roman" w:eastAsia="宋体" w:cs="Times New Roman"/>
      <w:kern w:val="0"/>
      <w:sz w:val="20"/>
      <w:szCs w:val="20"/>
    </w:rPr>
  </w:style>
  <w:style w:type="paragraph" w:styleId="26">
    <w:name w:val="toc 2"/>
    <w:basedOn w:val="1"/>
    <w:next w:val="1"/>
    <w:unhideWhenUsed/>
    <w:qFormat/>
    <w:uiPriority w:val="39"/>
    <w:pPr>
      <w:spacing w:before="120"/>
      <w:ind w:left="210"/>
      <w:jc w:val="left"/>
    </w:pPr>
    <w:rPr>
      <w:i/>
      <w:iCs/>
      <w:sz w:val="20"/>
      <w:szCs w:val="20"/>
    </w:rPr>
  </w:style>
  <w:style w:type="paragraph" w:styleId="27">
    <w:name w:val="toc 9"/>
    <w:basedOn w:val="1"/>
    <w:next w:val="1"/>
    <w:unhideWhenUsed/>
    <w:qFormat/>
    <w:uiPriority w:val="39"/>
    <w:pPr>
      <w:ind w:left="1680"/>
      <w:jc w:val="left"/>
    </w:pPr>
    <w:rPr>
      <w:sz w:val="20"/>
      <w:szCs w:val="20"/>
    </w:rPr>
  </w:style>
  <w:style w:type="paragraph" w:styleId="28">
    <w:name w:val="Body Text 2"/>
    <w:basedOn w:val="1"/>
    <w:link w:val="106"/>
    <w:qFormat/>
    <w:uiPriority w:val="99"/>
    <w:pPr>
      <w:spacing w:after="120" w:line="480" w:lineRule="auto"/>
    </w:pPr>
    <w:rPr>
      <w:rFonts w:ascii="Times New Roman" w:hAnsi="Times New Roman" w:eastAsia="宋体" w:cs="Times New Roman"/>
      <w:kern w:val="0"/>
      <w:sz w:val="20"/>
      <w:szCs w:val="20"/>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annotation subject"/>
    <w:basedOn w:val="11"/>
    <w:next w:val="11"/>
    <w:link w:val="113"/>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99"/>
    <w:rPr>
      <w:rFonts w:cs="Times New Roman"/>
      <w:b/>
      <w:bCs/>
    </w:rPr>
  </w:style>
  <w:style w:type="character" w:styleId="35">
    <w:name w:val="page number"/>
    <w:qFormat/>
    <w:uiPriority w:val="99"/>
    <w:rPr>
      <w:rFonts w:cs="Times New Roman"/>
    </w:rPr>
  </w:style>
  <w:style w:type="character" w:styleId="36">
    <w:name w:val="FollowedHyperlink"/>
    <w:unhideWhenUsed/>
    <w:qFormat/>
    <w:uiPriority w:val="99"/>
    <w:rPr>
      <w:color w:val="800080"/>
      <w:u w:val="single"/>
    </w:rPr>
  </w:style>
  <w:style w:type="character" w:styleId="37">
    <w:name w:val="HTML Typewriter"/>
    <w:qFormat/>
    <w:uiPriority w:val="99"/>
    <w:rPr>
      <w:rFonts w:ascii="宋体" w:hAnsi="宋体" w:eastAsia="宋体" w:cs="宋体"/>
      <w:sz w:val="24"/>
      <w:szCs w:val="24"/>
    </w:rPr>
  </w:style>
  <w:style w:type="character" w:styleId="38">
    <w:name w:val="Hyperlink"/>
    <w:qFormat/>
    <w:uiPriority w:val="99"/>
    <w:rPr>
      <w:rFonts w:cs="Times New Roman"/>
      <w:color w:val="auto"/>
      <w:u w:val="none"/>
    </w:rPr>
  </w:style>
  <w:style w:type="character" w:styleId="39">
    <w:name w:val="annotation reference"/>
    <w:basedOn w:val="33"/>
    <w:unhideWhenUsed/>
    <w:qFormat/>
    <w:uiPriority w:val="99"/>
    <w:rPr>
      <w:sz w:val="21"/>
      <w:szCs w:val="21"/>
    </w:rPr>
  </w:style>
  <w:style w:type="character" w:customStyle="1" w:styleId="40">
    <w:name w:val="标题 1 Char"/>
    <w:basedOn w:val="33"/>
    <w:link w:val="3"/>
    <w:qFormat/>
    <w:uiPriority w:val="99"/>
    <w:rPr>
      <w:rFonts w:ascii="楷体_GB2312" w:hAnsi="Times New Roman" w:eastAsia="楷体_GB2312" w:cs="Times New Roman"/>
      <w:b/>
      <w:kern w:val="0"/>
      <w:sz w:val="28"/>
      <w:szCs w:val="20"/>
    </w:rPr>
  </w:style>
  <w:style w:type="character" w:customStyle="1" w:styleId="41">
    <w:name w:val="标题 2 Char"/>
    <w:basedOn w:val="33"/>
    <w:link w:val="4"/>
    <w:qFormat/>
    <w:uiPriority w:val="99"/>
    <w:rPr>
      <w:rFonts w:ascii="楷体_GB2312" w:hAnsi="Times New Roman" w:eastAsia="楷体_GB2312" w:cs="Times New Roman"/>
      <w:b/>
      <w:bCs/>
      <w:kern w:val="0"/>
      <w:sz w:val="18"/>
      <w:szCs w:val="20"/>
    </w:rPr>
  </w:style>
  <w:style w:type="character" w:customStyle="1" w:styleId="42">
    <w:name w:val="标题 3 Char"/>
    <w:basedOn w:val="33"/>
    <w:link w:val="2"/>
    <w:qFormat/>
    <w:uiPriority w:val="99"/>
    <w:rPr>
      <w:rFonts w:ascii="Times New Roman" w:hAnsi="Times New Roman" w:eastAsia="楷体_GB2312" w:cs="Times New Roman"/>
      <w:b/>
      <w:bCs/>
      <w:kern w:val="0"/>
      <w:sz w:val="15"/>
      <w:szCs w:val="20"/>
    </w:rPr>
  </w:style>
  <w:style w:type="character" w:customStyle="1" w:styleId="43">
    <w:name w:val="标题 4 Char"/>
    <w:basedOn w:val="33"/>
    <w:link w:val="5"/>
    <w:qFormat/>
    <w:uiPriority w:val="99"/>
    <w:rPr>
      <w:rFonts w:ascii="Times New Roman" w:hAnsi="Times New Roman" w:eastAsia="楷体_GB2312" w:cs="Times New Roman"/>
      <w:b/>
      <w:bCs/>
      <w:kern w:val="0"/>
      <w:sz w:val="13"/>
      <w:szCs w:val="20"/>
    </w:rPr>
  </w:style>
  <w:style w:type="character" w:customStyle="1" w:styleId="44">
    <w:name w:val="标题 5 Char"/>
    <w:basedOn w:val="33"/>
    <w:link w:val="6"/>
    <w:qFormat/>
    <w:uiPriority w:val="99"/>
    <w:rPr>
      <w:rFonts w:ascii="楷体_GB2312" w:hAnsi="Times New Roman" w:eastAsia="楷体_GB2312" w:cs="Times New Roman"/>
      <w:bCs/>
      <w:kern w:val="0"/>
      <w:sz w:val="28"/>
      <w:szCs w:val="20"/>
    </w:rPr>
  </w:style>
  <w:style w:type="character" w:customStyle="1" w:styleId="45">
    <w:name w:val="日期 Char"/>
    <w:basedOn w:val="33"/>
    <w:link w:val="17"/>
    <w:qFormat/>
    <w:uiPriority w:val="99"/>
    <w:rPr>
      <w:rFonts w:ascii="Times New Roman" w:hAnsi="Times New Roman" w:eastAsia="黑体" w:cs="Times New Roman"/>
      <w:b/>
      <w:kern w:val="0"/>
      <w:sz w:val="36"/>
      <w:szCs w:val="20"/>
    </w:rPr>
  </w:style>
  <w:style w:type="character" w:customStyle="1" w:styleId="46">
    <w:name w:val="正文文本缩进 Char"/>
    <w:basedOn w:val="33"/>
    <w:link w:val="13"/>
    <w:qFormat/>
    <w:uiPriority w:val="99"/>
    <w:rPr>
      <w:rFonts w:ascii="Times New Roman" w:hAnsi="Times New Roman" w:eastAsia="宋体" w:cs="Times New Roman"/>
      <w:b/>
      <w:kern w:val="0"/>
      <w:sz w:val="30"/>
      <w:szCs w:val="20"/>
    </w:rPr>
  </w:style>
  <w:style w:type="character" w:customStyle="1" w:styleId="47">
    <w:name w:val="页脚 Char"/>
    <w:basedOn w:val="33"/>
    <w:link w:val="20"/>
    <w:qFormat/>
    <w:uiPriority w:val="99"/>
    <w:rPr>
      <w:rFonts w:ascii="Times New Roman" w:hAnsi="Times New Roman" w:eastAsia="宋体" w:cs="Times New Roman"/>
      <w:kern w:val="0"/>
      <w:sz w:val="18"/>
      <w:szCs w:val="20"/>
    </w:rPr>
  </w:style>
  <w:style w:type="character" w:customStyle="1" w:styleId="48">
    <w:name w:val="页眉 Char"/>
    <w:basedOn w:val="33"/>
    <w:link w:val="21"/>
    <w:qFormat/>
    <w:uiPriority w:val="99"/>
    <w:rPr>
      <w:rFonts w:ascii="Times New Roman" w:hAnsi="Times New Roman" w:eastAsia="宋体" w:cs="Times New Roman"/>
      <w:kern w:val="0"/>
      <w:sz w:val="18"/>
      <w:szCs w:val="20"/>
    </w:rPr>
  </w:style>
  <w:style w:type="character" w:customStyle="1" w:styleId="49">
    <w:name w:val="正文文本 Char"/>
    <w:basedOn w:val="33"/>
    <w:link w:val="12"/>
    <w:qFormat/>
    <w:uiPriority w:val="99"/>
    <w:rPr>
      <w:rFonts w:ascii="华文中宋" w:hAnsi="Times New Roman" w:eastAsia="华文中宋" w:cs="Times New Roman"/>
      <w:bCs/>
      <w:kern w:val="0"/>
      <w:sz w:val="28"/>
      <w:szCs w:val="20"/>
    </w:rPr>
  </w:style>
  <w:style w:type="character" w:customStyle="1" w:styleId="50">
    <w:name w:val="正文文本缩进 2 Char"/>
    <w:basedOn w:val="33"/>
    <w:link w:val="18"/>
    <w:qFormat/>
    <w:uiPriority w:val="99"/>
    <w:rPr>
      <w:rFonts w:ascii="楷体_GB2312" w:hAnsi="Times New Roman" w:eastAsia="楷体_GB2312" w:cs="Times New Roman"/>
      <w:b/>
      <w:kern w:val="0"/>
      <w:sz w:val="28"/>
      <w:szCs w:val="20"/>
    </w:rPr>
  </w:style>
  <w:style w:type="character" w:customStyle="1" w:styleId="51">
    <w:name w:val="正文文本缩进 3 Char"/>
    <w:basedOn w:val="33"/>
    <w:link w:val="25"/>
    <w:qFormat/>
    <w:uiPriority w:val="99"/>
    <w:rPr>
      <w:rFonts w:ascii="Times New Roman" w:hAnsi="Times New Roman" w:eastAsia="宋体" w:cs="Times New Roman"/>
      <w:kern w:val="0"/>
      <w:sz w:val="20"/>
      <w:szCs w:val="20"/>
    </w:rPr>
  </w:style>
  <w:style w:type="paragraph" w:customStyle="1" w:styleId="52">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53">
    <w:name w:val="font6"/>
    <w:basedOn w:val="1"/>
    <w:qFormat/>
    <w:uiPriority w:val="99"/>
    <w:pPr>
      <w:widowControl/>
      <w:spacing w:before="100" w:beforeAutospacing="1" w:after="100" w:afterAutospacing="1"/>
      <w:jc w:val="left"/>
    </w:pPr>
    <w:rPr>
      <w:rFonts w:ascii="宋体" w:hAnsi="宋体" w:eastAsia="宋体" w:cs="Times New Roman"/>
      <w:b/>
      <w:bCs/>
      <w:kern w:val="0"/>
      <w:sz w:val="20"/>
      <w:szCs w:val="20"/>
    </w:rPr>
  </w:style>
  <w:style w:type="paragraph" w:customStyle="1" w:styleId="54">
    <w:name w:val="font7"/>
    <w:basedOn w:val="1"/>
    <w:qFormat/>
    <w:uiPriority w:val="99"/>
    <w:pPr>
      <w:widowControl/>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5">
    <w:name w:val="font8"/>
    <w:basedOn w:val="1"/>
    <w:qFormat/>
    <w:uiPriority w:val="99"/>
    <w:pPr>
      <w:widowControl/>
      <w:spacing w:before="100" w:beforeAutospacing="1" w:after="100" w:afterAutospacing="1"/>
      <w:jc w:val="left"/>
    </w:pPr>
    <w:rPr>
      <w:rFonts w:ascii="宋体" w:hAnsi="宋体" w:eastAsia="宋体" w:cs="Times New Roman"/>
      <w:b/>
      <w:bCs/>
      <w:i/>
      <w:iCs/>
      <w:kern w:val="0"/>
      <w:sz w:val="20"/>
      <w:szCs w:val="20"/>
    </w:rPr>
  </w:style>
  <w:style w:type="paragraph" w:customStyle="1" w:styleId="56">
    <w:name w:val="font9"/>
    <w:basedOn w:val="1"/>
    <w:qFormat/>
    <w:uiPriority w:val="99"/>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9">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0">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6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2">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6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Times New Roman"/>
      <w:b/>
      <w:bCs/>
      <w:kern w:val="0"/>
      <w:sz w:val="24"/>
      <w:szCs w:val="24"/>
    </w:rPr>
  </w:style>
  <w:style w:type="paragraph" w:customStyle="1" w:styleId="65">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6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i/>
      <w:iCs/>
      <w:kern w:val="0"/>
      <w:sz w:val="20"/>
      <w:szCs w:val="20"/>
    </w:rPr>
  </w:style>
  <w:style w:type="paragraph" w:customStyle="1" w:styleId="6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0"/>
      <w:szCs w:val="20"/>
    </w:rPr>
  </w:style>
  <w:style w:type="paragraph" w:customStyle="1" w:styleId="70">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i/>
      <w:iCs/>
      <w:kern w:val="0"/>
      <w:sz w:val="20"/>
      <w:szCs w:val="20"/>
    </w:rPr>
  </w:style>
  <w:style w:type="paragraph" w:customStyle="1" w:styleId="7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2">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7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74">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5">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76">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7">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8">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9">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0">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1">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2">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3">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4">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5">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6">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7">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8">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9">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0">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1">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2">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3">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4">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5">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6">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7">
    <w:name w:val="font10"/>
    <w:basedOn w:val="1"/>
    <w:qFormat/>
    <w:uiPriority w:val="99"/>
    <w:pPr>
      <w:widowControl/>
      <w:spacing w:before="100" w:beforeAutospacing="1" w:after="100" w:afterAutospacing="1"/>
      <w:jc w:val="left"/>
    </w:pPr>
    <w:rPr>
      <w:rFonts w:ascii="楷体_GB2312" w:hAnsi="宋体" w:eastAsia="楷体_GB2312" w:cs="Times New Roman"/>
      <w:b/>
      <w:bCs/>
      <w:kern w:val="0"/>
      <w:sz w:val="18"/>
      <w:szCs w:val="18"/>
    </w:rPr>
  </w:style>
  <w:style w:type="paragraph" w:customStyle="1" w:styleId="98">
    <w:name w:val="font11"/>
    <w:basedOn w:val="1"/>
    <w:qFormat/>
    <w:uiPriority w:val="99"/>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99">
    <w:name w:val="font12"/>
    <w:basedOn w:val="1"/>
    <w:qFormat/>
    <w:uiPriority w:val="99"/>
    <w:pPr>
      <w:widowControl/>
      <w:spacing w:before="100" w:beforeAutospacing="1" w:after="100" w:afterAutospacing="1"/>
      <w:jc w:val="left"/>
    </w:pPr>
    <w:rPr>
      <w:rFonts w:ascii="宋体" w:hAnsi="宋体" w:eastAsia="宋体" w:cs="Times New Roman"/>
      <w:kern w:val="0"/>
      <w:sz w:val="36"/>
      <w:szCs w:val="36"/>
    </w:rPr>
  </w:style>
  <w:style w:type="paragraph" w:customStyle="1" w:styleId="100">
    <w:name w:val="font13"/>
    <w:basedOn w:val="1"/>
    <w:qFormat/>
    <w:uiPriority w:val="99"/>
    <w:pPr>
      <w:widowControl/>
      <w:spacing w:before="100" w:beforeAutospacing="1" w:after="100" w:afterAutospacing="1"/>
      <w:jc w:val="left"/>
    </w:pPr>
    <w:rPr>
      <w:rFonts w:ascii="Times New Roman" w:hAnsi="Times New Roman" w:eastAsia="宋体" w:cs="Times New Roman"/>
      <w:i/>
      <w:iCs/>
      <w:kern w:val="0"/>
      <w:sz w:val="36"/>
      <w:szCs w:val="36"/>
    </w:rPr>
  </w:style>
  <w:style w:type="paragraph" w:customStyle="1" w:styleId="101">
    <w:name w:val="font14"/>
    <w:basedOn w:val="1"/>
    <w:qFormat/>
    <w:uiPriority w:val="99"/>
    <w:pPr>
      <w:widowControl/>
      <w:spacing w:before="100" w:beforeAutospacing="1" w:after="100" w:afterAutospacing="1"/>
      <w:jc w:val="left"/>
    </w:pPr>
    <w:rPr>
      <w:rFonts w:ascii="Times New Roman" w:hAnsi="Times New Roman" w:eastAsia="宋体" w:cs="Times New Roman"/>
      <w:kern w:val="0"/>
      <w:sz w:val="36"/>
      <w:szCs w:val="36"/>
    </w:rPr>
  </w:style>
  <w:style w:type="character" w:customStyle="1" w:styleId="102">
    <w:name w:val="case31"/>
    <w:qFormat/>
    <w:uiPriority w:val="99"/>
    <w:rPr>
      <w:rFonts w:cs="Times New Roman"/>
      <w:spacing w:val="390"/>
      <w:sz w:val="21"/>
      <w:szCs w:val="21"/>
    </w:rPr>
  </w:style>
  <w:style w:type="paragraph" w:customStyle="1" w:styleId="103">
    <w:name w:val="普通文字"/>
    <w:basedOn w:val="1"/>
    <w:next w:val="1"/>
    <w:qFormat/>
    <w:uiPriority w:val="99"/>
    <w:rPr>
      <w:rFonts w:ascii="宋体" w:hAnsi="Times New Roman" w:eastAsia="宋体" w:cs="Times New Roman"/>
      <w:kern w:val="0"/>
      <w:sz w:val="24"/>
      <w:szCs w:val="20"/>
      <w:u w:color="000000"/>
    </w:rPr>
  </w:style>
  <w:style w:type="paragraph" w:customStyle="1" w:styleId="104">
    <w:name w:val="默认段落字体 Para Char"/>
    <w:basedOn w:val="1"/>
    <w:qFormat/>
    <w:uiPriority w:val="99"/>
    <w:pPr>
      <w:tabs>
        <w:tab w:val="left" w:pos="552"/>
      </w:tabs>
      <w:ind w:left="552" w:hanging="420"/>
    </w:pPr>
    <w:rPr>
      <w:rFonts w:ascii="Times New Roman" w:hAnsi="Times New Roman" w:eastAsia="宋体" w:cs="Times New Roman"/>
      <w:sz w:val="24"/>
      <w:szCs w:val="24"/>
    </w:rPr>
  </w:style>
  <w:style w:type="character" w:customStyle="1" w:styleId="105">
    <w:name w:val="文档结构图 Char"/>
    <w:basedOn w:val="33"/>
    <w:link w:val="10"/>
    <w:semiHidden/>
    <w:qFormat/>
    <w:uiPriority w:val="99"/>
    <w:rPr>
      <w:rFonts w:ascii="Times New Roman" w:hAnsi="Times New Roman" w:eastAsia="宋体" w:cs="Times New Roman"/>
      <w:kern w:val="0"/>
      <w:sz w:val="20"/>
      <w:szCs w:val="20"/>
      <w:shd w:val="clear" w:color="auto" w:fill="000080"/>
    </w:rPr>
  </w:style>
  <w:style w:type="character" w:customStyle="1" w:styleId="106">
    <w:name w:val="正文文本 2 Char"/>
    <w:basedOn w:val="33"/>
    <w:link w:val="28"/>
    <w:qFormat/>
    <w:uiPriority w:val="99"/>
    <w:rPr>
      <w:rFonts w:ascii="Times New Roman" w:hAnsi="Times New Roman" w:eastAsia="宋体" w:cs="Times New Roman"/>
      <w:kern w:val="0"/>
      <w:sz w:val="20"/>
      <w:szCs w:val="20"/>
    </w:rPr>
  </w:style>
  <w:style w:type="paragraph" w:customStyle="1" w:styleId="107">
    <w:name w:val="Char Char Char Char"/>
    <w:basedOn w:val="10"/>
    <w:qFormat/>
    <w:uiPriority w:val="99"/>
    <w:pPr>
      <w:adjustRightInd w:val="0"/>
      <w:snapToGrid w:val="0"/>
      <w:spacing w:line="360" w:lineRule="auto"/>
    </w:pPr>
    <w:rPr>
      <w:rFonts w:ascii="Tahoma" w:hAnsi="Tahoma"/>
      <w:sz w:val="24"/>
      <w:szCs w:val="24"/>
    </w:rPr>
  </w:style>
  <w:style w:type="paragraph" w:customStyle="1" w:styleId="108">
    <w:name w:val="Char Char1 Char Char Char Char"/>
    <w:basedOn w:val="10"/>
    <w:qFormat/>
    <w:uiPriority w:val="99"/>
    <w:pPr>
      <w:adjustRightInd w:val="0"/>
      <w:spacing w:line="436" w:lineRule="exact"/>
      <w:ind w:left="357"/>
      <w:jc w:val="left"/>
      <w:outlineLvl w:val="3"/>
    </w:pPr>
    <w:rPr>
      <w:rFonts w:ascii="Tahoma" w:hAnsi="Tahoma"/>
      <w:b/>
      <w:sz w:val="24"/>
      <w:szCs w:val="24"/>
    </w:rPr>
  </w:style>
  <w:style w:type="paragraph" w:customStyle="1" w:styleId="109">
    <w:name w:val="列出段落1"/>
    <w:basedOn w:val="1"/>
    <w:qFormat/>
    <w:uiPriority w:val="99"/>
    <w:pPr>
      <w:ind w:firstLine="420" w:firstLineChars="200"/>
    </w:pPr>
    <w:rPr>
      <w:rFonts w:ascii="Times New Roman" w:hAnsi="Times New Roman" w:eastAsia="宋体" w:cs="Times New Roman"/>
      <w:szCs w:val="20"/>
    </w:rPr>
  </w:style>
  <w:style w:type="paragraph" w:customStyle="1" w:styleId="110">
    <w:name w:val="修订1"/>
    <w:hidden/>
    <w:semiHidden/>
    <w:qFormat/>
    <w:uiPriority w:val="99"/>
    <w:rPr>
      <w:rFonts w:ascii="Times New Roman" w:hAnsi="Times New Roman" w:eastAsia="宋体" w:cs="Times New Roman"/>
      <w:kern w:val="2"/>
      <w:sz w:val="21"/>
      <w:lang w:val="en-US" w:eastAsia="zh-CN" w:bidi="ar-SA"/>
    </w:rPr>
  </w:style>
  <w:style w:type="character" w:customStyle="1" w:styleId="111">
    <w:name w:val="批注框文本 Char"/>
    <w:basedOn w:val="33"/>
    <w:link w:val="19"/>
    <w:semiHidden/>
    <w:qFormat/>
    <w:uiPriority w:val="99"/>
    <w:rPr>
      <w:rFonts w:ascii="Times New Roman" w:hAnsi="Times New Roman" w:eastAsia="宋体" w:cs="Times New Roman"/>
      <w:sz w:val="18"/>
      <w:szCs w:val="18"/>
    </w:rPr>
  </w:style>
  <w:style w:type="character" w:customStyle="1" w:styleId="112">
    <w:name w:val="批注文字 Char"/>
    <w:basedOn w:val="33"/>
    <w:link w:val="11"/>
    <w:semiHidden/>
    <w:qFormat/>
    <w:uiPriority w:val="99"/>
  </w:style>
  <w:style w:type="character" w:customStyle="1" w:styleId="113">
    <w:name w:val="批注主题 Char"/>
    <w:basedOn w:val="112"/>
    <w:link w:val="30"/>
    <w:semiHidden/>
    <w:qFormat/>
    <w:uiPriority w:val="99"/>
    <w:rPr>
      <w:b/>
      <w:bCs/>
    </w:rPr>
  </w:style>
  <w:style w:type="paragraph" w:customStyle="1" w:styleId="114">
    <w:name w:val="列表段落1"/>
    <w:basedOn w:val="1"/>
    <w:qFormat/>
    <w:uiPriority w:val="99"/>
    <w:pPr>
      <w:ind w:firstLine="420" w:firstLineChars="200"/>
    </w:pPr>
    <w:rPr>
      <w:rFonts w:ascii="Times New Roman" w:hAnsi="Times New Roman" w:eastAsia="宋体" w:cs="Times New Roman"/>
      <w:szCs w:val="21"/>
    </w:rPr>
  </w:style>
  <w:style w:type="character" w:customStyle="1" w:styleId="115">
    <w:name w:val="标题 6 Char"/>
    <w:basedOn w:val="33"/>
    <w:link w:val="7"/>
    <w:qFormat/>
    <w:uiPriority w:val="9"/>
    <w:rPr>
      <w:rFonts w:asciiTheme="majorHAnsi" w:hAnsiTheme="majorHAnsi" w:eastAsiaTheme="majorEastAsia" w:cstheme="majorBidi"/>
      <w:b/>
      <w:bCs/>
      <w:kern w:val="2"/>
      <w:sz w:val="24"/>
      <w:szCs w:val="24"/>
    </w:rPr>
  </w:style>
  <w:style w:type="paragraph" w:customStyle="1" w:styleId="116">
    <w:name w:val="TOC 标题1"/>
    <w:basedOn w:val="3"/>
    <w:next w:val="1"/>
    <w:unhideWhenUsed/>
    <w:qFormat/>
    <w:uiPriority w:val="39"/>
    <w:pPr>
      <w:keepLines/>
      <w:widowControl/>
      <w:spacing w:before="480" w:line="276" w:lineRule="auto"/>
      <w:jc w:val="left"/>
      <w:outlineLvl w:val="9"/>
    </w:pPr>
    <w:rPr>
      <w:rFonts w:asciiTheme="majorHAnsi" w:hAnsiTheme="majorHAnsi" w:eastAsiaTheme="majorEastAsia" w:cstheme="majorBidi"/>
      <w:bCs/>
      <w:color w:val="376092" w:themeColor="accent1" w:themeShade="BF"/>
      <w:szCs w:val="28"/>
    </w:rPr>
  </w:style>
  <w:style w:type="paragraph" w:customStyle="1" w:styleId="11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8">
    <w:name w:val="Í¼±íÕýÎÄ"/>
    <w:basedOn w:val="1"/>
    <w:next w:val="9"/>
    <w:qFormat/>
    <w:uiPriority w:val="0"/>
    <w:pPr>
      <w:ind w:firstLine="420" w:firstLineChars="200"/>
    </w:pPr>
    <w:rPr>
      <w:rFonts w:ascii="Times New Roman" w:hAnsi="Times New Roman" w:eastAsia="宋体" w:cs="Times New Roman"/>
      <w:sz w:val="24"/>
      <w:szCs w:val="20"/>
    </w:rPr>
  </w:style>
  <w:style w:type="character" w:customStyle="1" w:styleId="119">
    <w:name w:val="未处理的提及1"/>
    <w:basedOn w:val="33"/>
    <w:unhideWhenUsed/>
    <w:qFormat/>
    <w:uiPriority w:val="99"/>
    <w:rPr>
      <w:color w:val="605E5C"/>
      <w:shd w:val="clear" w:color="auto" w:fill="E1DFDD"/>
    </w:rPr>
  </w:style>
  <w:style w:type="paragraph" w:customStyle="1" w:styleId="120">
    <w:name w:val="标题2"/>
    <w:basedOn w:val="4"/>
    <w:next w:val="1"/>
    <w:qFormat/>
    <w:uiPriority w:val="0"/>
    <w:pPr>
      <w:spacing w:line="360" w:lineRule="auto"/>
    </w:pPr>
    <w:rPr>
      <w:rFonts w:ascii="黑体" w:hAnsi="黑体" w:eastAsia="黑体"/>
      <w:b w:val="0"/>
      <w:sz w:val="32"/>
      <w:szCs w:val="32"/>
    </w:rPr>
  </w:style>
  <w:style w:type="paragraph" w:customStyle="1" w:styleId="121">
    <w:name w:val="标题1"/>
    <w:basedOn w:val="3"/>
    <w:next w:val="1"/>
    <w:qFormat/>
    <w:uiPriority w:val="0"/>
    <w:pPr>
      <w:spacing w:line="360" w:lineRule="auto"/>
    </w:pPr>
    <w:rPr>
      <w:rFonts w:ascii="黑体" w:hAnsi="黑体" w:eastAsia="黑体"/>
      <w:b w:val="0"/>
      <w:bCs/>
      <w:szCs w:val="28"/>
    </w:rPr>
  </w:style>
  <w:style w:type="paragraph" w:customStyle="1" w:styleId="122">
    <w:name w:val="标题1-1"/>
    <w:basedOn w:val="3"/>
    <w:next w:val="1"/>
    <w:qFormat/>
    <w:uiPriority w:val="0"/>
    <w:pPr>
      <w:jc w:val="left"/>
    </w:pPr>
    <w:rPr>
      <w:rFonts w:ascii="黑体" w:hAnsi="宋体" w:eastAsia="黑体"/>
      <w:b w:val="0"/>
      <w:bCs/>
      <w:color w:val="000000" w:themeColor="text1"/>
      <w:sz w:val="24"/>
      <w:szCs w:val="24"/>
      <w14:textFill>
        <w14:solidFill>
          <w14:schemeClr w14:val="tx1"/>
        </w14:solidFill>
      </w14:textFill>
    </w:rPr>
  </w:style>
  <w:style w:type="character" w:customStyle="1" w:styleId="123">
    <w:name w:val="正文缩进 Char"/>
    <w:link w:val="9"/>
    <w:qFormat/>
    <w:uiPriority w:val="0"/>
    <w:rPr>
      <w:rFonts w:ascii="Times New Roman" w:hAnsi="Times New Roman" w:eastAsia="宋体" w:cs="Times New Roman"/>
      <w:kern w:val="2"/>
      <w:sz w:val="21"/>
    </w:rPr>
  </w:style>
  <w:style w:type="table" w:customStyle="1" w:styleId="124">
    <w:name w:val="Grid Table Light"/>
    <w:basedOn w:val="3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125">
    <w:name w:val="正文缩进1"/>
    <w:basedOn w:val="1"/>
    <w:qFormat/>
    <w:uiPriority w:val="0"/>
    <w:pPr>
      <w:autoSpaceDE w:val="0"/>
      <w:autoSpaceDN w:val="0"/>
      <w:adjustRightInd w:val="0"/>
      <w:ind w:firstLine="420"/>
      <w:jc w:val="left"/>
    </w:pPr>
    <w:rPr>
      <w:rFonts w:ascii="宋体"/>
      <w:sz w:val="24"/>
    </w:rPr>
  </w:style>
  <w:style w:type="paragraph" w:customStyle="1" w:styleId="126">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127">
    <w:name w:val="Char"/>
    <w:basedOn w:val="1"/>
    <w:qFormat/>
    <w:uiPriority w:val="0"/>
    <w:pPr>
      <w:tabs>
        <w:tab w:val="left" w:pos="360"/>
      </w:tabs>
      <w:ind w:firstLine="561"/>
      <w:jc w:val="center"/>
    </w:pPr>
    <w:rPr>
      <w:rFonts w:ascii="黑体" w:hAnsi="黑体" w:eastAsia="黑体" w:cs="Times New Roman"/>
      <w:sz w:val="28"/>
      <w:szCs w:val="28"/>
    </w:rPr>
  </w:style>
  <w:style w:type="character" w:customStyle="1" w:styleId="128">
    <w:name w:val="日期 字符1"/>
    <w:qFormat/>
    <w:locked/>
    <w:uiPriority w:val="0"/>
    <w:rPr>
      <w:kern w:val="2"/>
      <w:sz w:val="24"/>
    </w:rPr>
  </w:style>
  <w:style w:type="paragraph" w:customStyle="1" w:styleId="129">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30">
    <w:name w:val="列出段落11"/>
    <w:basedOn w:val="1"/>
    <w:qFormat/>
    <w:uiPriority w:val="0"/>
    <w:pPr>
      <w:widowControl/>
      <w:ind w:left="720"/>
      <w:contextualSpacing/>
      <w:jc w:val="left"/>
    </w:pPr>
    <w:rPr>
      <w:rFonts w:ascii="Calibri" w:hAnsi="Calibri" w:eastAsia="宋体" w:cs="Calibri"/>
      <w:kern w:val="0"/>
      <w:sz w:val="24"/>
      <w:szCs w:val="24"/>
      <w:lang w:eastAsia="en-US" w:bidi="en-US"/>
    </w:rPr>
  </w:style>
  <w:style w:type="paragraph" w:customStyle="1" w:styleId="131">
    <w:name w:val="纯文本1"/>
    <w:basedOn w:val="1"/>
    <w:qFormat/>
    <w:uiPriority w:val="0"/>
    <w:rPr>
      <w:rFonts w:ascii="宋体" w:hAnsi="Courier New" w:eastAsia="宋体" w:cs="Times New Roman"/>
      <w:kern w:val="0"/>
      <w:sz w:val="20"/>
      <w:szCs w:val="20"/>
    </w:rPr>
  </w:style>
  <w:style w:type="character" w:customStyle="1" w:styleId="132">
    <w:name w:val="font21"/>
    <w:qFormat/>
    <w:uiPriority w:val="0"/>
    <w:rPr>
      <w:rFonts w:ascii="仿宋" w:hAnsi="仿宋" w:eastAsia="仿宋" w:cs="仿宋"/>
      <w:color w:val="000000"/>
      <w:sz w:val="22"/>
      <w:szCs w:val="22"/>
      <w:u w:val="none"/>
    </w:rPr>
  </w:style>
  <w:style w:type="paragraph" w:customStyle="1" w:styleId="1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552E-5C87-4BDC-950C-BFFC3EC30691}">
  <ds:schemaRefs/>
</ds:datastoreItem>
</file>

<file path=docProps/app.xml><?xml version="1.0" encoding="utf-8"?>
<Properties xmlns="http://schemas.openxmlformats.org/officeDocument/2006/extended-properties" xmlns:vt="http://schemas.openxmlformats.org/officeDocument/2006/docPropsVTypes">
  <Template>Normal</Template>
  <Company>LenovoCop</Company>
  <Pages>48</Pages>
  <Words>20063</Words>
  <Characters>21476</Characters>
  <Lines>186</Lines>
  <Paragraphs>52</Paragraphs>
  <TotalTime>41</TotalTime>
  <ScaleCrop>false</ScaleCrop>
  <LinksUpToDate>false</LinksUpToDate>
  <CharactersWithSpaces>23816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2021-02-09T09:02:00Z</dcterms:created>
  <dc:creator>黄炜</dc:creator>
  <cp:lastModifiedBy>中采-董娜</cp:lastModifiedBy>
  <cp:lastPrinted>2022-09-26T00:02:25Z</cp:lastPrinted>
  <dcterms:modified xsi:type="dcterms:W3CDTF">2022-09-26T01:42:05Z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569C630804834C81894FB87E679CE654</vt:lpwstr>
  </property>
</Properties>
</file>