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华文中宋" w:hAnsi="华文中宋" w:eastAsia="华文中宋"/>
          <w:bCs/>
          <w:color w:val="000000" w:themeColor="text1"/>
          <w:sz w:val="30"/>
          <w14:textFill>
            <w14:solidFill>
              <w14:schemeClr w14:val="tx1"/>
            </w14:solidFill>
          </w14:textFill>
        </w:rPr>
      </w:pPr>
      <w:r>
        <w:rPr>
          <w:rFonts w:hint="eastAsia" w:ascii="黑体" w:hAnsi="黑体" w:eastAsia="黑体" w:cs="黑体"/>
          <w:b/>
          <w:spacing w:val="170"/>
          <w:kern w:val="0"/>
          <w:sz w:val="84"/>
          <w:szCs w:val="84"/>
        </w:rPr>
        <w:t>采购</w:t>
      </w:r>
      <w:r>
        <w:rPr>
          <w:rFonts w:hint="eastAsia" w:ascii="黑体" w:hAnsi="黑体" w:eastAsia="黑体"/>
          <w:b/>
          <w:spacing w:val="170"/>
          <w:sz w:val="84"/>
          <w:szCs w:val="84"/>
        </w:rPr>
        <w:t>文件</w:t>
      </w:r>
    </w:p>
    <w:p>
      <w:pPr>
        <w:jc w:val="center"/>
        <w:rPr>
          <w:rFonts w:ascii="华文中宋" w:hAnsi="华文中宋" w:eastAsia="华文中宋"/>
          <w:bCs/>
          <w:color w:val="000000" w:themeColor="text1"/>
          <w:sz w:val="30"/>
          <w14:textFill>
            <w14:solidFill>
              <w14:schemeClr w14:val="tx1"/>
            </w14:solidFill>
          </w14:textFill>
        </w:rPr>
      </w:pPr>
      <w:r>
        <w:rPr>
          <w:rFonts w:hint="eastAsia" w:ascii="华文中宋" w:hAnsi="华文中宋" w:eastAsia="华文中宋"/>
          <w:bCs/>
          <w:color w:val="000000" w:themeColor="text1"/>
          <w:sz w:val="30"/>
          <w14:textFill>
            <w14:solidFill>
              <w14:schemeClr w14:val="tx1"/>
            </w14:solidFill>
          </w14:textFill>
        </w:rPr>
        <w:t>（货物类）</w:t>
      </w: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spacing w:line="360" w:lineRule="auto"/>
        <w:ind w:firstLine="2100" w:firstLineChars="7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采购项目编号：CZZCJT2022035</w:t>
      </w:r>
    </w:p>
    <w:p>
      <w:pPr>
        <w:spacing w:line="360" w:lineRule="auto"/>
        <w:ind w:firstLine="2100" w:firstLineChars="7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采购项目名称：5G融媒实验室设备采购项目</w:t>
      </w:r>
    </w:p>
    <w:p>
      <w:pPr>
        <w:spacing w:line="360" w:lineRule="auto"/>
        <w:ind w:firstLine="2100" w:firstLineChars="7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人：常州日报社</w:t>
      </w:r>
    </w:p>
    <w:p>
      <w:pPr>
        <w:spacing w:line="360" w:lineRule="auto"/>
        <w:ind w:firstLine="2100" w:firstLineChars="7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 xml:space="preserve">二○二二年九月 </w:t>
      </w:r>
      <w:bookmarkStart w:id="0" w:name="报价方须知前附表"/>
      <w:bookmarkEnd w:id="0"/>
      <w:bookmarkStart w:id="1" w:name="_Toc55147045"/>
    </w:p>
    <w:p>
      <w:pP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br w:type="page"/>
      </w:r>
    </w:p>
    <w:p>
      <w:pPr>
        <w:jc w:val="center"/>
        <w:rPr>
          <w:rFonts w:ascii="黑体" w:hAnsi="华文中宋" w:eastAsia="黑体"/>
          <w:bCs/>
          <w:color w:val="000000" w:themeColor="text1"/>
          <w:sz w:val="30"/>
          <w:szCs w:val="30"/>
          <w14:textFill>
            <w14:solidFill>
              <w14:schemeClr w14:val="tx1"/>
            </w14:solidFill>
          </w14:textFill>
        </w:rPr>
      </w:pPr>
    </w:p>
    <w:sdt>
      <w:sdtPr>
        <w:rPr>
          <w:rFonts w:asciiTheme="minorHAnsi" w:hAnsiTheme="minorHAnsi" w:eastAsiaTheme="minorEastAsia" w:cstheme="minorBidi"/>
          <w:b w:val="0"/>
          <w:bCs w:val="0"/>
          <w:color w:val="auto"/>
          <w:kern w:val="2"/>
          <w:sz w:val="21"/>
          <w:szCs w:val="22"/>
          <w:lang w:val="zh-CN"/>
        </w:rPr>
        <w:id w:val="-1880626030"/>
        <w:docPartObj>
          <w:docPartGallery w:val="Table of Contents"/>
          <w:docPartUnique/>
        </w:docPartObj>
      </w:sdtPr>
      <w:sdtEndPr>
        <w:rPr>
          <w:rFonts w:ascii="Calibri" w:hAnsi="Calibri" w:eastAsia="黑体" w:cstheme="minorBidi"/>
          <w:b w:val="0"/>
          <w:bCs w:val="0"/>
          <w:color w:val="auto"/>
          <w:kern w:val="2"/>
          <w:sz w:val="30"/>
          <w:szCs w:val="30"/>
          <w:lang w:val="en-US"/>
        </w:rPr>
      </w:sdtEndPr>
      <w:sdtContent>
        <w:p>
          <w:pPr>
            <w:pStyle w:val="116"/>
            <w:jc w:val="center"/>
            <w:rPr>
              <w:rFonts w:ascii="黑体" w:hAnsi="黑体" w:eastAsia="黑体"/>
              <w:color w:val="000000" w:themeColor="text1"/>
              <w:sz w:val="48"/>
              <w:szCs w:val="48"/>
              <w:lang w:val="zh-CN"/>
              <w14:textFill>
                <w14:solidFill>
                  <w14:schemeClr w14:val="tx1"/>
                </w14:solidFill>
              </w14:textFill>
            </w:rPr>
          </w:pPr>
          <w:r>
            <w:rPr>
              <w:rFonts w:ascii="黑体" w:hAnsi="黑体" w:eastAsia="黑体"/>
              <w:color w:val="000000" w:themeColor="text1"/>
              <w:sz w:val="48"/>
              <w:szCs w:val="48"/>
              <w:lang w:val="zh-CN"/>
              <w14:textFill>
                <w14:solidFill>
                  <w14:schemeClr w14:val="tx1"/>
                </w14:solidFill>
              </w14:textFill>
            </w:rPr>
            <w:t>目</w:t>
          </w:r>
          <w:r>
            <w:rPr>
              <w:rFonts w:hint="eastAsia" w:ascii="黑体" w:hAnsi="黑体" w:eastAsia="黑体"/>
              <w:color w:val="000000" w:themeColor="text1"/>
              <w:sz w:val="48"/>
              <w:szCs w:val="48"/>
              <w:lang w:val="zh-CN"/>
              <w14:textFill>
                <w14:solidFill>
                  <w14:schemeClr w14:val="tx1"/>
                </w14:solidFill>
              </w14:textFill>
            </w:rPr>
            <w:t xml:space="preserve"> </w:t>
          </w:r>
          <w:r>
            <w:rPr>
              <w:rFonts w:ascii="黑体" w:hAnsi="黑体" w:eastAsia="黑体"/>
              <w:color w:val="000000" w:themeColor="text1"/>
              <w:sz w:val="48"/>
              <w:szCs w:val="48"/>
              <w:lang w:val="zh-CN"/>
              <w14:textFill>
                <w14:solidFill>
                  <w14:schemeClr w14:val="tx1"/>
                </w14:solidFill>
              </w14:textFill>
            </w:rPr>
            <w:t>录</w:t>
          </w:r>
        </w:p>
        <w:p>
          <w:pPr>
            <w:pStyle w:val="22"/>
            <w:tabs>
              <w:tab w:val="right" w:leader="dot" w:pos="9639"/>
              <w:tab w:val="clear" w:pos="9911"/>
            </w:tabs>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"_Toc5409" </w:instrText>
          </w:r>
          <w:r>
            <w:fldChar w:fldCharType="separate"/>
          </w:r>
          <w:r>
            <w:rPr>
              <w:rFonts w:hint="eastAsia"/>
            </w:rPr>
            <w:t>一．谈判邀请函</w:t>
          </w:r>
          <w:r>
            <w:tab/>
          </w:r>
          <w:r>
            <w:fldChar w:fldCharType="begin"/>
          </w:r>
          <w:r>
            <w:instrText xml:space="preserve"> PAGEREF _Toc5409 \h </w:instrText>
          </w:r>
          <w:r>
            <w:fldChar w:fldCharType="separate"/>
          </w:r>
          <w:r>
            <w:t>2</w:t>
          </w:r>
          <w:r>
            <w:fldChar w:fldCharType="end"/>
          </w:r>
          <w:r>
            <w:fldChar w:fldCharType="end"/>
          </w:r>
        </w:p>
        <w:p>
          <w:pPr>
            <w:pStyle w:val="22"/>
            <w:tabs>
              <w:tab w:val="right" w:leader="dot" w:pos="9639"/>
              <w:tab w:val="clear" w:pos="9911"/>
            </w:tabs>
          </w:pPr>
          <w:r>
            <w:fldChar w:fldCharType="begin"/>
          </w:r>
          <w:r>
            <w:instrText xml:space="preserve"> HYPERLINK \l "_Toc29163" </w:instrText>
          </w:r>
          <w:r>
            <w:fldChar w:fldCharType="separate"/>
          </w:r>
          <w:r>
            <w:rPr>
              <w:rFonts w:hint="eastAsia"/>
            </w:rPr>
            <w:t>二．供应商须知</w:t>
          </w:r>
          <w:r>
            <w:tab/>
          </w:r>
          <w:r>
            <w:fldChar w:fldCharType="begin"/>
          </w:r>
          <w:r>
            <w:instrText xml:space="preserve"> PAGEREF _Toc29163 \h </w:instrText>
          </w:r>
          <w:r>
            <w:fldChar w:fldCharType="separate"/>
          </w:r>
          <w:r>
            <w:t>5</w:t>
          </w:r>
          <w:r>
            <w:fldChar w:fldCharType="end"/>
          </w:r>
          <w:r>
            <w:fldChar w:fldCharType="end"/>
          </w:r>
        </w:p>
        <w:p>
          <w:pPr>
            <w:pStyle w:val="22"/>
            <w:tabs>
              <w:tab w:val="right" w:leader="dot" w:pos="9639"/>
              <w:tab w:val="clear" w:pos="9911"/>
            </w:tabs>
          </w:pPr>
          <w:r>
            <w:fldChar w:fldCharType="begin"/>
          </w:r>
          <w:r>
            <w:instrText xml:space="preserve"> HYPERLINK \l "_Toc17895" </w:instrText>
          </w:r>
          <w:r>
            <w:fldChar w:fldCharType="separate"/>
          </w:r>
          <w:r>
            <w:rPr>
              <w:rFonts w:hint="eastAsia"/>
            </w:rPr>
            <w:t>三．项目技术要求和有关说明</w:t>
          </w:r>
          <w:r>
            <w:tab/>
          </w:r>
          <w:r>
            <w:fldChar w:fldCharType="begin"/>
          </w:r>
          <w:r>
            <w:instrText xml:space="preserve"> PAGEREF _Toc17895 \h </w:instrText>
          </w:r>
          <w:r>
            <w:fldChar w:fldCharType="separate"/>
          </w:r>
          <w:r>
            <w:t>13</w:t>
          </w:r>
          <w:r>
            <w:fldChar w:fldCharType="end"/>
          </w:r>
          <w:r>
            <w:fldChar w:fldCharType="end"/>
          </w:r>
        </w:p>
        <w:p>
          <w:pPr>
            <w:pStyle w:val="22"/>
            <w:tabs>
              <w:tab w:val="right" w:leader="dot" w:pos="9639"/>
              <w:tab w:val="clear" w:pos="9911"/>
            </w:tabs>
          </w:pPr>
          <w:r>
            <w:fldChar w:fldCharType="begin"/>
          </w:r>
          <w:r>
            <w:instrText xml:space="preserve"> HYPERLINK \l "_Toc29401" </w:instrText>
          </w:r>
          <w:r>
            <w:fldChar w:fldCharType="separate"/>
          </w:r>
          <w:r>
            <w:rPr>
              <w:rFonts w:hint="eastAsia" w:ascii="黑体" w:hAnsi="黑体" w:cs="Times New Roman"/>
              <w:bCs/>
              <w:kern w:val="0"/>
            </w:rPr>
            <w:t>四．合同条款及格式</w:t>
          </w:r>
          <w:r>
            <w:tab/>
          </w:r>
          <w:r>
            <w:fldChar w:fldCharType="begin"/>
          </w:r>
          <w:r>
            <w:instrText xml:space="preserve"> PAGEREF _Toc29401 \h </w:instrText>
          </w:r>
          <w:r>
            <w:fldChar w:fldCharType="separate"/>
          </w:r>
          <w:r>
            <w:t>17</w:t>
          </w:r>
          <w:r>
            <w:fldChar w:fldCharType="end"/>
          </w:r>
          <w:r>
            <w:fldChar w:fldCharType="end"/>
          </w:r>
        </w:p>
        <w:p>
          <w:pPr>
            <w:pStyle w:val="22"/>
            <w:tabs>
              <w:tab w:val="right" w:leader="dot" w:pos="9639"/>
              <w:tab w:val="clear" w:pos="9911"/>
            </w:tabs>
          </w:pPr>
          <w:r>
            <w:fldChar w:fldCharType="begin"/>
          </w:r>
          <w:r>
            <w:instrText xml:space="preserve"> HYPERLINK \l "_Toc31110" </w:instrText>
          </w:r>
          <w:r>
            <w:fldChar w:fldCharType="separate"/>
          </w:r>
          <w:r>
            <w:rPr>
              <w:rFonts w:hint="eastAsia" w:ascii="黑体" w:hAnsi="黑体" w:cs="Times New Roman"/>
              <w:bCs/>
              <w:kern w:val="0"/>
            </w:rPr>
            <w:t>五．响应文件格式</w:t>
          </w:r>
          <w:r>
            <w:tab/>
          </w:r>
          <w:r>
            <w:fldChar w:fldCharType="begin"/>
          </w:r>
          <w:r>
            <w:instrText xml:space="preserve"> PAGEREF _Toc31110 \h </w:instrText>
          </w:r>
          <w:r>
            <w:fldChar w:fldCharType="separate"/>
          </w:r>
          <w:r>
            <w:t>9</w:t>
          </w:r>
          <w:r>
            <w:fldChar w:fldCharType="end"/>
          </w:r>
          <w:r>
            <w:fldChar w:fldCharType="end"/>
          </w:r>
        </w:p>
        <w:p>
          <w:pPr>
            <w:pStyle w:val="22"/>
            <w:tabs>
              <w:tab w:val="right" w:leader="dot" w:pos="9639"/>
              <w:tab w:val="clear" w:pos="9911"/>
            </w:tabs>
          </w:pPr>
          <w:r>
            <w:fldChar w:fldCharType="begin"/>
          </w:r>
          <w:r>
            <w:instrText xml:space="preserve"> HYPERLINK \l "_Toc25701" </w:instrText>
          </w:r>
          <w:r>
            <w:fldChar w:fldCharType="separate"/>
          </w:r>
          <w:r>
            <w:rPr>
              <w:rFonts w:hint="eastAsia" w:ascii="黑体" w:hAnsi="黑体" w:cs="Times New Roman"/>
              <w:bCs/>
              <w:kern w:val="0"/>
            </w:rPr>
            <w:t>友 情 提 醒</w:t>
          </w:r>
          <w:r>
            <w:tab/>
          </w:r>
          <w:r>
            <w:fldChar w:fldCharType="begin"/>
          </w:r>
          <w:r>
            <w:instrText xml:space="preserve"> PAGEREF _Toc25701 \h </w:instrText>
          </w:r>
          <w:r>
            <w:fldChar w:fldCharType="separate"/>
          </w:r>
          <w:r>
            <w:t>23</w:t>
          </w:r>
          <w:r>
            <w:fldChar w:fldCharType="end"/>
          </w:r>
          <w:r>
            <w:fldChar w:fldCharType="end"/>
          </w:r>
        </w:p>
        <w:p>
          <w:pPr>
            <w:tabs>
              <w:tab w:val="left" w:pos="3012"/>
            </w:tabs>
            <w:spacing w:before="120" w:after="120" w:line="360" w:lineRule="auto"/>
            <w:rPr>
              <w:rFonts w:ascii="Calibri" w:hAnsi="Calibri" w:eastAsia="黑体"/>
              <w:sz w:val="30"/>
              <w:szCs w:val="30"/>
            </w:rPr>
            <w:sectPr>
              <w:headerReference r:id="rId5" w:type="first"/>
              <w:headerReference r:id="rId3" w:type="default"/>
              <w:footerReference r:id="rId6" w:type="default"/>
              <w:headerReference r:id="rId4" w:type="even"/>
              <w:footerReference r:id="rId7" w:type="even"/>
              <w:pgSz w:w="11906" w:h="16838"/>
              <w:pgMar w:top="1276" w:right="1133" w:bottom="1418" w:left="1134" w:header="568" w:footer="907" w:gutter="0"/>
              <w:pgNumType w:start="0"/>
              <w:cols w:space="425" w:num="1"/>
              <w:titlePg/>
              <w:docGrid w:type="linesAndChars" w:linePitch="312" w:charSpace="0"/>
            </w:sectPr>
          </w:pPr>
          <w:r>
            <w:rPr>
              <w:rFonts w:eastAsia="黑体" w:cstheme="minorHAnsi"/>
              <w:szCs w:val="32"/>
            </w:rPr>
            <w:fldChar w:fldCharType="end"/>
          </w:r>
          <w:r>
            <w:rPr>
              <w:rFonts w:hint="eastAsia" w:eastAsia="黑体" w:cstheme="minorHAnsi"/>
              <w:szCs w:val="32"/>
            </w:rPr>
            <w:tab/>
          </w:r>
        </w:p>
      </w:sdtContent>
    </w:sdt>
    <w:p>
      <w:pPr>
        <w:pStyle w:val="121"/>
      </w:pPr>
      <w:bookmarkStart w:id="2" w:name="_Toc5409"/>
      <w:r>
        <w:rPr>
          <w:rFonts w:hint="eastAsia"/>
        </w:rPr>
        <w:t>一．谈判邀请函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5G融媒实验室设备采购项目</w:t>
      </w:r>
      <w:r>
        <w:rPr>
          <w:rFonts w:hint="eastAsia" w:ascii="宋体" w:hAnsi="宋体" w:eastAsia="宋体"/>
          <w:sz w:val="24"/>
          <w:szCs w:val="24"/>
        </w:rPr>
        <w:t>的潜在供应商应在</w:t>
      </w:r>
      <w:r>
        <w:rPr>
          <w:rFonts w:hint="eastAsia" w:ascii="宋体" w:hAnsi="宋体" w:eastAsia="宋体"/>
          <w:sz w:val="24"/>
          <w:szCs w:val="24"/>
          <w:u w:val="single"/>
        </w:rPr>
        <w:t>“政采云”市场资源交易服务中心（平台）（</w:t>
      </w:r>
      <w:r>
        <w:rPr>
          <w:color w:val="auto"/>
        </w:rPr>
        <w:fldChar w:fldCharType="begin"/>
      </w:r>
      <w:r>
        <w:rPr>
          <w:color w:val="auto"/>
        </w:rPr>
        <w:instrText xml:space="preserve"> HYPERLINK "http://www.czzczb.com/）获取采购文件，并于2021年10月" </w:instrText>
      </w:r>
      <w:r>
        <w:rPr>
          <w:color w:val="auto"/>
        </w:rPr>
        <w:fldChar w:fldCharType="separate"/>
      </w:r>
      <w:r>
        <w:rPr>
          <w:rStyle w:val="38"/>
          <w:rFonts w:ascii="宋体" w:hAnsi="宋体" w:eastAsia="宋体" w:cstheme="minorBidi"/>
          <w:color w:val="auto"/>
          <w:sz w:val="24"/>
          <w:szCs w:val="24"/>
          <w:u w:val="single"/>
        </w:rPr>
        <w:t>http://www.czzczb.com/</w:t>
      </w:r>
      <w:r>
        <w:rPr>
          <w:rStyle w:val="38"/>
          <w:rFonts w:hint="eastAsia" w:ascii="宋体" w:hAnsi="宋体" w:eastAsia="宋体" w:cstheme="minorBidi"/>
          <w:color w:val="auto"/>
          <w:sz w:val="24"/>
          <w:szCs w:val="24"/>
          <w:u w:val="single"/>
        </w:rPr>
        <w:t>）</w:t>
      </w:r>
      <w:r>
        <w:rPr>
          <w:rStyle w:val="38"/>
          <w:rFonts w:hint="eastAsia" w:ascii="宋体" w:hAnsi="宋体" w:eastAsia="宋体" w:cstheme="minorBidi"/>
          <w:color w:val="auto"/>
          <w:sz w:val="24"/>
          <w:szCs w:val="24"/>
        </w:rPr>
        <w:t>获取采购文件，并于</w:t>
      </w:r>
      <w:r>
        <w:rPr>
          <w:rStyle w:val="38"/>
          <w:rFonts w:ascii="宋体" w:hAnsi="宋体" w:eastAsia="宋体" w:cstheme="minorBidi"/>
          <w:bCs/>
          <w:color w:val="auto"/>
          <w:sz w:val="24"/>
          <w:szCs w:val="24"/>
          <w:u w:val="single"/>
        </w:rPr>
        <w:t>20</w:t>
      </w:r>
      <w:r>
        <w:rPr>
          <w:rStyle w:val="38"/>
          <w:rFonts w:hint="eastAsia" w:ascii="宋体" w:hAnsi="宋体" w:eastAsia="宋体" w:cstheme="minorBidi"/>
          <w:bCs/>
          <w:color w:val="auto"/>
          <w:sz w:val="24"/>
          <w:szCs w:val="24"/>
          <w:u w:val="single"/>
        </w:rPr>
        <w:t>22</w:t>
      </w:r>
      <w:r>
        <w:rPr>
          <w:rStyle w:val="38"/>
          <w:rFonts w:ascii="宋体" w:hAnsi="宋体" w:eastAsia="宋体" w:cstheme="minorBidi"/>
          <w:bCs/>
          <w:color w:val="auto"/>
          <w:sz w:val="24"/>
          <w:szCs w:val="24"/>
          <w:u w:val="single"/>
        </w:rPr>
        <w:t>年</w:t>
      </w:r>
      <w:r>
        <w:rPr>
          <w:rStyle w:val="38"/>
          <w:rFonts w:hint="eastAsia" w:ascii="宋体" w:hAnsi="宋体" w:eastAsia="宋体" w:cstheme="minorBidi"/>
          <w:bCs/>
          <w:color w:val="auto"/>
          <w:sz w:val="24"/>
          <w:szCs w:val="24"/>
          <w:u w:val="single"/>
          <w:lang w:val="en-US" w:eastAsia="zh-CN"/>
        </w:rPr>
        <w:t>9</w:t>
      </w:r>
      <w:r>
        <w:rPr>
          <w:rStyle w:val="38"/>
          <w:rFonts w:ascii="宋体" w:hAnsi="宋体" w:eastAsia="宋体" w:cstheme="minorBidi"/>
          <w:bCs/>
          <w:color w:val="auto"/>
          <w:sz w:val="24"/>
          <w:szCs w:val="24"/>
          <w:u w:val="single"/>
        </w:rPr>
        <w:t>月</w:t>
      </w:r>
      <w:r>
        <w:rPr>
          <w:rStyle w:val="38"/>
          <w:rFonts w:ascii="宋体" w:hAnsi="宋体" w:eastAsia="宋体" w:cstheme="minorBidi"/>
          <w:bCs/>
          <w:color w:val="auto"/>
          <w:sz w:val="24"/>
          <w:szCs w:val="24"/>
          <w:u w:val="single"/>
        </w:rPr>
        <w:fldChar w:fldCharType="end"/>
      </w:r>
      <w:r>
        <w:rPr>
          <w:rStyle w:val="38"/>
          <w:rFonts w:hint="eastAsia" w:ascii="宋体" w:hAnsi="宋体" w:eastAsia="宋体" w:cstheme="minorBidi"/>
          <w:bCs/>
          <w:color w:val="auto"/>
          <w:sz w:val="24"/>
          <w:szCs w:val="24"/>
          <w:u w:val="single"/>
          <w:lang w:val="en-US" w:eastAsia="zh-CN"/>
        </w:rPr>
        <w:t>9</w:t>
      </w:r>
      <w:r>
        <w:rPr>
          <w:rFonts w:ascii="宋体" w:hAnsi="宋体" w:eastAsia="宋体"/>
          <w:bCs/>
          <w:color w:val="auto"/>
          <w:sz w:val="24"/>
          <w:szCs w:val="24"/>
          <w:u w:val="single"/>
        </w:rPr>
        <w:t>日</w:t>
      </w:r>
      <w:r>
        <w:rPr>
          <w:rFonts w:hint="eastAsia" w:ascii="宋体" w:hAnsi="宋体" w:eastAsia="宋体"/>
          <w:bCs/>
          <w:color w:val="auto"/>
          <w:sz w:val="24"/>
          <w:szCs w:val="24"/>
          <w:u w:val="single"/>
          <w:lang w:val="en-US" w:eastAsia="zh-CN"/>
        </w:rPr>
        <w:t>9</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点</w:t>
      </w:r>
      <w:r>
        <w:rPr>
          <w:rFonts w:hint="eastAsia" w:ascii="宋体" w:hAnsi="宋体" w:eastAsia="宋体"/>
          <w:bCs/>
          <w:color w:val="auto"/>
          <w:sz w:val="24"/>
          <w:szCs w:val="24"/>
          <w:u w:val="single"/>
          <w:lang w:val="en-US" w:eastAsia="zh-CN"/>
        </w:rPr>
        <w:t>00</w:t>
      </w:r>
      <w:r>
        <w:rPr>
          <w:rFonts w:ascii="宋体" w:hAnsi="宋体" w:eastAsia="宋体"/>
          <w:bCs/>
          <w:color w:val="auto"/>
          <w:sz w:val="24"/>
          <w:szCs w:val="24"/>
          <w:u w:val="single"/>
        </w:rPr>
        <w:t>分</w:t>
      </w:r>
      <w:r>
        <w:rPr>
          <w:rFonts w:hint="eastAsia" w:ascii="宋体" w:hAnsi="宋体" w:eastAsia="宋体"/>
          <w:bCs/>
          <w:sz w:val="24"/>
          <w:szCs w:val="24"/>
          <w:u w:val="single"/>
        </w:rPr>
        <w:t>（</w:t>
      </w:r>
      <w:r>
        <w:rPr>
          <w:rFonts w:hint="eastAsia" w:ascii="宋体" w:hAnsi="宋体" w:eastAsia="宋体"/>
          <w:bCs/>
          <w:sz w:val="24"/>
          <w:szCs w:val="24"/>
        </w:rPr>
        <w:t>北京时间）前递交响应文件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3" w:name="_Toc35393621"/>
      <w:bookmarkStart w:id="4" w:name="_Toc28359079"/>
      <w:bookmarkStart w:id="5" w:name="_Toc35393790"/>
      <w:bookmarkStart w:id="6" w:name="_Toc28359002"/>
      <w:bookmarkStart w:id="7" w:name="_Hlk24379207"/>
    </w:p>
    <w:p>
      <w:pPr>
        <w:spacing w:line="360" w:lineRule="auto"/>
        <w:ind w:firstLine="482" w:firstLineChars="200"/>
        <w:rPr>
          <w:b/>
          <w:bCs/>
          <w:sz w:val="24"/>
          <w:szCs w:val="24"/>
        </w:rPr>
      </w:pPr>
      <w:r>
        <w:rPr>
          <w:rFonts w:hint="eastAsia"/>
          <w:b/>
          <w:bCs/>
          <w:sz w:val="24"/>
          <w:szCs w:val="24"/>
        </w:rPr>
        <w:t>一、项目基本情况</w:t>
      </w:r>
      <w:bookmarkEnd w:id="3"/>
      <w:bookmarkEnd w:id="4"/>
      <w:bookmarkEnd w:id="5"/>
      <w:bookmarkEnd w:id="6"/>
    </w:p>
    <w:p>
      <w:pPr>
        <w:snapToGrid w:val="0"/>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项目编号：</w:t>
      </w:r>
      <w:r>
        <w:rPr>
          <w:rFonts w:asciiTheme="minorEastAsia" w:hAnsiTheme="minorEastAsia"/>
          <w:sz w:val="24"/>
          <w:szCs w:val="24"/>
        </w:rPr>
        <w:t>CZZCJT20220</w:t>
      </w:r>
      <w:r>
        <w:rPr>
          <w:rFonts w:hint="eastAsia" w:asciiTheme="minorEastAsia" w:hAnsiTheme="minorEastAsia"/>
          <w:sz w:val="24"/>
          <w:szCs w:val="24"/>
        </w:rPr>
        <w:t>35</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sz w:val="24"/>
          <w:szCs w:val="24"/>
        </w:rPr>
        <w:t>5G融媒实验室设备采购项目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采购方式：竞争性谈判</w:t>
      </w:r>
    </w:p>
    <w:bookmarkEnd w:id="7"/>
    <w:p>
      <w:pPr>
        <w:snapToGrid w:val="0"/>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预算金额：</w:t>
      </w:r>
      <w:r>
        <w:rPr>
          <w:rFonts w:asciiTheme="minorEastAsia" w:hAnsiTheme="minorEastAsia"/>
          <w:color w:val="auto"/>
          <w:sz w:val="24"/>
          <w:szCs w:val="24"/>
        </w:rPr>
        <w:t>24</w:t>
      </w:r>
      <w:r>
        <w:rPr>
          <w:rFonts w:hint="eastAsia" w:asciiTheme="minorEastAsia" w:hAnsiTheme="minorEastAsia"/>
          <w:color w:val="auto"/>
          <w:sz w:val="24"/>
          <w:szCs w:val="24"/>
        </w:rPr>
        <w:t>万元整</w:t>
      </w:r>
    </w:p>
    <w:p>
      <w:pPr>
        <w:snapToGrid w:val="0"/>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最高限价：</w:t>
      </w:r>
      <w:r>
        <w:rPr>
          <w:rFonts w:asciiTheme="minorEastAsia" w:hAnsiTheme="minorEastAsia"/>
          <w:color w:val="auto"/>
          <w:sz w:val="24"/>
          <w:szCs w:val="24"/>
        </w:rPr>
        <w:t>24</w:t>
      </w:r>
      <w:r>
        <w:rPr>
          <w:rFonts w:hint="eastAsia" w:asciiTheme="minorEastAsia" w:hAnsiTheme="minorEastAsia"/>
          <w:color w:val="auto"/>
          <w:sz w:val="24"/>
          <w:szCs w:val="24"/>
        </w:rPr>
        <w:t>万元整</w:t>
      </w:r>
      <w:bookmarkStart w:id="65" w:name="_GoBack"/>
      <w:bookmarkEnd w:id="65"/>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采购需求：本项目为5G融媒实验室设备采购项目，</w:t>
      </w:r>
      <w:r>
        <w:rPr>
          <w:rFonts w:ascii="宋体" w:hAnsi="宋体" w:eastAsia="宋体"/>
          <w:color w:val="333333"/>
          <w:kern w:val="0"/>
          <w:sz w:val="24"/>
          <w:szCs w:val="24"/>
        </w:rPr>
        <w:t>详见技术要求部分。</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合同履行期限：具体以采购人要求为准。</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不接受 </w:t>
      </w:r>
      <w:r>
        <w:rPr>
          <w:rFonts w:hint="eastAsia" w:asciiTheme="minorEastAsia" w:hAnsiTheme="minorEastAsia"/>
          <w:sz w:val="24"/>
          <w:szCs w:val="24"/>
        </w:rPr>
        <w:t>联合体报价。</w:t>
      </w:r>
    </w:p>
    <w:p>
      <w:pPr>
        <w:spacing w:line="360" w:lineRule="auto"/>
        <w:ind w:firstLine="482" w:firstLineChars="200"/>
        <w:rPr>
          <w:b/>
          <w:bCs/>
          <w:sz w:val="24"/>
          <w:szCs w:val="24"/>
        </w:rPr>
      </w:pPr>
      <w:bookmarkStart w:id="8" w:name="_Toc28359003"/>
      <w:bookmarkStart w:id="9" w:name="_Toc35393622"/>
      <w:bookmarkStart w:id="10" w:name="_Toc35393791"/>
      <w:bookmarkStart w:id="11" w:name="_Toc28359080"/>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81"/>
      <w:bookmarkStart w:id="13" w:name="_Toc28359004"/>
      <w:r>
        <w:rPr>
          <w:rFonts w:hint="eastAsia" w:asciiTheme="minorEastAsia" w:hAnsiTheme="minorEastAsia"/>
          <w:sz w:val="24"/>
          <w:szCs w:val="24"/>
        </w:rPr>
        <w:t>2.落实采购政策需满足的资格要求：无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w:t>
      </w:r>
      <w:r>
        <w:rPr>
          <w:rFonts w:hint="eastAsia" w:asciiTheme="minorEastAsia" w:hAnsiTheme="minorEastAsia"/>
          <w:iCs/>
          <w:sz w:val="24"/>
          <w:szCs w:val="24"/>
        </w:rPr>
        <w:t>。</w:t>
      </w:r>
    </w:p>
    <w:p>
      <w:pPr>
        <w:spacing w:line="360" w:lineRule="auto"/>
        <w:ind w:firstLine="482" w:firstLineChars="200"/>
        <w:rPr>
          <w:b/>
          <w:bCs/>
          <w:sz w:val="24"/>
          <w:szCs w:val="24"/>
        </w:rPr>
      </w:pPr>
      <w:r>
        <w:rPr>
          <w:rFonts w:hint="eastAsia"/>
          <w:b/>
          <w:bCs/>
          <w:sz w:val="24"/>
          <w:szCs w:val="24"/>
        </w:rPr>
        <w:t>三、获取采购文件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82"/>
      <w:bookmarkStart w:id="17" w:name="_Toc28359005"/>
      <w:bookmarkStart w:id="18" w:name="_Toc35393624"/>
      <w:bookmarkStart w:id="19" w:name="_Toc35393793"/>
      <w:r>
        <w:rPr>
          <w:rFonts w:hint="eastAsia" w:ascii="宋体" w:hAnsi="宋体" w:eastAsia="宋体"/>
          <w:bCs/>
          <w:sz w:val="24"/>
          <w:szCs w:val="24"/>
        </w:rPr>
        <w:t>1．时间：2022年</w:t>
      </w:r>
      <w:r>
        <w:rPr>
          <w:rFonts w:hint="eastAsia" w:ascii="宋体" w:hAnsi="宋体" w:eastAsia="宋体"/>
          <w:bCs/>
          <w:sz w:val="24"/>
          <w:szCs w:val="24"/>
          <w:lang w:val="en-US" w:eastAsia="zh-CN"/>
        </w:rPr>
        <w:t>9</w:t>
      </w:r>
      <w:r>
        <w:rPr>
          <w:rFonts w:hint="eastAsia" w:ascii="宋体" w:hAnsi="宋体" w:eastAsia="宋体"/>
          <w:bCs/>
          <w:sz w:val="24"/>
          <w:szCs w:val="24"/>
        </w:rPr>
        <w:t>月</w:t>
      </w:r>
      <w:r>
        <w:rPr>
          <w:rFonts w:hint="eastAsia" w:ascii="宋体" w:hAnsi="宋体" w:eastAsia="宋体"/>
          <w:bCs/>
          <w:sz w:val="24"/>
          <w:szCs w:val="24"/>
          <w:lang w:val="en-US" w:eastAsia="zh-CN"/>
        </w:rPr>
        <w:t>6</w:t>
      </w:r>
      <w:r>
        <w:rPr>
          <w:rFonts w:hint="eastAsia" w:ascii="宋体" w:hAnsi="宋体" w:eastAsia="宋体"/>
          <w:bCs/>
          <w:sz w:val="24"/>
          <w:szCs w:val="24"/>
        </w:rPr>
        <w:t>日至2022年</w:t>
      </w:r>
      <w:r>
        <w:rPr>
          <w:rFonts w:hint="eastAsia" w:ascii="宋体" w:hAnsi="宋体" w:eastAsia="宋体"/>
          <w:bCs/>
          <w:sz w:val="24"/>
          <w:szCs w:val="24"/>
          <w:lang w:val="en-US" w:eastAsia="zh-CN"/>
        </w:rPr>
        <w:t>9</w:t>
      </w:r>
      <w:r>
        <w:rPr>
          <w:rFonts w:hint="eastAsia" w:ascii="宋体" w:hAnsi="宋体" w:eastAsia="宋体"/>
          <w:bCs/>
          <w:sz w:val="24"/>
          <w:szCs w:val="24"/>
        </w:rPr>
        <w:t>月</w:t>
      </w:r>
      <w:r>
        <w:rPr>
          <w:rFonts w:hint="eastAsia" w:ascii="宋体" w:hAnsi="宋体" w:eastAsia="宋体"/>
          <w:bCs/>
          <w:sz w:val="24"/>
          <w:szCs w:val="24"/>
          <w:lang w:val="en-US" w:eastAsia="zh-CN"/>
        </w:rPr>
        <w:t>8</w:t>
      </w:r>
      <w:r>
        <w:rPr>
          <w:rFonts w:hint="eastAsia" w:ascii="宋体" w:hAnsi="宋体" w:eastAsia="宋体"/>
          <w:bCs/>
          <w:sz w:val="24"/>
          <w:szCs w:val="24"/>
        </w:rPr>
        <w:t>日，正常工作日上午8:30至11:30，下午13:00至17:00（北京时间，周末、法定节假日除外）。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2．地点：常州市钟楼区玉龙南路280号常州大数据产业园2号楼19楼1903室常州中采招投标有限公司。</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（2）网络领购：若无法现金交纳，请联系熊女士，电话：0519-86661066。交纳成功后，将符合要求的领购资料扫描件和报名费交纳凭证一并发送至邮箱：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售价：人民币叁佰元整(现金交纳或以公司指定方式支付)，采购文件售后一概不退。</w:t>
      </w:r>
    </w:p>
    <w:p>
      <w:pPr>
        <w:spacing w:line="360" w:lineRule="auto"/>
        <w:ind w:firstLine="482"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ascii="宋体" w:hAnsi="宋体" w:eastAsia="宋体"/>
          <w:bCs/>
          <w:color w:val="auto"/>
          <w:sz w:val="24"/>
          <w:szCs w:val="24"/>
          <w:u w:val="single"/>
        </w:rPr>
        <w:t>20</w:t>
      </w:r>
      <w:r>
        <w:rPr>
          <w:rFonts w:hint="eastAsia" w:ascii="宋体" w:hAnsi="宋体" w:eastAsia="宋体"/>
          <w:bCs/>
          <w:color w:val="auto"/>
          <w:sz w:val="24"/>
          <w:szCs w:val="24"/>
          <w:u w:val="single"/>
        </w:rPr>
        <w:t>22</w:t>
      </w:r>
      <w:r>
        <w:rPr>
          <w:rFonts w:ascii="宋体" w:hAnsi="宋体" w:eastAsia="宋体"/>
          <w:bCs/>
          <w:color w:val="auto"/>
          <w:sz w:val="24"/>
          <w:szCs w:val="24"/>
          <w:u w:val="single"/>
        </w:rPr>
        <w:t>年</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月</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日</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点</w:t>
      </w:r>
      <w:r>
        <w:rPr>
          <w:rFonts w:hint="eastAsia" w:ascii="宋体" w:hAnsi="宋体" w:eastAsia="宋体"/>
          <w:bCs/>
          <w:color w:val="auto"/>
          <w:sz w:val="24"/>
          <w:szCs w:val="24"/>
          <w:u w:val="single"/>
          <w:lang w:val="en-US" w:eastAsia="zh-CN"/>
        </w:rPr>
        <w:t>00</w:t>
      </w:r>
      <w:r>
        <w:rPr>
          <w:rFonts w:ascii="宋体" w:hAnsi="宋体" w:eastAsia="宋体"/>
          <w:bCs/>
          <w:color w:val="auto"/>
          <w:sz w:val="24"/>
          <w:szCs w:val="24"/>
          <w:u w:val="single"/>
        </w:rPr>
        <w:t>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p>
    <w:p>
      <w:pPr>
        <w:spacing w:line="360" w:lineRule="auto"/>
        <w:ind w:firstLine="482" w:firstLineChars="200"/>
        <w:rPr>
          <w:b/>
          <w:bCs/>
          <w:sz w:val="24"/>
          <w:szCs w:val="24"/>
        </w:rPr>
      </w:pPr>
      <w:bookmarkStart w:id="20" w:name="_Toc28358998"/>
      <w:bookmarkStart w:id="21" w:name="_Toc35393617"/>
      <w:bookmarkStart w:id="22" w:name="_Toc28359075"/>
      <w:bookmarkStart w:id="23" w:name="_Toc35393786"/>
      <w:r>
        <w:rPr>
          <w:rFonts w:hint="eastAsia"/>
          <w:b/>
          <w:bCs/>
          <w:sz w:val="24"/>
          <w:szCs w:val="24"/>
        </w:rPr>
        <w:t>五、开启</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截止时间：</w:t>
      </w:r>
      <w:r>
        <w:rPr>
          <w:rFonts w:ascii="宋体" w:hAnsi="宋体" w:eastAsia="宋体"/>
          <w:bCs/>
          <w:color w:val="auto"/>
          <w:sz w:val="24"/>
          <w:szCs w:val="24"/>
          <w:u w:val="single"/>
        </w:rPr>
        <w:t>20</w:t>
      </w:r>
      <w:r>
        <w:rPr>
          <w:rFonts w:hint="eastAsia" w:ascii="宋体" w:hAnsi="宋体" w:eastAsia="宋体"/>
          <w:bCs/>
          <w:color w:val="auto"/>
          <w:sz w:val="24"/>
          <w:szCs w:val="24"/>
          <w:u w:val="single"/>
        </w:rPr>
        <w:t>22</w:t>
      </w:r>
      <w:r>
        <w:rPr>
          <w:rFonts w:ascii="宋体" w:hAnsi="宋体" w:eastAsia="宋体"/>
          <w:bCs/>
          <w:color w:val="auto"/>
          <w:sz w:val="24"/>
          <w:szCs w:val="24"/>
          <w:u w:val="single"/>
        </w:rPr>
        <w:t>年</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月</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日</w:t>
      </w:r>
      <w:r>
        <w:rPr>
          <w:rFonts w:hint="eastAsia" w:ascii="宋体" w:hAnsi="宋体" w:eastAsia="宋体"/>
          <w:bCs/>
          <w:color w:val="auto"/>
          <w:sz w:val="24"/>
          <w:szCs w:val="24"/>
          <w:u w:val="single"/>
          <w:lang w:val="en-US" w:eastAsia="zh-CN"/>
        </w:rPr>
        <w:t>9</w:t>
      </w:r>
      <w:r>
        <w:rPr>
          <w:rFonts w:ascii="宋体" w:hAnsi="宋体" w:eastAsia="宋体"/>
          <w:bCs/>
          <w:color w:val="auto"/>
          <w:sz w:val="24"/>
          <w:szCs w:val="24"/>
          <w:u w:val="single"/>
        </w:rPr>
        <w:t>点</w:t>
      </w:r>
      <w:r>
        <w:rPr>
          <w:rFonts w:hint="eastAsia" w:ascii="宋体" w:hAnsi="宋体" w:eastAsia="宋体"/>
          <w:bCs/>
          <w:color w:val="auto"/>
          <w:sz w:val="24"/>
          <w:szCs w:val="24"/>
          <w:u w:val="single"/>
          <w:lang w:val="en-US" w:eastAsia="zh-CN"/>
        </w:rPr>
        <w:t>00</w:t>
      </w:r>
      <w:r>
        <w:rPr>
          <w:rFonts w:ascii="宋体" w:hAnsi="宋体" w:eastAsia="宋体"/>
          <w:bCs/>
          <w:color w:val="auto"/>
          <w:sz w:val="24"/>
          <w:szCs w:val="24"/>
          <w:u w:val="single"/>
        </w:rPr>
        <w:t>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color w:val="FF0000"/>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r>
        <w:rPr>
          <w:rFonts w:hint="eastAsia" w:ascii="宋体" w:hAnsi="宋体" w:eastAsia="宋体"/>
          <w:bCs/>
          <w:color w:val="FF0000"/>
          <w:sz w:val="24"/>
          <w:szCs w:val="24"/>
        </w:rPr>
        <w:t xml:space="preserve">         </w:t>
      </w:r>
    </w:p>
    <w:p>
      <w:pPr>
        <w:spacing w:line="360" w:lineRule="auto"/>
        <w:ind w:firstLine="482" w:firstLineChars="200"/>
        <w:rPr>
          <w:b/>
          <w:bCs/>
          <w:sz w:val="24"/>
          <w:szCs w:val="24"/>
        </w:rPr>
      </w:pPr>
      <w:bookmarkStart w:id="24" w:name="_Toc35393794"/>
      <w:bookmarkStart w:id="25" w:name="_Toc28359007"/>
      <w:bookmarkStart w:id="26" w:name="_Toc35393625"/>
      <w:bookmarkStart w:id="27" w:name="_Toc28359084"/>
      <w:r>
        <w:rPr>
          <w:rFonts w:hint="eastAsia"/>
          <w:b/>
          <w:bCs/>
          <w:sz w:val="24"/>
          <w:szCs w:val="24"/>
        </w:rPr>
        <w:t>六、公告期限</w:t>
      </w:r>
      <w:bookmarkEnd w:id="24"/>
      <w:bookmarkEnd w:id="25"/>
      <w:bookmarkEnd w:id="26"/>
      <w:bookmarkEnd w:id="27"/>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自本公告发布之日起3个工作日。   </w:t>
      </w:r>
    </w:p>
    <w:p>
      <w:pPr>
        <w:spacing w:line="360" w:lineRule="auto"/>
        <w:ind w:firstLine="482" w:firstLineChars="200"/>
        <w:rPr>
          <w:b/>
          <w:bCs/>
          <w:sz w:val="24"/>
          <w:szCs w:val="24"/>
        </w:rPr>
      </w:pPr>
      <w:bookmarkStart w:id="28" w:name="_Toc35393795"/>
      <w:bookmarkStart w:id="29" w:name="_Toc35393626"/>
      <w:r>
        <w:rPr>
          <w:rFonts w:hint="eastAsia"/>
          <w:b/>
          <w:bCs/>
          <w:sz w:val="24"/>
          <w:szCs w:val="24"/>
        </w:rPr>
        <w:t>七、其他补充事宜</w:t>
      </w:r>
      <w:bookmarkEnd w:id="28"/>
      <w:bookmarkEnd w:id="29"/>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 现场踏勘：供应商自行踏勘现场。</w:t>
      </w:r>
    </w:p>
    <w:p>
      <w:pPr>
        <w:snapToGrid w:val="0"/>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2.</w:t>
      </w:r>
      <w:r>
        <w:rPr>
          <w:rFonts w:hint="eastAsia" w:asciiTheme="minorEastAsia" w:hAnsiTheme="minorEastAsia"/>
          <w:sz w:val="24"/>
          <w:szCs w:val="24"/>
        </w:rPr>
        <w:t xml:space="preserve"> 投标保证金：无。</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 疫情防控措施</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（1）对于参与开评标活动的投标人、采购人授权代表，应如实填报《疫情期间参与采购活动开评标人员健康信息登记表》</w:t>
      </w:r>
      <w:r>
        <w:rPr>
          <w:rFonts w:hint="eastAsia" w:cs="宋体" w:asciiTheme="minorEastAsia" w:hAnsiTheme="minorEastAsia"/>
          <w:b/>
          <w:sz w:val="24"/>
          <w:szCs w:val="24"/>
        </w:rPr>
        <w:t>（格式见附件）</w:t>
      </w:r>
      <w:r>
        <w:rPr>
          <w:rFonts w:hint="eastAsia" w:cs="宋体" w:asciiTheme="minorEastAsia" w:hAnsiTheme="minorEastAsia"/>
          <w:sz w:val="24"/>
          <w:szCs w:val="24"/>
        </w:rPr>
        <w:t>并加盖单位公章。请凭《疫情期间参与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（4）因防控工作需要，给采购当事人带来诸多不便，还望多多理解和予以配合。</w:t>
      </w:r>
    </w:p>
    <w:p>
      <w:pPr>
        <w:spacing w:line="360" w:lineRule="auto"/>
        <w:ind w:firstLine="482" w:firstLineChars="200"/>
        <w:rPr>
          <w:b/>
          <w:bCs/>
          <w:sz w:val="24"/>
          <w:szCs w:val="24"/>
        </w:rPr>
      </w:pPr>
      <w:bookmarkStart w:id="30" w:name="_Toc35393796"/>
      <w:bookmarkStart w:id="31" w:name="_Toc35393627"/>
      <w:bookmarkStart w:id="32" w:name="_Toc28359085"/>
      <w:bookmarkStart w:id="33" w:name="_Toc28359008"/>
      <w:r>
        <w:rPr>
          <w:rFonts w:hint="eastAsia"/>
          <w:b/>
          <w:bCs/>
          <w:sz w:val="24"/>
          <w:szCs w:val="24"/>
        </w:rPr>
        <w:t>八、对本次采购提出询问，请按以下方式联系。</w:t>
      </w:r>
      <w:bookmarkEnd w:id="30"/>
      <w:bookmarkEnd w:id="31"/>
      <w:bookmarkEnd w:id="32"/>
      <w:bookmarkEnd w:id="33"/>
    </w:p>
    <w:bookmarkEnd w:id="20"/>
    <w:bookmarkEnd w:id="21"/>
    <w:bookmarkEnd w:id="22"/>
    <w:bookmarkEnd w:id="23"/>
    <w:p>
      <w:pPr>
        <w:snapToGrid w:val="0"/>
        <w:spacing w:line="360" w:lineRule="auto"/>
        <w:ind w:firstLine="480" w:firstLineChars="200"/>
        <w:rPr>
          <w:rFonts w:cs="宋体" w:asciiTheme="minorEastAsia" w:hAnsiTheme="minorEastAsia"/>
          <w:sz w:val="24"/>
          <w:szCs w:val="24"/>
        </w:rPr>
      </w:pPr>
      <w:bookmarkStart w:id="34" w:name="_Toc55147046"/>
      <w:r>
        <w:rPr>
          <w:rFonts w:hint="eastAsia" w:cs="宋体" w:asciiTheme="minorEastAsia" w:hAnsiTheme="minorEastAsia"/>
          <w:sz w:val="24"/>
          <w:szCs w:val="24"/>
        </w:rPr>
        <w:t>1.采购人信息</w:t>
      </w:r>
    </w:p>
    <w:p>
      <w:pPr>
        <w:snapToGrid w:val="0"/>
        <w:spacing w:line="360" w:lineRule="auto"/>
        <w:ind w:firstLine="480" w:firstLineChars="200"/>
        <w:rPr>
          <w:rFonts w:cs="宋体" w:asciiTheme="minorEastAsia" w:hAnsiTheme="minorEastAsia"/>
          <w:sz w:val="24"/>
          <w:szCs w:val="24"/>
        </w:rPr>
      </w:pPr>
      <w:bookmarkStart w:id="35" w:name="_Toc35393618"/>
      <w:bookmarkStart w:id="36" w:name="_Toc28359076"/>
      <w:bookmarkStart w:id="37" w:name="_Toc35393787"/>
      <w:bookmarkStart w:id="38" w:name="_Toc28358999"/>
      <w:r>
        <w:rPr>
          <w:rFonts w:hint="eastAsia" w:cs="宋体" w:asciiTheme="minorEastAsia" w:hAnsiTheme="minorEastAsia"/>
          <w:sz w:val="24"/>
          <w:szCs w:val="24"/>
        </w:rPr>
        <w:t>名    称：常州日报社</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地    址：常州市和平中路413号</w:t>
      </w:r>
    </w:p>
    <w:p>
      <w:pPr>
        <w:widowControl/>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联系方式：周先生13915050205</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5"/>
      <w:bookmarkEnd w:id="36"/>
      <w:bookmarkEnd w:id="37"/>
      <w:bookmarkEnd w:id="38"/>
      <w:bookmarkStart w:id="39" w:name="_Toc35393619"/>
      <w:bookmarkStart w:id="40" w:name="_Toc28359000"/>
      <w:bookmarkStart w:id="41" w:name="_Toc28359077"/>
      <w:bookmarkStart w:id="42" w:name="_Toc35393788"/>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9"/>
      <w:bookmarkEnd w:id="40"/>
      <w:bookmarkEnd w:id="41"/>
      <w:bookmarkEnd w:id="42"/>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电      话：0519-86661066</w:t>
      </w:r>
    </w:p>
    <w:p>
      <w:pPr>
        <w:rPr>
          <w:rFonts w:hint="eastAsia" w:cs="宋体" w:asciiTheme="minorEastAsia" w:hAnsiTheme="minorEastAsia"/>
          <w:sz w:val="24"/>
          <w:szCs w:val="24"/>
        </w:rPr>
      </w:pPr>
      <w:r>
        <w:rPr>
          <w:rFonts w:hint="eastAsia" w:cs="宋体" w:asciiTheme="minorEastAsia" w:hAnsiTheme="minorEastAsia"/>
          <w:sz w:val="24"/>
          <w:szCs w:val="24"/>
        </w:rPr>
        <w:br w:type="page"/>
      </w:r>
    </w:p>
    <w:p>
      <w:pPr>
        <w:pStyle w:val="121"/>
        <w:jc w:val="center"/>
      </w:pPr>
      <w:bookmarkStart w:id="43" w:name="_Toc29163"/>
      <w:r>
        <w:rPr>
          <w:rFonts w:hint="eastAsia"/>
        </w:rPr>
        <w:t>二．供应商须知</w:t>
      </w:r>
      <w:bookmarkEnd w:id="34"/>
      <w:bookmarkEnd w:id="43"/>
    </w:p>
    <w:p>
      <w:pPr>
        <w:spacing w:line="360" w:lineRule="auto"/>
        <w:ind w:firstLine="482"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2"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响应文件</w:t>
      </w:r>
      <w:r>
        <w:rPr>
          <w:rFonts w:hint="eastAsia" w:ascii="宋体" w:hAnsi="宋体"/>
          <w:bCs/>
          <w:color w:val="000000"/>
          <w:sz w:val="24"/>
          <w:szCs w:val="24"/>
        </w:rPr>
        <w:t>，对采购文件各项内容做出实质性响应，否则作为无效响应。</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2"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2"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供应商在收到采购文件后，如有疑问需要询问和澄清，应在响应文件提交截止时间的15日前以书面形式向采购人提出，如无疑问,视作供应商完全响应采购文件的条款和要求。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w:t>
      </w:r>
    </w:p>
    <w:p>
      <w:pPr>
        <w:tabs>
          <w:tab w:val="left" w:pos="525"/>
          <w:tab w:val="left" w:pos="898"/>
          <w:tab w:val="left" w:pos="945"/>
        </w:tabs>
        <w:spacing w:line="360" w:lineRule="auto"/>
        <w:rPr>
          <w:rFonts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com/）所发布的为准。</w:t>
      </w:r>
    </w:p>
    <w:p>
      <w:pPr>
        <w:spacing w:line="360" w:lineRule="auto"/>
        <w:ind w:firstLine="482" w:firstLineChars="200"/>
        <w:rPr>
          <w:b/>
          <w:bCs/>
          <w:sz w:val="24"/>
          <w:szCs w:val="24"/>
        </w:rPr>
      </w:pPr>
      <w:r>
        <w:rPr>
          <w:rFonts w:hint="eastAsia"/>
          <w:b/>
          <w:bCs/>
          <w:sz w:val="24"/>
          <w:szCs w:val="24"/>
        </w:rPr>
        <w:t>五、响应文件的组成</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 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供应商简介（含供应商规模、银行资信、技术能力及装备水平等）、人员情况、典型项目介绍。</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响应函（格式见附件）</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w:t>
      </w:r>
      <w:r>
        <w:rPr>
          <w:rFonts w:hint="eastAsia" w:ascii="宋体" w:hAnsi="宋体"/>
          <w:b/>
          <w:bCs/>
          <w:color w:val="000000" w:themeColor="text1"/>
          <w:sz w:val="24"/>
          <w:szCs w:val="24"/>
          <w14:textFill>
            <w14:solidFill>
              <w14:schemeClr w14:val="tx1"/>
            </w14:solidFill>
          </w14:textFill>
        </w:rPr>
        <w:t>详见“谈判邀请函”-“申请人的资格要求”）</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 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 技术参数响应及偏离表（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响应文件共一式叁份，“正本”壹份、“副本”贰份，未提供视为无效投标。在每一份响应文件上要标明“正本”或“副本”字样，一旦正本和副本有差异，以正本为准,正本、副本应分别装订成册并密封。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2"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 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 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 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 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 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 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 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 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 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 法律法规和采购文件规定的其它无效情形。</w:t>
      </w:r>
    </w:p>
    <w:p>
      <w:pPr>
        <w:spacing w:line="360" w:lineRule="auto"/>
        <w:ind w:firstLine="482" w:firstLineChars="200"/>
        <w:rPr>
          <w:b/>
          <w:bCs/>
          <w:sz w:val="24"/>
          <w:szCs w:val="24"/>
        </w:rPr>
      </w:pPr>
      <w:r>
        <w:rPr>
          <w:rFonts w:hint="eastAsia"/>
          <w:b/>
          <w:bCs/>
          <w:sz w:val="24"/>
          <w:szCs w:val="24"/>
        </w:rPr>
        <w:t>八、谈判、评审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所有供应商至采购文件规定的地点提交响应文件。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响应文件提交截止时间后参加谈判的供应商或解密响应文件的供应商数量不符合法律法规要求的，不进行评审。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谈判、评审工作由</w:t>
      </w:r>
      <w:r>
        <w:rPr>
          <w:rFonts w:hint="eastAsia" w:ascii="宋体" w:hAnsi="宋体"/>
          <w:sz w:val="24"/>
        </w:rPr>
        <w:t>采购代理机构</w:t>
      </w:r>
      <w:r>
        <w:rPr>
          <w:rFonts w:hint="eastAsia" w:ascii="宋体" w:hAnsi="宋体" w:eastAsia="宋体"/>
          <w:sz w:val="24"/>
          <w:szCs w:val="24"/>
        </w:rPr>
        <w:t>负责组织。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具体谈判、评审事务由依法组建的谈判小组负责。如有争议最终由谈判小组认定。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报价</w:t>
      </w:r>
      <w:r>
        <w:rPr>
          <w:rFonts w:hint="eastAsia" w:ascii="宋体" w:hAnsi="宋体" w:eastAsia="宋体"/>
          <w:sz w:val="24"/>
          <w:szCs w:val="24"/>
        </w:rPr>
        <w:t>一览表</w:t>
      </w:r>
      <w:r>
        <w:rPr>
          <w:rFonts w:ascii="宋体" w:hAnsi="宋体" w:eastAsia="宋体"/>
          <w:sz w:val="24"/>
          <w:szCs w:val="24"/>
        </w:rPr>
        <w:t>内容与明细表内容不一致的，以报价</w:t>
      </w:r>
      <w:r>
        <w:rPr>
          <w:rFonts w:hint="eastAsia" w:ascii="宋体" w:hAnsi="宋体" w:eastAsia="宋体"/>
          <w:sz w:val="24"/>
          <w:szCs w:val="24"/>
        </w:rPr>
        <w:t>一览表</w:t>
      </w:r>
      <w:r>
        <w:rPr>
          <w:rFonts w:ascii="宋体" w:hAnsi="宋体" w:eastAsia="宋体"/>
          <w:sz w:val="24"/>
          <w:szCs w:val="24"/>
        </w:rPr>
        <w:t>为准</w:t>
      </w:r>
      <w:r>
        <w:rPr>
          <w:rFonts w:hint="eastAsia" w:ascii="宋体" w:hAnsi="宋体" w:eastAsia="宋体"/>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（2）正本与副本不符，以正本为准。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谈判、</w:t>
      </w:r>
      <w:r>
        <w:rPr>
          <w:rFonts w:ascii="宋体" w:hAnsi="宋体" w:eastAsia="宋体"/>
          <w:sz w:val="24"/>
          <w:szCs w:val="24"/>
        </w:rPr>
        <w:t>评</w:t>
      </w:r>
      <w:r>
        <w:rPr>
          <w:rFonts w:hint="eastAsia" w:ascii="宋体" w:hAnsi="宋体" w:eastAsia="宋体"/>
          <w:sz w:val="24"/>
          <w:szCs w:val="24"/>
        </w:rPr>
        <w:t>审</w:t>
      </w:r>
      <w:r>
        <w:rPr>
          <w:rFonts w:ascii="宋体" w:hAnsi="宋体" w:eastAsia="宋体"/>
          <w:sz w:val="24"/>
          <w:szCs w:val="24"/>
        </w:rPr>
        <w:t>程序</w:t>
      </w:r>
    </w:p>
    <w:p>
      <w:pPr>
        <w:numPr>
          <w:ilvl w:val="0"/>
          <w:numId w:val="2"/>
        </w:numPr>
        <w:tabs>
          <w:tab w:val="left" w:pos="63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投标（报价）承诺函</w:t>
      </w:r>
      <w:r>
        <w:rPr>
          <w:rFonts w:ascii="宋体" w:hAnsi="宋体"/>
          <w:bCs/>
          <w:color w:val="000000"/>
          <w:sz w:val="24"/>
        </w:rPr>
        <w:t>等进行审查</w:t>
      </w:r>
      <w:r>
        <w:rPr>
          <w:rFonts w:hint="eastAsia" w:ascii="宋体" w:hAnsi="宋体"/>
          <w:bCs/>
          <w:color w:val="000000"/>
          <w:sz w:val="24"/>
        </w:rPr>
        <w:t>；通过“信用中国”网站（</w:t>
      </w:r>
      <w:r>
        <w:rPr>
          <w:rFonts w:hint="eastAsia"/>
        </w:rPr>
        <w:fldChar w:fldCharType="begin"/>
      </w:r>
      <w:r>
        <w:instrText xml:space="preserve"> HYPERLINK "http://www.creditchina.gov.cn" </w:instrText>
      </w:r>
      <w:r>
        <w:rPr>
          <w:rFonts w:hint="eastAsia"/>
        </w:rPr>
        <w:fldChar w:fldCharType="separate"/>
      </w:r>
      <w:r>
        <w:rPr>
          <w:rFonts w:hint="eastAsia" w:ascii="宋体" w:hAnsi="宋体"/>
          <w:bCs/>
          <w:color w:val="000000"/>
          <w:sz w:val="24"/>
        </w:rPr>
        <w:t>www.creditchina.gov.cn</w:t>
      </w:r>
      <w:r>
        <w:rPr>
          <w:rFonts w:hint="eastAsia" w:ascii="宋体" w:hAnsi="宋体"/>
          <w:bCs/>
          <w:color w:val="000000"/>
          <w:sz w:val="24"/>
        </w:rPr>
        <w:fldChar w:fldCharType="end"/>
      </w:r>
      <w:r>
        <w:rPr>
          <w:rFonts w:hint="eastAsia" w:ascii="宋体" w:hAnsi="宋体"/>
          <w:bCs/>
          <w:color w:val="000000"/>
          <w:sz w:val="24"/>
        </w:rPr>
        <w:t>）、中国政府采购网(www.ccgp.gov.cn)查询报价供应商在报价截止时间之前，是否被列入失信被执行人、重大税收</w:t>
      </w:r>
      <w:r>
        <w:rPr>
          <w:rFonts w:hint="eastAsia" w:ascii="宋体" w:hAnsi="宋体"/>
          <w:color w:val="000000"/>
          <w:sz w:val="24"/>
          <w:szCs w:val="24"/>
        </w:rPr>
        <w:t>违法案件当事人名单、政府采购严重违法失信行为记录名单，</w:t>
      </w:r>
      <w:r>
        <w:rPr>
          <w:rFonts w:hint="eastAsia" w:ascii="宋体" w:hAnsi="宋体"/>
          <w:bCs/>
          <w:color w:val="000000"/>
          <w:sz w:val="24"/>
        </w:rPr>
        <w:t>以确定报价供应商是否具备报价资格。</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numPr>
          <w:ilvl w:val="0"/>
          <w:numId w:val="2"/>
        </w:numPr>
        <w:tabs>
          <w:tab w:val="left" w:pos="42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谈判小组讨论、确定谈判程序和谈判内容。</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谈判小组集中与单一供应商分别进行谈判。谈判轮次由谈判小组视情况决定。</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szCs w:val="24"/>
        </w:rPr>
        <w:t>在谈判过程中，谈判小组可以根据采购文件和谈判情况实质性变动采购需求中的技术、服务要求以及合同草案条款，但不得变动采购文件中的其他内容。对采购文件作出的实质性变动是采购文件的有效组成部分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。如有实质性变动，谈判小组将以书面形式通知所有参加谈判的供应商。</w:t>
      </w:r>
      <w:r>
        <w:rPr>
          <w:rFonts w:ascii="宋体" w:hAnsi="宋体"/>
          <w:bCs/>
          <w:color w:val="000000"/>
          <w:sz w:val="24"/>
          <w:szCs w:val="24"/>
        </w:rPr>
        <w:t>供应商应当按照采购文件的变动情况和谈判小组的要求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numPr>
          <w:ilvl w:val="0"/>
          <w:numId w:val="4"/>
        </w:numPr>
        <w:tabs>
          <w:tab w:val="left" w:pos="840"/>
          <w:tab w:val="left" w:pos="945"/>
        </w:tabs>
        <w:spacing w:line="360" w:lineRule="auto"/>
        <w:ind w:left="570"/>
        <w:rPr>
          <w:rFonts w:ascii="宋体" w:hAnsi="宋体"/>
          <w:bCs/>
          <w:color w:val="000000"/>
          <w:sz w:val="24"/>
        </w:rPr>
      </w:pPr>
      <w:r>
        <w:rPr>
          <w:rFonts w:hint="eastAsia" w:ascii="宋体" w:hAnsi="宋体"/>
          <w:bCs/>
          <w:color w:val="000000"/>
          <w:sz w:val="24"/>
        </w:rPr>
        <w:t xml:space="preserve">成交标准 </w:t>
      </w:r>
    </w:p>
    <w:p>
      <w:pPr>
        <w:tabs>
          <w:tab w:val="left" w:pos="840"/>
          <w:tab w:val="left" w:pos="105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本项目在质量和服务均能满足采购文件实质性响应要求的前提下，以提出最低报价的供应商为成交供应商。如因供应商最终报价相同导致无法确定成交供应商的，则所有参加最终报价的供应商均进行再次报价，直至产生成交供应商。</w:t>
      </w:r>
    </w:p>
    <w:p>
      <w:pPr>
        <w:spacing w:line="360" w:lineRule="auto"/>
        <w:ind w:firstLine="482"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谈判小组根据采购文件规定的评审方法和评分标准进行评审，按采购文件的要求依法确定成交供应商。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2. 采购代理机构</w:t>
      </w:r>
      <w:r>
        <w:rPr>
          <w:rFonts w:hint="eastAsia" w:ascii="宋体" w:hAnsi="宋体"/>
          <w:bCs/>
          <w:color w:val="000000"/>
          <w:sz w:val="24"/>
          <w:szCs w:val="24"/>
        </w:rPr>
        <w:t>将评审结果通知所有参加报价的未成交供应商。</w:t>
      </w:r>
      <w:r>
        <w:rPr>
          <w:rFonts w:hint="eastAsia" w:ascii="宋体" w:hAnsi="宋体"/>
          <w:sz w:val="24"/>
        </w:rPr>
        <w:t>采购代理机构</w:t>
      </w:r>
      <w:r>
        <w:rPr>
          <w:rFonts w:hint="eastAsia" w:ascii="宋体" w:hAnsi="宋体"/>
          <w:bCs/>
          <w:color w:val="000000"/>
          <w:sz w:val="24"/>
          <w:szCs w:val="24"/>
        </w:rPr>
        <w:t>和谈判小组对未成交原因不做解释。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2"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在竞争性谈判采购中，出现下列情况之一的，本次采购活动终止：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因情况变化，不再符合规定的竞争性谈判采购方式适用情形的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3. </w:t>
      </w:r>
      <w:r>
        <w:rPr>
          <w:rFonts w:ascii="宋体" w:hAnsi="宋体"/>
          <w:bCs/>
          <w:color w:val="000000"/>
          <w:sz w:val="24"/>
          <w:szCs w:val="24"/>
        </w:rPr>
        <w:t>在采购过程中符合竞争要求的供应商或者报价未超过采购预算的供应商数量</w:t>
      </w:r>
      <w:r>
        <w:rPr>
          <w:rFonts w:hint="eastAsia" w:ascii="宋体" w:hAnsi="宋体"/>
          <w:bCs/>
          <w:color w:val="000000"/>
          <w:sz w:val="24"/>
          <w:szCs w:val="24"/>
        </w:rPr>
        <w:t xml:space="preserve"> 不符合法律法规要求的</w:t>
      </w:r>
      <w:r>
        <w:rPr>
          <w:rFonts w:ascii="宋体" w:hAnsi="宋体"/>
          <w:bCs/>
          <w:color w:val="000000"/>
          <w:sz w:val="24"/>
          <w:szCs w:val="24"/>
        </w:rPr>
        <w:t>，但</w:t>
      </w:r>
      <w:r>
        <w:rPr>
          <w:rFonts w:hint="eastAsia" w:ascii="宋体" w:hAnsi="宋体"/>
          <w:bCs/>
          <w:color w:val="000000"/>
          <w:sz w:val="24"/>
          <w:szCs w:val="24"/>
        </w:rPr>
        <w:t>《</w:t>
      </w:r>
      <w:r>
        <w:rPr>
          <w:rFonts w:ascii="宋体" w:hAnsi="宋体"/>
          <w:bCs/>
          <w:color w:val="000000"/>
          <w:sz w:val="24"/>
          <w:szCs w:val="24"/>
        </w:rPr>
        <w:t>政府采购非招标采购方式管理办法</w:t>
      </w:r>
      <w:r>
        <w:rPr>
          <w:rFonts w:hint="eastAsia" w:ascii="宋体" w:hAnsi="宋体"/>
          <w:bCs/>
          <w:color w:val="000000"/>
          <w:sz w:val="24"/>
          <w:szCs w:val="24"/>
        </w:rPr>
        <w:t>》</w:t>
      </w:r>
      <w:r>
        <w:rPr>
          <w:rFonts w:ascii="宋体" w:hAnsi="宋体"/>
          <w:bCs/>
          <w:color w:val="000000"/>
          <w:sz w:val="24"/>
          <w:szCs w:val="24"/>
        </w:rPr>
        <w:t>第二十七条第二款规定的情形除外。</w:t>
      </w:r>
    </w:p>
    <w:p>
      <w:pPr>
        <w:spacing w:line="360" w:lineRule="auto"/>
        <w:ind w:firstLine="482" w:firstLineChars="200"/>
        <w:rPr>
          <w:b/>
          <w:bCs/>
          <w:sz w:val="24"/>
          <w:szCs w:val="24"/>
        </w:rPr>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请采购管理部门作出相应处理。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tabs>
          <w:tab w:val="left" w:pos="525"/>
          <w:tab w:val="left" w:pos="552"/>
          <w:tab w:val="left" w:pos="945"/>
          <w:tab w:val="left" w:pos="1050"/>
        </w:tabs>
        <w:spacing w:line="360" w:lineRule="auto"/>
        <w:ind w:firstLine="482"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拒绝履行合同义务的。</w:t>
      </w:r>
    </w:p>
    <w:p>
      <w:pPr>
        <w:spacing w:line="360" w:lineRule="auto"/>
        <w:ind w:firstLine="482" w:firstLineChars="200"/>
        <w:rPr>
          <w:b/>
          <w:bCs/>
          <w:sz w:val="24"/>
          <w:szCs w:val="24"/>
        </w:rPr>
      </w:pPr>
      <w:r>
        <w:rPr>
          <w:rFonts w:hint="eastAsia"/>
          <w:b/>
          <w:bCs/>
          <w:sz w:val="24"/>
          <w:szCs w:val="24"/>
        </w:rPr>
        <w:t>十三、成交服务费</w:t>
      </w:r>
    </w:p>
    <w:p>
      <w:pPr>
        <w:pStyle w:val="109"/>
        <w:numPr>
          <w:ilvl w:val="0"/>
          <w:numId w:val="5"/>
        </w:numPr>
        <w:tabs>
          <w:tab w:val="left" w:pos="510"/>
          <w:tab w:val="left" w:pos="735"/>
          <w:tab w:val="left" w:pos="945"/>
          <w:tab w:val="left" w:pos="1129"/>
          <w:tab w:val="left" w:pos="1155"/>
        </w:tabs>
        <w:spacing w:line="360" w:lineRule="auto"/>
        <w:ind w:firstLineChars="0"/>
        <w:rPr>
          <w:rFonts w:ascii="宋体" w:hAnsi="宋体"/>
          <w:bCs/>
          <w:sz w:val="24"/>
          <w:szCs w:val="24"/>
        </w:rPr>
      </w:pPr>
      <w:r>
        <w:rPr>
          <w:rFonts w:hint="eastAsia" w:ascii="宋体" w:hAnsi="宋体"/>
          <w:bCs/>
          <w:sz w:val="24"/>
          <w:szCs w:val="24"/>
        </w:rPr>
        <w:t>采购代理服务费收费标准为：</w:t>
      </w:r>
    </w:p>
    <w:p>
      <w:pPr>
        <w:pStyle w:val="109"/>
        <w:tabs>
          <w:tab w:val="left" w:pos="510"/>
          <w:tab w:val="left" w:pos="735"/>
          <w:tab w:val="left" w:pos="945"/>
          <w:tab w:val="left" w:pos="1129"/>
          <w:tab w:val="left" w:pos="1155"/>
        </w:tabs>
        <w:spacing w:line="360" w:lineRule="auto"/>
        <w:ind w:left="480" w:firstLine="0" w:firstLineChars="0"/>
        <w:jc w:val="center"/>
        <w:rPr>
          <w:rFonts w:ascii="宋体" w:hAnsi="宋体"/>
          <w:bCs/>
          <w:sz w:val="24"/>
          <w:szCs w:val="24"/>
        </w:rPr>
      </w:pPr>
      <w:r>
        <w:drawing>
          <wp:inline distT="0" distB="0" distL="114300" distR="114300">
            <wp:extent cx="3363595" cy="2446020"/>
            <wp:effectExtent l="0" t="0" r="825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3363595" cy="2446020"/>
                    </a:xfrm>
                    <a:prstGeom prst="rect">
                      <a:avLst/>
                    </a:prstGeom>
                    <a:noFill/>
                    <a:ln>
                      <a:noFill/>
                    </a:ln>
                  </pic:spPr>
                </pic:pic>
              </a:graphicData>
            </a:graphic>
          </wp:inline>
        </w:drawing>
      </w:r>
    </w:p>
    <w:p>
      <w:pPr>
        <w:tabs>
          <w:tab w:val="left" w:pos="510"/>
          <w:tab w:val="left" w:pos="735"/>
          <w:tab w:val="left" w:pos="945"/>
          <w:tab w:val="left" w:pos="1155"/>
        </w:tabs>
        <w:spacing w:line="360" w:lineRule="auto"/>
        <w:rPr>
          <w:rFonts w:ascii="宋体" w:hAnsi="宋体" w:eastAsia="宋体"/>
          <w:bCs/>
          <w:sz w:val="24"/>
          <w:szCs w:val="24"/>
        </w:rPr>
      </w:pPr>
      <w:r>
        <w:rPr>
          <w:rFonts w:hint="eastAsia" w:ascii="宋体" w:hAnsi="宋体"/>
          <w:b/>
          <w:bCs/>
          <w:sz w:val="24"/>
        </w:rPr>
        <w:tab/>
      </w:r>
      <w:r>
        <w:rPr>
          <w:rFonts w:hint="eastAsia" w:ascii="宋体" w:hAnsi="宋体"/>
          <w:b/>
          <w:bCs/>
          <w:sz w:val="24"/>
        </w:rPr>
        <w:t>备注：</w:t>
      </w:r>
      <w:r>
        <w:rPr>
          <w:rFonts w:hint="eastAsia" w:ascii="宋体" w:hAnsi="宋体" w:eastAsia="宋体"/>
          <w:sz w:val="24"/>
        </w:rPr>
        <w:t>收费比例按差额定率累进法计算</w:t>
      </w:r>
      <w:r>
        <w:rPr>
          <w:rFonts w:hint="eastAsia" w:ascii="宋体" w:hAnsi="宋体" w:eastAsia="宋体"/>
          <w:b/>
          <w:bCs/>
          <w:sz w:val="24"/>
        </w:rPr>
        <w:t>，</w:t>
      </w:r>
      <w:r>
        <w:rPr>
          <w:rFonts w:hint="eastAsia" w:ascii="宋体" w:hAnsi="宋体" w:eastAsia="宋体"/>
          <w:sz w:val="24"/>
        </w:rPr>
        <w:t>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成交供应商领取成交通知书时须向常州中采招投标有限公司缴纳采购代理服务费。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单位名称：常州中采招投标有限公司</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开户行：建行常州惠民支行</w:t>
      </w:r>
    </w:p>
    <w:p>
      <w:pPr>
        <w:widowControl/>
        <w:spacing w:line="360" w:lineRule="auto"/>
        <w:ind w:firstLine="480" w:firstLineChars="200"/>
        <w:jc w:val="left"/>
        <w:rPr>
          <w:rFonts w:ascii="宋体" w:hAnsi="宋体"/>
          <w:bCs/>
          <w:sz w:val="24"/>
          <w:szCs w:val="24"/>
        </w:rPr>
      </w:pPr>
      <w:r>
        <w:rPr>
          <w:rFonts w:ascii="宋体" w:hAnsi="宋体"/>
          <w:bCs/>
          <w:sz w:val="24"/>
          <w:szCs w:val="24"/>
        </w:rPr>
        <w:br w:type="page"/>
      </w:r>
    </w:p>
    <w:p>
      <w:pPr>
        <w:pStyle w:val="121"/>
      </w:pPr>
      <w:bookmarkStart w:id="44" w:name="_Toc55147047"/>
      <w:bookmarkStart w:id="45" w:name="_Toc17895"/>
      <w:r>
        <w:rPr>
          <w:rFonts w:hint="eastAsia"/>
        </w:rPr>
        <w:t>三．</w:t>
      </w:r>
      <w:bookmarkEnd w:id="44"/>
      <w:r>
        <w:rPr>
          <w:rFonts w:hint="eastAsia"/>
        </w:rPr>
        <w:t>项目技术要求和有关说明</w:t>
      </w:r>
      <w:bookmarkEnd w:id="45"/>
    </w:p>
    <w:p>
      <w:pPr>
        <w:spacing w:line="360" w:lineRule="auto"/>
        <w:ind w:left="210" w:leftChars="100" w:firstLine="241" w:firstLineChars="100"/>
        <w:rPr>
          <w:rFonts w:ascii="宋体" w:hAnsi="宋体" w:eastAsia="宋体"/>
          <w:sz w:val="24"/>
        </w:rPr>
      </w:pPr>
      <w:r>
        <w:rPr>
          <w:rFonts w:hint="eastAsia" w:ascii="宋体" w:hAnsi="宋体" w:eastAsia="宋体"/>
          <w:b/>
          <w:sz w:val="24"/>
        </w:rPr>
        <w:t>一、项目背景</w:t>
      </w:r>
    </w:p>
    <w:p>
      <w:pPr>
        <w:spacing w:line="360" w:lineRule="auto"/>
        <w:ind w:left="210" w:leftChars="100" w:firstLine="480" w:firstLineChars="200"/>
        <w:rPr>
          <w:rFonts w:ascii="宋体" w:hAnsi="宋体" w:eastAsia="宋体"/>
          <w:sz w:val="24"/>
        </w:rPr>
      </w:pPr>
      <w:r>
        <w:rPr>
          <w:rFonts w:hint="eastAsia" w:ascii="宋体" w:hAnsi="宋体" w:eastAsia="宋体"/>
          <w:sz w:val="24"/>
        </w:rPr>
        <w:t>为满足常州日报社5G融媒实验室日常工作需求，拟采购工作设备。</w:t>
      </w:r>
    </w:p>
    <w:p>
      <w:pPr>
        <w:spacing w:line="360" w:lineRule="auto"/>
        <w:ind w:left="210" w:leftChars="100" w:firstLine="241" w:firstLineChars="100"/>
        <w:rPr>
          <w:rFonts w:ascii="宋体" w:hAnsi="宋体" w:eastAsia="宋体"/>
          <w:b/>
          <w:sz w:val="24"/>
        </w:rPr>
      </w:pPr>
      <w:r>
        <w:rPr>
          <w:rFonts w:hint="eastAsia" w:ascii="宋体" w:hAnsi="宋体" w:eastAsia="宋体"/>
          <w:b/>
          <w:sz w:val="24"/>
        </w:rPr>
        <w:t>二、采购清单</w:t>
      </w:r>
    </w:p>
    <w:tbl>
      <w:tblPr>
        <w:tblStyle w:val="32"/>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50"/>
        <w:gridCol w:w="2945"/>
        <w:gridCol w:w="800"/>
        <w:gridCol w:w="1580"/>
        <w:gridCol w:w="9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76" w:type="dxa"/>
          </w:tcPr>
          <w:p>
            <w:pPr>
              <w:spacing w:line="360" w:lineRule="auto"/>
              <w:rPr>
                <w:rFonts w:cs="仿宋" w:asciiTheme="minorEastAsia" w:hAnsiTheme="minorEastAsia"/>
                <w:szCs w:val="21"/>
              </w:rPr>
            </w:pPr>
            <w:r>
              <w:rPr>
                <w:rFonts w:hint="eastAsia" w:cs="仿宋" w:asciiTheme="minorEastAsia" w:hAnsiTheme="minorEastAsia"/>
                <w:szCs w:val="21"/>
              </w:rPr>
              <w:t>类别</w:t>
            </w:r>
          </w:p>
        </w:tc>
        <w:tc>
          <w:tcPr>
            <w:tcW w:w="750" w:type="dxa"/>
          </w:tcPr>
          <w:p>
            <w:pPr>
              <w:spacing w:line="360" w:lineRule="auto"/>
              <w:rPr>
                <w:rFonts w:cs="仿宋" w:asciiTheme="minorEastAsia" w:hAnsiTheme="minorEastAsia"/>
                <w:szCs w:val="21"/>
              </w:rPr>
            </w:pPr>
            <w:r>
              <w:rPr>
                <w:rFonts w:hint="eastAsia" w:cs="仿宋" w:asciiTheme="minorEastAsia" w:hAnsiTheme="minorEastAsia"/>
                <w:szCs w:val="21"/>
              </w:rPr>
              <w:t>序号</w:t>
            </w:r>
          </w:p>
        </w:tc>
        <w:tc>
          <w:tcPr>
            <w:tcW w:w="2945" w:type="dxa"/>
          </w:tcPr>
          <w:p>
            <w:pPr>
              <w:spacing w:line="360" w:lineRule="auto"/>
              <w:rPr>
                <w:rFonts w:cs="仿宋" w:asciiTheme="minorEastAsia" w:hAnsiTheme="minorEastAsia"/>
                <w:szCs w:val="21"/>
              </w:rPr>
            </w:pPr>
            <w:r>
              <w:rPr>
                <w:rFonts w:hint="eastAsia" w:cs="仿宋" w:asciiTheme="minorEastAsia" w:hAnsiTheme="minorEastAsia"/>
                <w:szCs w:val="21"/>
              </w:rPr>
              <w:t>名称</w:t>
            </w:r>
          </w:p>
        </w:tc>
        <w:tc>
          <w:tcPr>
            <w:tcW w:w="800" w:type="dxa"/>
          </w:tcPr>
          <w:p>
            <w:pPr>
              <w:spacing w:line="360" w:lineRule="auto"/>
              <w:rPr>
                <w:rFonts w:cs="仿宋" w:asciiTheme="minorEastAsia" w:hAnsiTheme="minorEastAsia"/>
                <w:szCs w:val="21"/>
              </w:rPr>
            </w:pPr>
            <w:r>
              <w:rPr>
                <w:rFonts w:hint="eastAsia" w:cs="仿宋" w:asciiTheme="minorEastAsia" w:hAnsiTheme="minorEastAsia"/>
                <w:szCs w:val="21"/>
              </w:rPr>
              <w:t>数量</w:t>
            </w:r>
          </w:p>
        </w:tc>
        <w:tc>
          <w:tcPr>
            <w:tcW w:w="1580" w:type="dxa"/>
          </w:tcPr>
          <w:p>
            <w:pPr>
              <w:spacing w:line="360" w:lineRule="auto"/>
              <w:rPr>
                <w:rFonts w:cs="仿宋" w:asciiTheme="minorEastAsia" w:hAnsiTheme="minorEastAsia"/>
                <w:szCs w:val="21"/>
              </w:rPr>
            </w:pPr>
            <w:r>
              <w:rPr>
                <w:rFonts w:hint="eastAsia" w:cs="仿宋" w:asciiTheme="minorEastAsia" w:hAnsiTheme="minorEastAsia"/>
                <w:szCs w:val="21"/>
              </w:rPr>
              <w:t>备注</w:t>
            </w:r>
          </w:p>
        </w:tc>
        <w:tc>
          <w:tcPr>
            <w:tcW w:w="940" w:type="dxa"/>
          </w:tcPr>
          <w:p>
            <w:pPr>
              <w:spacing w:line="360" w:lineRule="auto"/>
              <w:rPr>
                <w:rFonts w:cs="仿宋" w:asciiTheme="minorEastAsia" w:hAnsiTheme="minorEastAsia"/>
                <w:szCs w:val="21"/>
              </w:rPr>
            </w:pPr>
            <w:r>
              <w:rPr>
                <w:rFonts w:hint="eastAsia" w:cs="仿宋" w:asciiTheme="minorEastAsia" w:hAnsiTheme="minorEastAsia"/>
                <w:szCs w:val="21"/>
              </w:rPr>
              <w:t>单价</w:t>
            </w:r>
          </w:p>
        </w:tc>
        <w:tc>
          <w:tcPr>
            <w:tcW w:w="980" w:type="dxa"/>
          </w:tcPr>
          <w:p>
            <w:pPr>
              <w:spacing w:line="360" w:lineRule="auto"/>
              <w:rPr>
                <w:rFonts w:cs="仿宋" w:asciiTheme="minorEastAsia" w:hAnsiTheme="minorEastAsia"/>
                <w:szCs w:val="21"/>
              </w:rPr>
            </w:pPr>
            <w:r>
              <w:rPr>
                <w:rFonts w:hint="eastAsia" w:cs="仿宋" w:asciiTheme="minorEastAsia" w:hAnsiTheme="minor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VR</w:t>
            </w:r>
          </w:p>
          <w:p>
            <w:pPr>
              <w:spacing w:line="360" w:lineRule="auto"/>
              <w:rPr>
                <w:rFonts w:ascii="宋体" w:hAnsi="宋体" w:eastAsia="宋体" w:cs="宋体"/>
                <w:szCs w:val="21"/>
              </w:rPr>
            </w:pPr>
            <w:r>
              <w:rPr>
                <w:rFonts w:hint="eastAsia" w:ascii="宋体" w:hAnsi="宋体" w:eastAsia="宋体" w:cs="宋体"/>
                <w:szCs w:val="21"/>
              </w:rPr>
              <w:t>拍</w:t>
            </w:r>
          </w:p>
          <w:p>
            <w:pPr>
              <w:spacing w:line="360" w:lineRule="auto"/>
              <w:rPr>
                <w:rFonts w:ascii="宋体" w:hAnsi="宋体" w:eastAsia="宋体" w:cs="宋体"/>
                <w:szCs w:val="21"/>
              </w:rPr>
            </w:pPr>
            <w:r>
              <w:rPr>
                <w:rFonts w:hint="eastAsia" w:ascii="宋体" w:hAnsi="宋体" w:eastAsia="宋体" w:cs="宋体"/>
                <w:szCs w:val="21"/>
              </w:rPr>
              <w:t>摄</w:t>
            </w:r>
          </w:p>
          <w:p>
            <w:pPr>
              <w:spacing w:line="360" w:lineRule="auto"/>
              <w:rPr>
                <w:rFonts w:ascii="宋体" w:hAnsi="宋体" w:eastAsia="宋体" w:cs="宋体"/>
                <w:szCs w:val="21"/>
              </w:rPr>
            </w:pPr>
            <w:r>
              <w:rPr>
                <w:rFonts w:hint="eastAsia" w:ascii="宋体" w:hAnsi="宋体" w:eastAsia="宋体" w:cs="宋体"/>
                <w:szCs w:val="21"/>
              </w:rPr>
              <w:t>设</w:t>
            </w:r>
          </w:p>
          <w:p>
            <w:pPr>
              <w:spacing w:line="360" w:lineRule="auto"/>
              <w:rPr>
                <w:rFonts w:ascii="宋体" w:hAnsi="宋体" w:eastAsia="宋体" w:cs="宋体"/>
                <w:szCs w:val="21"/>
              </w:rPr>
            </w:pPr>
            <w:r>
              <w:rPr>
                <w:rFonts w:hint="eastAsia" w:ascii="宋体" w:hAnsi="宋体" w:eastAsia="宋体" w:cs="宋体"/>
                <w:szCs w:val="21"/>
              </w:rPr>
              <w:t>备</w:t>
            </w:r>
          </w:p>
        </w:tc>
        <w:tc>
          <w:tcPr>
            <w:tcW w:w="750" w:type="dxa"/>
          </w:tcPr>
          <w:p>
            <w:pPr>
              <w:spacing w:line="360" w:lineRule="auto"/>
              <w:rPr>
                <w:rFonts w:ascii="宋体" w:hAnsi="宋体" w:eastAsia="宋体" w:cs="宋体"/>
                <w:szCs w:val="21"/>
              </w:rPr>
            </w:pPr>
            <w:r>
              <w:rPr>
                <w:rFonts w:hint="eastAsia" w:ascii="宋体" w:hAnsi="宋体" w:eastAsia="宋体" w:cs="宋体"/>
                <w:szCs w:val="21"/>
              </w:rPr>
              <w:t>1</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Insta360 ONE RS全景相机（套装）+意外险</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包含全景相机一年的意外险</w:t>
            </w: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Insta360 ONE RS全景相机专用隐形麦克风支架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Insta360 ONE RS 全景相机快拆配件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4</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F22系列小隼FALCAM快装二维云台</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5</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F22系列FALCAM小隼F22快装球台套件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6</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LS21多功能直播摄影多臂合一拓展支架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7</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UURig R015蜗牛云台可调阻尼微单相机兔笼底座转接拓展配件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8</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Ulanzi优篮子 通用把手手机支架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9</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Ulanzi优篮子 F38小隼快装板大疆RS2如影</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10</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小隼F22快装板单反相机云台稳定器兔笼冷靴二维球台</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11</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SmallRig斯莫格旋转滑槽通用侧手柄</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12</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灵珑Lino金属手机兔笼</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13</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Ulanzi优篮子 ZERO Y零感全碳纤维三脚架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14</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大疆 DJI Air 2S 无人机</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15</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大疆Care随心换2年版（Air 2S）</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DJI Air 2S两年意外险</w:t>
            </w: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16</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大疆 DJI 御3  畅飞套装</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17</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大疆Care随心换2年版（ 御3）</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DJI 御3两年意外险</w:t>
            </w: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18</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 xml:space="preserve">大疆 DJI RS 3 pro 稳定器 </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19</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DJI Mic 无线麦克风</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20</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INSTA360 VR外挂无人机配件</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21</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索尼cfexpress type A 80G高速卡</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22</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索尼type A读卡器</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23</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雷克沙CFexpress卡128G</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24</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雷克沙TypeB读卡器</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25</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尼康（Nikon） Z9 TILTA铁头兔笼</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26</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尼康（Nikon） Z9 沣标EN-EL18d电池</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27</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马小路Marsace ML-01悬臂云台 MT-3543SV MT-4543SV三脚架套装 自带75MM碗口</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28</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马小路Marsace MT-4543SV XB-3R三脚架套装 </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29</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印迹(iFootage) 液压全景 独脚架 铝合金伸缩独脚架</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30</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轻装时代Mars3碳纤维双轴电动滑轨、滑轨稳定支撑杆</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包含一个电动滑轨和一对支撑杆</w:t>
            </w: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31</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艾肯 icon直播声卡</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32</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神牛LC500rgb补光灯</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33</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DJI Mic 无线麦克风</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34</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德国B&amp;W倍威手提拉杆安全箱相机镜头防护箱摄影器材数码设备仪器收纳箱标准款合集 type6800黑</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vAlign w:val="center"/>
          </w:tcPr>
          <w:p>
            <w:pPr>
              <w:jc w:val="center"/>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1" w:type="dxa"/>
            <w:gridSpan w:val="6"/>
          </w:tcPr>
          <w:p>
            <w:pPr>
              <w:spacing w:line="360" w:lineRule="auto"/>
              <w:jc w:val="right"/>
              <w:rPr>
                <w:rFonts w:ascii="宋体" w:hAnsi="宋体" w:eastAsia="宋体" w:cs="宋体"/>
                <w:szCs w:val="21"/>
              </w:rPr>
            </w:pPr>
            <w:r>
              <w:rPr>
                <w:rFonts w:hint="eastAsia" w:ascii="宋体" w:hAnsi="宋体" w:eastAsia="宋体" w:cs="宋体"/>
                <w:szCs w:val="21"/>
              </w:rPr>
              <w:t>小计：</w:t>
            </w: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后</w:t>
            </w:r>
          </w:p>
          <w:p>
            <w:pPr>
              <w:spacing w:line="360" w:lineRule="auto"/>
              <w:rPr>
                <w:rFonts w:ascii="宋体" w:hAnsi="宋体" w:eastAsia="宋体" w:cs="宋体"/>
                <w:szCs w:val="21"/>
              </w:rPr>
            </w:pPr>
            <w:r>
              <w:rPr>
                <w:rFonts w:hint="eastAsia" w:ascii="宋体" w:hAnsi="宋体" w:eastAsia="宋体" w:cs="宋体"/>
                <w:szCs w:val="21"/>
              </w:rPr>
              <w:t>期</w:t>
            </w:r>
          </w:p>
          <w:p>
            <w:pPr>
              <w:spacing w:line="360" w:lineRule="auto"/>
              <w:rPr>
                <w:rFonts w:ascii="宋体" w:hAnsi="宋体" w:eastAsia="宋体" w:cs="宋体"/>
                <w:szCs w:val="21"/>
              </w:rPr>
            </w:pPr>
            <w:r>
              <w:rPr>
                <w:rFonts w:hint="eastAsia" w:ascii="宋体" w:hAnsi="宋体" w:eastAsia="宋体" w:cs="宋体"/>
                <w:szCs w:val="21"/>
              </w:rPr>
              <w:t>影</w:t>
            </w:r>
          </w:p>
          <w:p>
            <w:pPr>
              <w:spacing w:line="360" w:lineRule="auto"/>
              <w:rPr>
                <w:rFonts w:ascii="宋体" w:hAnsi="宋体" w:eastAsia="宋体" w:cs="宋体"/>
                <w:szCs w:val="21"/>
              </w:rPr>
            </w:pPr>
            <w:r>
              <w:rPr>
                <w:rFonts w:hint="eastAsia" w:ascii="宋体" w:hAnsi="宋体" w:eastAsia="宋体" w:cs="宋体"/>
                <w:szCs w:val="21"/>
              </w:rPr>
              <w:t>视</w:t>
            </w:r>
          </w:p>
          <w:p>
            <w:pPr>
              <w:spacing w:line="360" w:lineRule="auto"/>
              <w:rPr>
                <w:rFonts w:ascii="宋体" w:hAnsi="宋体" w:eastAsia="宋体" w:cs="宋体"/>
                <w:szCs w:val="21"/>
              </w:rPr>
            </w:pPr>
            <w:r>
              <w:rPr>
                <w:rFonts w:hint="eastAsia" w:ascii="宋体" w:hAnsi="宋体" w:eastAsia="宋体" w:cs="宋体"/>
                <w:szCs w:val="21"/>
              </w:rPr>
              <w:t>制</w:t>
            </w:r>
          </w:p>
          <w:p>
            <w:pPr>
              <w:spacing w:line="360" w:lineRule="auto"/>
              <w:rPr>
                <w:rFonts w:ascii="宋体" w:hAnsi="宋体" w:eastAsia="宋体" w:cs="宋体"/>
                <w:szCs w:val="21"/>
              </w:rPr>
            </w:pPr>
            <w:r>
              <w:rPr>
                <w:rFonts w:hint="eastAsia" w:ascii="宋体" w:hAnsi="宋体" w:eastAsia="宋体" w:cs="宋体"/>
                <w:szCs w:val="21"/>
              </w:rPr>
              <w:t>作</w:t>
            </w:r>
          </w:p>
          <w:p>
            <w:pPr>
              <w:spacing w:line="360" w:lineRule="auto"/>
              <w:rPr>
                <w:rFonts w:ascii="宋体" w:hAnsi="宋体" w:eastAsia="宋体" w:cs="宋体"/>
                <w:szCs w:val="21"/>
              </w:rPr>
            </w:pPr>
            <w:r>
              <w:rPr>
                <w:rFonts w:hint="eastAsia" w:ascii="宋体" w:hAnsi="宋体" w:eastAsia="宋体" w:cs="宋体"/>
                <w:szCs w:val="21"/>
              </w:rPr>
              <w:t>设</w:t>
            </w:r>
          </w:p>
          <w:p>
            <w:pPr>
              <w:spacing w:line="360" w:lineRule="auto"/>
              <w:rPr>
                <w:rFonts w:ascii="宋体" w:hAnsi="宋体" w:eastAsia="宋体" w:cs="宋体"/>
                <w:szCs w:val="21"/>
              </w:rPr>
            </w:pPr>
            <w:r>
              <w:rPr>
                <w:rFonts w:hint="eastAsia" w:ascii="宋体" w:hAnsi="宋体" w:eastAsia="宋体" w:cs="宋体"/>
                <w:szCs w:val="21"/>
              </w:rPr>
              <w:t>备</w:t>
            </w:r>
          </w:p>
        </w:tc>
        <w:tc>
          <w:tcPr>
            <w:tcW w:w="750" w:type="dxa"/>
          </w:tcPr>
          <w:p>
            <w:pPr>
              <w:spacing w:line="360" w:lineRule="auto"/>
              <w:rPr>
                <w:rFonts w:ascii="宋体" w:hAnsi="宋体" w:eastAsia="宋体" w:cs="宋体"/>
                <w:szCs w:val="21"/>
              </w:rPr>
            </w:pPr>
            <w:r>
              <w:rPr>
                <w:rFonts w:hint="eastAsia" w:ascii="宋体" w:hAnsi="宋体" w:eastAsia="宋体" w:cs="宋体"/>
                <w:szCs w:val="21"/>
              </w:rPr>
              <w:t>1</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 xml:space="preserve">定制兼容机（ i9 12900K、Z690-E、32G（2*16G）ddr5、m.2   1T固态、A4000图形显卡、水冷） </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2</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CalDigit雷电4数据线USB4连接线USB-C typec接口线Thunderbolt4传输线 2米</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3</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乔鼎 Pegasus32 R4 4盘位雷电3阵列</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4</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希捷(Seagate)16TB 企业级硬盘 银河系列</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4</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5</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沣标（FB）BP-190W索尼广播级摄影录像机锂电池 V口电池(三盏灯和无线图传上使用)</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6</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iPad Pro 11寸 深空灰 512G</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7</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iPad Pro 11寸妙控键盘套装</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8</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苹果MAC鼠标</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9</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京东京造k4键盘</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10</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奈特科尔清洁套装</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11</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蔡司镜头清洁用纸</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2</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12</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三星（SAMSUNG）34英寸 WQHD 21:9带鱼屏</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13</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LG OLED48C1PCB 48英寸(48CX升级版)HDR制作</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14</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Mac Studio Apple M1 Ultra（HDR剪辑）</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15</w:t>
            </w:r>
          </w:p>
        </w:tc>
        <w:tc>
          <w:tcPr>
            <w:tcW w:w="2945" w:type="dxa"/>
            <w:vAlign w:val="center"/>
          </w:tcPr>
          <w:p>
            <w:pPr>
              <w:widowControl/>
              <w:jc w:val="left"/>
              <w:textAlignment w:val="center"/>
              <w:rPr>
                <w:rFonts w:ascii="宋体" w:hAnsi="宋体" w:eastAsia="宋体" w:cs="宋体"/>
                <w:szCs w:val="21"/>
              </w:rPr>
            </w:pPr>
            <w:r>
              <w:rPr>
                <w:rFonts w:hint="eastAsia" w:ascii="宋体" w:hAnsi="宋体" w:eastAsia="宋体" w:cs="宋体"/>
                <w:color w:val="000000"/>
                <w:kern w:val="0"/>
                <w:szCs w:val="21"/>
                <w:lang w:bidi="ar"/>
              </w:rPr>
              <w:t xml:space="preserve">带有触控 ID 和数字小键盘的妙控键盘 (适用于配备 Apple 芯片的 Mac 机型) </w:t>
            </w:r>
          </w:p>
        </w:tc>
        <w:tc>
          <w:tcPr>
            <w:tcW w:w="800" w:type="dxa"/>
            <w:vAlign w:val="center"/>
          </w:tcPr>
          <w:p>
            <w:pPr>
              <w:widowControl/>
              <w:jc w:val="center"/>
              <w:textAlignment w:val="center"/>
              <w:rPr>
                <w:rFonts w:ascii="宋体" w:hAnsi="宋体" w:eastAsia="宋体" w:cs="宋体"/>
                <w:szCs w:val="21"/>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16</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妙控板 - 黑色多点触控表面</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17</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惠普（HP）惠普 7720彩色喷墨A3一体机打印双面复印</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18</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惠普 7720打印机墨盒</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spacing w:line="360" w:lineRule="auto"/>
              <w:rPr>
                <w:rFonts w:ascii="宋体" w:hAnsi="宋体" w:eastAsia="宋体" w:cs="宋体"/>
                <w:szCs w:val="21"/>
              </w:rPr>
            </w:pPr>
          </w:p>
        </w:tc>
        <w:tc>
          <w:tcPr>
            <w:tcW w:w="750" w:type="dxa"/>
          </w:tcPr>
          <w:p>
            <w:pPr>
              <w:spacing w:line="360" w:lineRule="auto"/>
              <w:rPr>
                <w:rFonts w:ascii="宋体" w:hAnsi="宋体" w:eastAsia="宋体" w:cs="宋体"/>
                <w:szCs w:val="21"/>
              </w:rPr>
            </w:pPr>
            <w:r>
              <w:rPr>
                <w:rFonts w:hint="eastAsia" w:ascii="宋体" w:hAnsi="宋体" w:eastAsia="宋体" w:cs="宋体"/>
                <w:szCs w:val="21"/>
              </w:rPr>
              <w:t>19</w:t>
            </w:r>
          </w:p>
        </w:tc>
        <w:tc>
          <w:tcPr>
            <w:tcW w:w="2945"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希捷8T企业级硬盘</w:t>
            </w:r>
          </w:p>
        </w:tc>
        <w:tc>
          <w:tcPr>
            <w:tcW w:w="800" w:type="dxa"/>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580" w:type="dxa"/>
          </w:tcPr>
          <w:p>
            <w:pPr>
              <w:spacing w:line="360" w:lineRule="auto"/>
              <w:rPr>
                <w:rFonts w:ascii="宋体" w:hAnsi="宋体" w:eastAsia="宋体" w:cs="宋体"/>
                <w:szCs w:val="21"/>
              </w:rPr>
            </w:pPr>
          </w:p>
        </w:tc>
        <w:tc>
          <w:tcPr>
            <w:tcW w:w="940" w:type="dxa"/>
          </w:tcPr>
          <w:p>
            <w:pPr>
              <w:spacing w:line="360" w:lineRule="auto"/>
              <w:rPr>
                <w:rFonts w:ascii="宋体" w:hAnsi="宋体" w:eastAsia="宋体" w:cs="宋体"/>
                <w:szCs w:val="21"/>
              </w:rPr>
            </w:pP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1" w:type="dxa"/>
            <w:gridSpan w:val="6"/>
          </w:tcPr>
          <w:p>
            <w:pPr>
              <w:spacing w:line="360" w:lineRule="auto"/>
              <w:jc w:val="right"/>
              <w:rPr>
                <w:rFonts w:ascii="宋体" w:hAnsi="宋体" w:eastAsia="宋体" w:cs="宋体"/>
                <w:szCs w:val="21"/>
              </w:rPr>
            </w:pPr>
            <w:r>
              <w:rPr>
                <w:rFonts w:hint="eastAsia" w:ascii="宋体" w:hAnsi="宋体" w:eastAsia="宋体" w:cs="宋体"/>
                <w:szCs w:val="21"/>
              </w:rPr>
              <w:t>小计：</w:t>
            </w:r>
          </w:p>
        </w:tc>
        <w:tc>
          <w:tcPr>
            <w:tcW w:w="980" w:type="dxa"/>
          </w:tcPr>
          <w:p>
            <w:pPr>
              <w:spacing w:line="360" w:lineRule="auto"/>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1" w:type="dxa"/>
            <w:gridSpan w:val="6"/>
          </w:tcPr>
          <w:p>
            <w:pPr>
              <w:spacing w:line="360" w:lineRule="auto"/>
              <w:jc w:val="right"/>
              <w:rPr>
                <w:rFonts w:ascii="宋体" w:hAnsi="宋体" w:eastAsia="宋体" w:cs="宋体"/>
                <w:szCs w:val="21"/>
              </w:rPr>
            </w:pPr>
            <w:r>
              <w:rPr>
                <w:rFonts w:hint="eastAsia" w:ascii="宋体" w:hAnsi="宋体" w:eastAsia="宋体" w:cs="宋体"/>
                <w:szCs w:val="21"/>
              </w:rPr>
              <w:t>合计：</w:t>
            </w:r>
          </w:p>
        </w:tc>
        <w:tc>
          <w:tcPr>
            <w:tcW w:w="980" w:type="dxa"/>
          </w:tcPr>
          <w:p>
            <w:pPr>
              <w:spacing w:line="360" w:lineRule="auto"/>
              <w:rPr>
                <w:rFonts w:cs="仿宋" w:asciiTheme="minorEastAsia" w:hAnsiTheme="minorEastAsia"/>
                <w:szCs w:val="21"/>
              </w:rPr>
            </w:pPr>
          </w:p>
        </w:tc>
      </w:tr>
    </w:tbl>
    <w:p>
      <w:pPr>
        <w:spacing w:line="360" w:lineRule="auto"/>
        <w:ind w:left="210" w:leftChars="100" w:firstLine="241" w:firstLineChars="100"/>
        <w:rPr>
          <w:rFonts w:ascii="宋体" w:hAnsi="宋体" w:eastAsia="宋体"/>
          <w:b/>
          <w:sz w:val="24"/>
        </w:rPr>
      </w:pPr>
    </w:p>
    <w:p>
      <w:pPr>
        <w:spacing w:line="360" w:lineRule="auto"/>
        <w:ind w:left="210" w:leftChars="100" w:firstLine="241" w:firstLineChars="100"/>
        <w:rPr>
          <w:rFonts w:ascii="宋体" w:hAnsi="宋体" w:eastAsia="宋体"/>
          <w:b/>
          <w:sz w:val="24"/>
        </w:rPr>
      </w:pPr>
      <w:r>
        <w:rPr>
          <w:rFonts w:hint="eastAsia" w:ascii="宋体" w:hAnsi="宋体" w:eastAsia="宋体"/>
          <w:b/>
          <w:sz w:val="24"/>
        </w:rPr>
        <w:t>三、综合要求</w:t>
      </w:r>
    </w:p>
    <w:p>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供应商须明确所投设备生产厂家、品牌、型号、规格和外形、尺寸等；</w:t>
      </w:r>
      <w:r>
        <w:rPr>
          <w:rFonts w:hint="eastAsia" w:ascii="宋体" w:hAnsi="宋体" w:eastAsia="宋体" w:cs="宋体"/>
          <w:sz w:val="24"/>
          <w:szCs w:val="24"/>
          <w:highlight w:val="none"/>
        </w:rPr>
        <w:t>并在采购人提出要求时</w:t>
      </w:r>
      <w:r>
        <w:rPr>
          <w:rFonts w:ascii="宋体" w:hAnsi="宋体" w:eastAsia="宋体" w:cs="宋体"/>
          <w:sz w:val="24"/>
          <w:szCs w:val="24"/>
          <w:highlight w:val="none"/>
        </w:rPr>
        <w:t>提供设备的配置清单，并提供详细的技术参数和性能说明书。</w:t>
      </w:r>
    </w:p>
    <w:p>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须提供质量保证，在质量保证期内该设备或产品出现质量问题（人为除外），</w:t>
      </w:r>
      <w:r>
        <w:rPr>
          <w:rFonts w:hint="eastAsia" w:ascii="宋体" w:hAnsi="宋体" w:eastAsia="宋体" w:cs="宋体"/>
          <w:sz w:val="24"/>
          <w:szCs w:val="24"/>
          <w:highlight w:val="none"/>
        </w:rPr>
        <w:t>供应商需配合采购人进行维修或退换货等服务，具体质保期限以设备官方售后为准。</w:t>
      </w:r>
    </w:p>
    <w:p>
      <w:pPr>
        <w:spacing w:line="360" w:lineRule="auto"/>
        <w:ind w:left="420"/>
        <w:rPr>
          <w:rFonts w:ascii="宋体" w:hAnsi="宋体" w:eastAsia="宋体"/>
          <w:b/>
          <w:bCs/>
          <w:sz w:val="24"/>
          <w:highlight w:val="none"/>
        </w:rPr>
      </w:pPr>
      <w:r>
        <w:rPr>
          <w:rFonts w:hint="eastAsia" w:ascii="宋体" w:hAnsi="宋体" w:eastAsia="宋体"/>
          <w:b/>
          <w:bCs/>
          <w:sz w:val="24"/>
          <w:highlight w:val="none"/>
        </w:rPr>
        <w:t>四、交货时间</w:t>
      </w:r>
    </w:p>
    <w:p>
      <w:pPr>
        <w:spacing w:line="360" w:lineRule="auto"/>
        <w:ind w:firstLine="420"/>
        <w:rPr>
          <w:rFonts w:ascii="宋体" w:hAnsi="宋体" w:eastAsia="宋体"/>
          <w:sz w:val="24"/>
          <w:highlight w:val="none"/>
        </w:rPr>
      </w:pPr>
      <w:r>
        <w:rPr>
          <w:rFonts w:ascii="宋体" w:hAnsi="宋体" w:eastAsia="宋体" w:cs="宋体"/>
          <w:sz w:val="24"/>
          <w:szCs w:val="24"/>
          <w:highlight w:val="none"/>
        </w:rPr>
        <w:t>合同签订之日起30日内，全部设备全部运抵采购人现场，并安装、调试结束，验收合格，交付采购人使用。</w:t>
      </w:r>
      <w:r>
        <w:rPr>
          <w:rFonts w:ascii="宋体" w:hAnsi="宋体" w:eastAsia="宋体"/>
          <w:sz w:val="24"/>
          <w:highlight w:val="none"/>
        </w:rPr>
        <w:t xml:space="preserve"> </w:t>
      </w:r>
    </w:p>
    <w:p>
      <w:pPr>
        <w:spacing w:line="360" w:lineRule="auto"/>
        <w:ind w:left="420"/>
        <w:rPr>
          <w:rFonts w:ascii="宋体" w:hAnsi="宋体" w:eastAsia="宋体"/>
          <w:b/>
          <w:bCs/>
          <w:sz w:val="24"/>
          <w:highlight w:val="none"/>
        </w:rPr>
      </w:pPr>
      <w:r>
        <w:rPr>
          <w:rFonts w:hint="eastAsia" w:ascii="宋体" w:hAnsi="宋体" w:eastAsia="宋体"/>
          <w:b/>
          <w:bCs/>
          <w:sz w:val="24"/>
          <w:highlight w:val="none"/>
        </w:rPr>
        <w:t>五、付款方式</w:t>
      </w:r>
    </w:p>
    <w:p>
      <w:pPr>
        <w:ind w:firstLine="420"/>
      </w:pPr>
      <w:r>
        <w:rPr>
          <w:rFonts w:hint="eastAsia" w:ascii="宋体" w:hAnsi="宋体" w:eastAsia="宋体"/>
          <w:sz w:val="24"/>
          <w:highlight w:val="none"/>
        </w:rPr>
        <w:t>所有采购货物交付采购人并验收合格后，30日内一次性付清。</w:t>
      </w:r>
      <w:r>
        <w:br w:type="page"/>
      </w:r>
    </w:p>
    <w:p>
      <w:pPr>
        <w:keepNext/>
        <w:spacing w:line="360" w:lineRule="auto"/>
        <w:jc w:val="center"/>
        <w:outlineLvl w:val="0"/>
        <w:rPr>
          <w:rFonts w:ascii="黑体" w:hAnsi="黑体" w:eastAsia="黑体" w:cs="Times New Roman"/>
          <w:bCs/>
          <w:kern w:val="0"/>
          <w:sz w:val="28"/>
          <w:szCs w:val="28"/>
        </w:rPr>
      </w:pPr>
      <w:bookmarkStart w:id="46" w:name="_Toc55147048"/>
      <w:bookmarkStart w:id="47" w:name="_Toc63173552"/>
      <w:bookmarkStart w:id="48" w:name="_Toc29401"/>
      <w:bookmarkStart w:id="49" w:name="_Toc55147050"/>
      <w:r>
        <w:rPr>
          <w:rFonts w:hint="eastAsia" w:ascii="黑体" w:hAnsi="黑体" w:eastAsia="黑体" w:cs="Times New Roman"/>
          <w:bCs/>
          <w:kern w:val="0"/>
          <w:sz w:val="28"/>
          <w:szCs w:val="28"/>
        </w:rPr>
        <w:t>四．</w:t>
      </w:r>
      <w:bookmarkEnd w:id="46"/>
      <w:r>
        <w:rPr>
          <w:rFonts w:hint="eastAsia" w:ascii="黑体" w:hAnsi="黑体" w:eastAsia="黑体" w:cs="Times New Roman"/>
          <w:bCs/>
          <w:kern w:val="0"/>
          <w:sz w:val="28"/>
          <w:szCs w:val="28"/>
        </w:rPr>
        <w:t>合同条款及格式</w:t>
      </w:r>
      <w:bookmarkEnd w:id="47"/>
      <w:bookmarkEnd w:id="48"/>
    </w:p>
    <w:p>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仿宋" w:hAnsi="仿宋" w:eastAsia="仿宋"/>
          <w:sz w:val="30"/>
          <w:szCs w:val="30"/>
        </w:rPr>
      </w:pPr>
      <w:r>
        <w:rPr>
          <w:rFonts w:hint="eastAsia" w:ascii="仿宋" w:hAnsi="仿宋" w:eastAsia="仿宋"/>
          <w:sz w:val="30"/>
          <w:szCs w:val="30"/>
        </w:rPr>
        <w:t xml:space="preserve">参考格式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center"/>
        <w:rPr>
          <w:rFonts w:ascii="黑体" w:hAnsi="黑体" w:eastAsia="黑体"/>
          <w:bCs/>
          <w:sz w:val="32"/>
          <w:szCs w:val="28"/>
        </w:rPr>
      </w:pPr>
      <w:r>
        <w:rPr>
          <w:rFonts w:hint="eastAsia" w:ascii="黑体" w:hAnsi="黑体" w:eastAsia="黑体"/>
          <w:bCs/>
          <w:sz w:val="32"/>
          <w:szCs w:val="28"/>
        </w:rPr>
        <w:t>第一部分 合同书</w:t>
      </w:r>
    </w:p>
    <w:p>
      <w:pPr>
        <w:autoSpaceDE w:val="0"/>
        <w:autoSpaceDN w:val="0"/>
        <w:adjustRightInd w:val="0"/>
        <w:jc w:val="left"/>
        <w:rPr>
          <w:rFonts w:ascii="楷体" w:hAnsi="楷体" w:eastAsia="楷体"/>
          <w:sz w:val="24"/>
        </w:rPr>
      </w:pPr>
      <w:r>
        <w:rPr>
          <w:rFonts w:hint="eastAsia" w:ascii="楷体" w:hAnsi="楷体" w:eastAsia="楷体"/>
          <w:sz w:val="24"/>
        </w:rPr>
        <w:t xml:space="preserve"> </w:t>
      </w: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1960" w:firstLineChars="7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rPr>
          <w:rFonts w:ascii="黑体" w:hAnsi="黑体" w:eastAsia="黑体"/>
          <w:sz w:val="28"/>
        </w:rPr>
      </w:pPr>
      <w:r>
        <w:rPr>
          <w:rFonts w:hint="eastAsia" w:ascii="黑体" w:hAnsi="黑体" w:eastAsia="黑体"/>
          <w:sz w:val="28"/>
        </w:rPr>
        <w:br w:type="page"/>
      </w:r>
    </w:p>
    <w:p>
      <w:pPr>
        <w:spacing w:before="120" w:line="240" w:lineRule="atLeast"/>
        <w:rPr>
          <w:rFonts w:ascii="仿宋" w:hAnsi="仿宋" w:eastAsia="仿宋"/>
          <w:sz w:val="32"/>
          <w:szCs w:val="32"/>
        </w:rPr>
        <w:sectPr>
          <w:pgSz w:w="11906" w:h="16838"/>
          <w:pgMar w:top="2098" w:right="1474" w:bottom="1985" w:left="1588" w:header="851" w:footer="992" w:gutter="0"/>
          <w:cols w:space="425" w:num="1"/>
          <w:docGrid w:type="lines" w:linePitch="312" w:charSpace="0"/>
        </w:sectPr>
      </w:pPr>
    </w:p>
    <w:p>
      <w:pPr>
        <w:snapToGrid w:val="0"/>
        <w:spacing w:line="56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（采购方式）  </w:t>
      </w:r>
      <w:r>
        <w:rPr>
          <w:rFonts w:hint="eastAsia" w:ascii="宋体" w:hAnsi="宋体"/>
          <w:sz w:val="24"/>
        </w:rPr>
        <w:t>对</w:t>
      </w:r>
      <w:r>
        <w:rPr>
          <w:rFonts w:hint="eastAsia" w:ascii="宋体" w:hAnsi="宋体"/>
          <w:sz w:val="24"/>
          <w:u w:val="single"/>
        </w:rPr>
        <w:t xml:space="preserve">   （同前页项目名称）   </w:t>
      </w:r>
      <w:r>
        <w:rPr>
          <w:rFonts w:hint="eastAsia" w:ascii="宋体" w:hAnsi="宋体"/>
          <w:sz w:val="24"/>
        </w:rPr>
        <w:t>项目进行了采购。经评定，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pPr>
        <w:snapToGrid w:val="0"/>
        <w:spacing w:line="560" w:lineRule="exact"/>
        <w:ind w:firstLine="480" w:firstLineChars="200"/>
        <w:rPr>
          <w:rFonts w:ascii="宋体" w:hAnsi="宋体"/>
          <w:sz w:val="24"/>
        </w:rPr>
      </w:pPr>
      <w:r>
        <w:rPr>
          <w:rFonts w:hint="eastAsia" w:ascii="宋体" w:hAnsi="宋体"/>
          <w:sz w:val="24"/>
        </w:rPr>
        <w:t>根据《中华人民共和国合同法》、《中华人民共和国政府采购法》等相关法律法规之规定，按照平等、自愿、公平和诚实信用的原则，经</w:t>
      </w:r>
      <w:r>
        <w:rPr>
          <w:rFonts w:hint="eastAsia" w:ascii="宋体" w:hAnsi="宋体"/>
          <w:sz w:val="24"/>
          <w:u w:val="single"/>
        </w:rPr>
        <w:t xml:space="preserve">   （采购人名称）   </w:t>
      </w:r>
      <w:r>
        <w:rPr>
          <w:rFonts w:hint="eastAsia" w:ascii="宋体" w:hAnsi="宋体"/>
          <w:sz w:val="24"/>
        </w:rPr>
        <w:t>(以下简称：甲方)和</w:t>
      </w:r>
      <w:r>
        <w:rPr>
          <w:rFonts w:hint="eastAsia" w:ascii="宋体" w:hAnsi="宋体"/>
          <w:sz w:val="24"/>
          <w:u w:val="single"/>
        </w:rPr>
        <w:t xml:space="preserve">   （中标供应商名称）   </w:t>
      </w:r>
      <w:r>
        <w:rPr>
          <w:rFonts w:hint="eastAsia" w:ascii="宋体" w:hAnsi="宋体"/>
          <w:sz w:val="24"/>
        </w:rPr>
        <w:t>(以下简称：乙方)协商一致，约定以下合同条款，以兹共同遵守、全面履行。</w:t>
      </w:r>
    </w:p>
    <w:p>
      <w:pPr>
        <w:snapToGrid w:val="0"/>
        <w:spacing w:line="560" w:lineRule="exact"/>
        <w:ind w:firstLine="480" w:firstLineChars="200"/>
        <w:rPr>
          <w:rFonts w:ascii="宋体" w:hAnsi="宋体"/>
          <w:sz w:val="24"/>
        </w:rPr>
      </w:pPr>
      <w:bookmarkStart w:id="50" w:name="_Toc42074697"/>
      <w:r>
        <w:rPr>
          <w:rFonts w:hint="eastAsia" w:ascii="宋体" w:hAnsi="宋体"/>
          <w:bCs/>
          <w:sz w:val="24"/>
        </w:rPr>
        <w:t>第一条 合同组成部分</w:t>
      </w:r>
      <w:bookmarkEnd w:id="50"/>
    </w:p>
    <w:p>
      <w:pPr>
        <w:snapToGrid w:val="0"/>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Fonts w:ascii="宋体" w:hAnsi="宋体"/>
          <w:sz w:val="24"/>
        </w:rPr>
      </w:pPr>
      <w:r>
        <w:rPr>
          <w:rFonts w:hint="eastAsia" w:ascii="宋体" w:hAnsi="宋体"/>
          <w:sz w:val="24"/>
        </w:rPr>
        <w:t>1. 本合同及其补充合同、变更协议；</w:t>
      </w:r>
    </w:p>
    <w:p>
      <w:pPr>
        <w:snapToGrid w:val="0"/>
        <w:spacing w:line="560" w:lineRule="exact"/>
        <w:ind w:firstLine="480" w:firstLineChars="200"/>
        <w:rPr>
          <w:rFonts w:ascii="宋体" w:hAnsi="宋体"/>
          <w:sz w:val="24"/>
        </w:rPr>
      </w:pPr>
      <w:r>
        <w:rPr>
          <w:rFonts w:hint="eastAsia" w:ascii="宋体" w:hAnsi="宋体"/>
          <w:sz w:val="24"/>
        </w:rPr>
        <w:t>2. 中标通知书（如有）；</w:t>
      </w:r>
    </w:p>
    <w:p>
      <w:pPr>
        <w:snapToGrid w:val="0"/>
        <w:spacing w:line="560" w:lineRule="exact"/>
        <w:ind w:firstLine="480" w:firstLineChars="200"/>
        <w:rPr>
          <w:rFonts w:ascii="宋体" w:hAnsi="宋体"/>
          <w:sz w:val="24"/>
        </w:rPr>
      </w:pPr>
      <w:r>
        <w:rPr>
          <w:rFonts w:hint="eastAsia" w:ascii="宋体" w:hAnsi="宋体"/>
          <w:sz w:val="24"/>
        </w:rPr>
        <w:t>3. 乙方提交的投标文件（含澄清或者说明文件）；</w:t>
      </w:r>
    </w:p>
    <w:p>
      <w:pPr>
        <w:snapToGrid w:val="0"/>
        <w:spacing w:line="560" w:lineRule="exact"/>
        <w:ind w:firstLine="480" w:firstLineChars="200"/>
        <w:rPr>
          <w:rFonts w:ascii="宋体" w:hAnsi="宋体"/>
          <w:sz w:val="24"/>
        </w:rPr>
      </w:pPr>
      <w:r>
        <w:rPr>
          <w:rFonts w:hint="eastAsia" w:ascii="宋体" w:hAnsi="宋体"/>
          <w:sz w:val="24"/>
        </w:rPr>
        <w:t>4. 招标文件（含澄清或者修改文件）；</w:t>
      </w:r>
    </w:p>
    <w:p>
      <w:pPr>
        <w:snapToGrid w:val="0"/>
        <w:spacing w:line="560" w:lineRule="exact"/>
        <w:ind w:firstLine="480" w:firstLineChars="200"/>
        <w:rPr>
          <w:rFonts w:ascii="宋体" w:hAnsi="宋体"/>
          <w:sz w:val="24"/>
        </w:rPr>
      </w:pPr>
      <w:r>
        <w:rPr>
          <w:rFonts w:hint="eastAsia" w:ascii="宋体" w:hAnsi="宋体"/>
          <w:sz w:val="24"/>
        </w:rPr>
        <w:t>5. 其他相关采购文件。</w:t>
      </w:r>
    </w:p>
    <w:p>
      <w:pPr>
        <w:snapToGrid w:val="0"/>
        <w:spacing w:line="560" w:lineRule="exact"/>
        <w:ind w:firstLine="480" w:firstLineChars="200"/>
        <w:rPr>
          <w:rFonts w:ascii="宋体" w:hAnsi="宋体"/>
          <w:sz w:val="24"/>
        </w:rPr>
      </w:pPr>
      <w:r>
        <w:rPr>
          <w:rFonts w:hint="eastAsia" w:ascii="宋体" w:hAnsi="宋体"/>
          <w:sz w:val="24"/>
        </w:rPr>
        <w:t>双方有关项目的洽商、变更等书面协议或文件视为本合同的组成部分。</w:t>
      </w:r>
    </w:p>
    <w:p>
      <w:pPr>
        <w:snapToGrid w:val="0"/>
        <w:spacing w:line="560" w:lineRule="exact"/>
        <w:ind w:firstLine="480" w:firstLineChars="200"/>
        <w:rPr>
          <w:rFonts w:ascii="宋体" w:hAnsi="宋体"/>
          <w:bCs/>
          <w:sz w:val="24"/>
        </w:rPr>
      </w:pPr>
      <w:r>
        <w:rPr>
          <w:rFonts w:hint="eastAsia" w:ascii="宋体" w:hAnsi="宋体"/>
          <w:bCs/>
          <w:sz w:val="24"/>
        </w:rPr>
        <w:t>第二条 合同标的内容</w:t>
      </w:r>
    </w:p>
    <w:p>
      <w:pPr>
        <w:snapToGrid w:val="0"/>
        <w:spacing w:line="560" w:lineRule="exact"/>
        <w:ind w:firstLine="480" w:firstLineChars="200"/>
        <w:rPr>
          <w:rFonts w:ascii="宋体" w:hAnsi="宋体"/>
          <w:sz w:val="24"/>
          <w:u w:val="single"/>
        </w:rPr>
      </w:pPr>
      <w:r>
        <w:rPr>
          <w:rFonts w:hint="eastAsia" w:ascii="宋体" w:hAnsi="宋体"/>
          <w:sz w:val="24"/>
        </w:rPr>
        <w:t>1. 货物名称：</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2. 货物数量：</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3. 货物质量：</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sz w:val="24"/>
        </w:rPr>
      </w:pPr>
      <w:r>
        <w:rPr>
          <w:rFonts w:hint="eastAsia" w:ascii="宋体" w:hAnsi="宋体"/>
          <w:sz w:val="24"/>
        </w:rPr>
        <w:t>4. 供货期限：</w:t>
      </w:r>
      <w:r>
        <w:rPr>
          <w:rFonts w:hint="eastAsia" w:ascii="宋体" w:hAnsi="宋体"/>
          <w:sz w:val="24"/>
          <w:u w:val="single"/>
        </w:rPr>
        <w:t xml:space="preserve">                               </w:t>
      </w:r>
      <w:r>
        <w:rPr>
          <w:rFonts w:hint="eastAsia" w:ascii="宋体" w:hAnsi="宋体"/>
          <w:sz w:val="24"/>
        </w:rPr>
        <w:t>。</w:t>
      </w:r>
    </w:p>
    <w:p>
      <w:pPr>
        <w:snapToGrid w:val="0"/>
        <w:spacing w:line="560" w:lineRule="exact"/>
        <w:ind w:firstLine="480" w:firstLineChars="200"/>
        <w:rPr>
          <w:rFonts w:ascii="宋体" w:hAnsi="宋体"/>
          <w:bCs/>
          <w:sz w:val="24"/>
        </w:rPr>
      </w:pPr>
      <w:r>
        <w:rPr>
          <w:rFonts w:hint="eastAsia" w:ascii="宋体" w:hAnsi="宋体"/>
          <w:bCs/>
          <w:sz w:val="24"/>
        </w:rPr>
        <w:t>第三条 合同价款及支付方式</w:t>
      </w:r>
    </w:p>
    <w:p>
      <w:pPr>
        <w:snapToGrid w:val="0"/>
        <w:spacing w:line="560" w:lineRule="exact"/>
        <w:ind w:firstLine="480" w:firstLineChars="200"/>
        <w:rPr>
          <w:rFonts w:ascii="宋体" w:hAnsi="宋体"/>
          <w:sz w:val="24"/>
          <w:u w:val="single"/>
        </w:rPr>
      </w:pPr>
      <w:r>
        <w:rPr>
          <w:rFonts w:hint="eastAsia" w:ascii="宋体" w:hAnsi="宋体"/>
          <w:sz w:val="24"/>
        </w:rPr>
        <w:t>1. 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元人民币）。分项价格如下（可作为附件）：</w:t>
      </w:r>
    </w:p>
    <w:tbl>
      <w:tblPr>
        <w:tblStyle w:val="3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33"/>
        <w:gridCol w:w="780"/>
        <w:gridCol w:w="2418"/>
        <w:gridCol w:w="850"/>
        <w:gridCol w:w="879"/>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序号</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货物名称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品牌</w:t>
            </w:r>
          </w:p>
        </w:tc>
        <w:tc>
          <w:tcPr>
            <w:tcW w:w="241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规格型号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数量</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单位</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2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单价</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1</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2</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3</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4</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5</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29"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     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24"/>
              </w:rPr>
            </w:pPr>
          </w:p>
        </w:tc>
      </w:tr>
    </w:tbl>
    <w:p>
      <w:pPr>
        <w:snapToGrid w:val="0"/>
        <w:spacing w:line="560" w:lineRule="exact"/>
        <w:ind w:firstLine="480" w:firstLineChars="200"/>
        <w:rPr>
          <w:rFonts w:ascii="宋体" w:hAnsi="宋体"/>
          <w:sz w:val="24"/>
        </w:rPr>
      </w:pPr>
      <w:r>
        <w:rPr>
          <w:rFonts w:hint="eastAsia" w:ascii="宋体" w:hAnsi="宋体"/>
          <w:sz w:val="24"/>
        </w:rPr>
        <w:t>2. 付款方式：</w:t>
      </w:r>
    </w:p>
    <w:p>
      <w:pPr>
        <w:snapToGrid w:val="0"/>
        <w:spacing w:line="560" w:lineRule="exact"/>
        <w:ind w:firstLine="480" w:firstLineChars="200"/>
        <w:rPr>
          <w:rFonts w:ascii="宋体" w:hAnsi="宋体"/>
          <w:sz w:val="24"/>
        </w:rPr>
      </w:pPr>
      <w:r>
        <w:rPr>
          <w:rFonts w:hint="eastAsia" w:ascii="宋体" w:hAnsi="宋体"/>
          <w:sz w:val="24"/>
          <w:u w:val="single"/>
        </w:rPr>
        <w:t xml:space="preserve">                                             </w:t>
      </w:r>
    </w:p>
    <w:p>
      <w:pPr>
        <w:snapToGrid w:val="0"/>
        <w:spacing w:line="560" w:lineRule="exact"/>
        <w:ind w:firstLine="480" w:firstLineChars="200"/>
        <w:rPr>
          <w:rFonts w:ascii="宋体" w:hAnsi="宋体"/>
          <w:bCs/>
          <w:sz w:val="24"/>
        </w:rPr>
      </w:pPr>
      <w:r>
        <w:rPr>
          <w:rFonts w:hint="eastAsia" w:ascii="宋体" w:hAnsi="宋体"/>
          <w:bCs/>
          <w:sz w:val="24"/>
        </w:rPr>
        <w:t>第四条 技术工艺及材料要求</w:t>
      </w:r>
    </w:p>
    <w:p>
      <w:pPr>
        <w:snapToGrid w:val="0"/>
        <w:spacing w:line="560" w:lineRule="exact"/>
        <w:ind w:firstLine="480" w:firstLineChars="200"/>
        <w:rPr>
          <w:rFonts w:ascii="宋体" w:hAnsi="宋体" w:cs="仿宋"/>
          <w:sz w:val="24"/>
        </w:rPr>
      </w:pPr>
      <w:r>
        <w:rPr>
          <w:rFonts w:hint="eastAsia" w:ascii="宋体" w:hAnsi="宋体" w:cs="仿宋"/>
          <w:sz w:val="24"/>
        </w:rPr>
        <w:t>1．整体加工及安装工艺要求：</w:t>
      </w:r>
      <w:r>
        <w:rPr>
          <w:rFonts w:ascii="宋体" w:hAnsi="宋体" w:cs="仿宋"/>
          <w:sz w:val="24"/>
        </w:rPr>
        <w:t xml:space="preserve"> </w:t>
      </w:r>
    </w:p>
    <w:p>
      <w:pPr>
        <w:snapToGrid w:val="0"/>
        <w:spacing w:line="560" w:lineRule="exact"/>
        <w:ind w:firstLine="480" w:firstLineChars="200"/>
        <w:rPr>
          <w:rFonts w:ascii="宋体" w:hAnsi="宋体" w:cs="仿宋"/>
          <w:sz w:val="24"/>
          <w:u w:val="single"/>
        </w:rPr>
      </w:pP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 材料要求：</w:t>
      </w:r>
      <w:r>
        <w:rPr>
          <w:rFonts w:ascii="宋体" w:hAnsi="宋体" w:cs="仿宋"/>
          <w:sz w:val="24"/>
        </w:rPr>
        <w:t xml:space="preserve"> </w:t>
      </w:r>
    </w:p>
    <w:p>
      <w:pPr>
        <w:snapToGrid w:val="0"/>
        <w:spacing w:line="560" w:lineRule="exact"/>
        <w:ind w:firstLine="480" w:firstLineChars="200"/>
        <w:rPr>
          <w:rFonts w:ascii="宋体" w:hAnsi="宋体"/>
          <w:sz w:val="24"/>
          <w:u w:val="single"/>
        </w:rPr>
      </w:pPr>
      <w:r>
        <w:rPr>
          <w:rFonts w:hint="eastAsia" w:ascii="宋体" w:hAnsi="宋体"/>
          <w:sz w:val="24"/>
          <w:u w:val="single"/>
        </w:rPr>
        <w:t xml:space="preserve">                                              </w:t>
      </w:r>
    </w:p>
    <w:p>
      <w:pPr>
        <w:snapToGrid w:val="0"/>
        <w:spacing w:line="560" w:lineRule="exact"/>
        <w:ind w:firstLine="480" w:firstLineChars="200"/>
        <w:rPr>
          <w:rFonts w:ascii="宋体" w:hAnsi="宋体"/>
          <w:bCs/>
          <w:sz w:val="24"/>
        </w:rPr>
      </w:pPr>
      <w:r>
        <w:rPr>
          <w:rFonts w:hint="eastAsia" w:ascii="宋体" w:hAnsi="宋体"/>
          <w:bCs/>
          <w:sz w:val="24"/>
        </w:rPr>
        <w:t>第五条 售后服务</w:t>
      </w:r>
    </w:p>
    <w:p>
      <w:pPr>
        <w:snapToGrid w:val="0"/>
        <w:spacing w:line="560" w:lineRule="exact"/>
        <w:ind w:firstLine="480" w:firstLineChars="200"/>
        <w:rPr>
          <w:rFonts w:ascii="宋体" w:hAnsi="宋体"/>
          <w:sz w:val="24"/>
        </w:rPr>
      </w:pPr>
      <w:r>
        <w:rPr>
          <w:rFonts w:ascii="宋体" w:hAnsi="宋体"/>
          <w:sz w:val="24"/>
        </w:rPr>
        <w:t>1</w:t>
      </w:r>
      <w:r>
        <w:rPr>
          <w:rFonts w:hint="eastAsia" w:ascii="宋体" w:hAnsi="宋体"/>
          <w:sz w:val="24"/>
        </w:rPr>
        <w:t>. 乙方应向甲方承诺按照合同约定进行供货并在质量保修期内承担质量保修责任。</w:t>
      </w:r>
    </w:p>
    <w:p>
      <w:pPr>
        <w:snapToGrid w:val="0"/>
        <w:spacing w:line="560" w:lineRule="exact"/>
        <w:ind w:firstLine="480" w:firstLineChars="200"/>
        <w:rPr>
          <w:rFonts w:ascii="宋体" w:hAnsi="宋体"/>
          <w:sz w:val="24"/>
        </w:rPr>
      </w:pPr>
      <w:r>
        <w:rPr>
          <w:rFonts w:ascii="宋体" w:hAnsi="宋体"/>
          <w:sz w:val="24"/>
        </w:rPr>
        <w:t>2</w:t>
      </w:r>
      <w:r>
        <w:rPr>
          <w:rFonts w:hint="eastAsia" w:ascii="宋体" w:hAnsi="宋体"/>
          <w:sz w:val="24"/>
        </w:rPr>
        <w:t>. 保修期内因乙方原因导致其余各方损失的，乙方应承担赔偿责任。保修期从产品验收合格之日算起。</w:t>
      </w:r>
    </w:p>
    <w:p>
      <w:pPr>
        <w:snapToGrid w:val="0"/>
        <w:spacing w:line="560" w:lineRule="exact"/>
        <w:ind w:firstLine="480" w:firstLineChars="200"/>
        <w:rPr>
          <w:rFonts w:ascii="宋体" w:hAnsi="宋体"/>
          <w:sz w:val="24"/>
        </w:rPr>
      </w:pPr>
      <w:r>
        <w:rPr>
          <w:rFonts w:ascii="宋体" w:hAnsi="宋体"/>
          <w:sz w:val="24"/>
        </w:rPr>
        <w:t>3</w:t>
      </w:r>
      <w:r>
        <w:rPr>
          <w:rFonts w:hint="eastAsia" w:ascii="宋体" w:hAnsi="宋体"/>
          <w:sz w:val="24"/>
        </w:rPr>
        <w:t>. 在保修期内，一旦发生质量问题，乙方必须在</w:t>
      </w:r>
      <w:r>
        <w:rPr>
          <w:rFonts w:ascii="宋体" w:hAnsi="宋体"/>
          <w:sz w:val="24"/>
          <w:u w:val="single"/>
        </w:rPr>
        <w:t xml:space="preserve">  </w:t>
      </w:r>
      <w:r>
        <w:rPr>
          <w:rFonts w:hint="eastAsia" w:ascii="宋体" w:hAnsi="宋体"/>
          <w:sz w:val="24"/>
        </w:rPr>
        <w:t>小时内到达现场实施维修并及时排除故障，否则，甲方有权自行派人进行修复，发生的费用在质量保修金内按实扣除，另扣双倍费用作为违约赔偿。</w:t>
      </w:r>
    </w:p>
    <w:p>
      <w:pPr>
        <w:snapToGrid w:val="0"/>
        <w:spacing w:line="560" w:lineRule="exact"/>
        <w:ind w:firstLine="480" w:firstLineChars="200"/>
        <w:rPr>
          <w:rFonts w:ascii="宋体" w:hAnsi="宋体"/>
          <w:sz w:val="24"/>
        </w:rPr>
      </w:pPr>
      <w:r>
        <w:rPr>
          <w:rFonts w:ascii="宋体" w:hAnsi="宋体"/>
          <w:sz w:val="24"/>
        </w:rPr>
        <w:t>4</w:t>
      </w:r>
      <w:r>
        <w:rPr>
          <w:rFonts w:hint="eastAsia" w:ascii="宋体" w:hAnsi="宋体"/>
          <w:sz w:val="24"/>
        </w:rPr>
        <w:t>. 因甲方使用不当引起的问题，乙方提供有偿服务。</w:t>
      </w:r>
    </w:p>
    <w:p>
      <w:pPr>
        <w:snapToGrid w:val="0"/>
        <w:spacing w:line="560" w:lineRule="exact"/>
        <w:ind w:firstLine="480" w:firstLineChars="200"/>
        <w:rPr>
          <w:rFonts w:ascii="宋体" w:hAnsi="宋体"/>
          <w:sz w:val="24"/>
        </w:rPr>
      </w:pPr>
      <w:r>
        <w:rPr>
          <w:rFonts w:ascii="宋体" w:hAnsi="宋体"/>
          <w:sz w:val="24"/>
        </w:rPr>
        <w:t>5</w:t>
      </w:r>
      <w:r>
        <w:rPr>
          <w:rFonts w:hint="eastAsia" w:ascii="宋体" w:hAnsi="宋体"/>
          <w:sz w:val="24"/>
        </w:rPr>
        <w:t>. 质量保修期内，同一商品、同一质量问题连续两次维修仍无法正常使用时，乙方必须予以免费更换同品牌、同型号的货物。</w:t>
      </w:r>
    </w:p>
    <w:p>
      <w:pPr>
        <w:snapToGrid w:val="0"/>
        <w:spacing w:line="560" w:lineRule="exact"/>
        <w:ind w:firstLine="480" w:firstLineChars="200"/>
        <w:rPr>
          <w:rFonts w:ascii="宋体" w:hAnsi="宋体"/>
          <w:sz w:val="24"/>
        </w:rPr>
      </w:pPr>
      <w:r>
        <w:rPr>
          <w:rFonts w:ascii="宋体" w:hAnsi="宋体"/>
          <w:sz w:val="24"/>
        </w:rPr>
        <w:t>6.</w:t>
      </w:r>
      <w:r>
        <w:rPr>
          <w:rFonts w:hint="eastAsia" w:ascii="宋体" w:hAnsi="宋体"/>
          <w:sz w:val="24"/>
        </w:rPr>
        <w:t xml:space="preserve"> 货物质量保修期内除人为原因出现的质量问题，乙方必须包换。</w:t>
      </w:r>
    </w:p>
    <w:p>
      <w:pPr>
        <w:snapToGrid w:val="0"/>
        <w:spacing w:line="560" w:lineRule="exact"/>
        <w:ind w:firstLine="480" w:firstLineChars="200"/>
        <w:rPr>
          <w:rFonts w:ascii="宋体" w:hAnsi="宋体"/>
          <w:bCs/>
          <w:sz w:val="24"/>
        </w:rPr>
      </w:pPr>
      <w:r>
        <w:rPr>
          <w:rFonts w:hint="eastAsia" w:ascii="宋体" w:hAnsi="宋体"/>
          <w:bCs/>
          <w:sz w:val="24"/>
        </w:rPr>
        <w:t>第六条 质量保证</w:t>
      </w:r>
    </w:p>
    <w:p>
      <w:pPr>
        <w:snapToGrid w:val="0"/>
        <w:spacing w:line="560" w:lineRule="exact"/>
        <w:ind w:firstLine="480" w:firstLineChars="200"/>
        <w:rPr>
          <w:rFonts w:ascii="宋体" w:hAnsi="宋体" w:cs="仿宋"/>
          <w:sz w:val="24"/>
        </w:rPr>
      </w:pPr>
      <w:r>
        <w:rPr>
          <w:rFonts w:ascii="宋体" w:hAnsi="宋体" w:cs="仿宋"/>
          <w:sz w:val="24"/>
        </w:rPr>
        <w:t>1</w:t>
      </w:r>
      <w:r>
        <w:rPr>
          <w:rFonts w:hint="eastAsia" w:ascii="宋体" w:hAnsi="宋体" w:cs="仿宋"/>
          <w:sz w:val="24"/>
        </w:rPr>
        <w:t>. 乙方应严格按照合同约定及招投标文件规定进行供货，并对其质量负责。</w:t>
      </w:r>
    </w:p>
    <w:p>
      <w:pPr>
        <w:snapToGrid w:val="0"/>
        <w:spacing w:line="56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 乙方负责供货的材料，其品牌规格等必须与工程量清单报价书一致，不得以次充好。并提供产品说明书，试验报告和合格证。材料性能及技术指标应达到招投标文件约定及国家现行的相关质量验收标准。</w:t>
      </w:r>
    </w:p>
    <w:p>
      <w:pPr>
        <w:snapToGrid w:val="0"/>
        <w:spacing w:line="560" w:lineRule="exact"/>
        <w:ind w:firstLine="480" w:firstLineChars="200"/>
        <w:rPr>
          <w:rFonts w:ascii="宋体" w:hAnsi="宋体" w:cs="仿宋"/>
          <w:sz w:val="24"/>
        </w:rPr>
      </w:pPr>
      <w:r>
        <w:rPr>
          <w:rFonts w:ascii="宋体" w:hAnsi="宋体" w:cs="仿宋"/>
          <w:sz w:val="24"/>
        </w:rPr>
        <w:t>3</w:t>
      </w:r>
      <w:r>
        <w:rPr>
          <w:rFonts w:hint="eastAsia" w:ascii="宋体" w:hAnsi="宋体" w:cs="仿宋"/>
          <w:sz w:val="24"/>
        </w:rPr>
        <w:t>. 乙方负责供货的材料在使用前，应按甲方要求，根据标准、规范要求进行检验或试验，检验或试验费用由乙方承担。如检测报告中有一项指标不合格，乙方负全部责任并按本批次同规格价格的两倍进行处罚。</w:t>
      </w:r>
    </w:p>
    <w:p>
      <w:pPr>
        <w:snapToGrid w:val="0"/>
        <w:spacing w:line="56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 甲方、乙方对产品质量有争议，由三方同意的质量检测机构鉴定，所需费用及因此造成的损失，由责任方承担。</w:t>
      </w:r>
    </w:p>
    <w:p>
      <w:pPr>
        <w:snapToGrid w:val="0"/>
        <w:spacing w:line="560" w:lineRule="exact"/>
        <w:ind w:firstLine="480" w:firstLineChars="200"/>
        <w:rPr>
          <w:rFonts w:ascii="宋体" w:hAnsi="宋体" w:cs="仿宋"/>
          <w:sz w:val="24"/>
        </w:rPr>
      </w:pPr>
      <w:r>
        <w:rPr>
          <w:rFonts w:ascii="宋体" w:hAnsi="宋体" w:cs="仿宋"/>
          <w:sz w:val="24"/>
        </w:rPr>
        <w:t>5</w:t>
      </w:r>
      <w:r>
        <w:rPr>
          <w:rFonts w:hint="eastAsia" w:ascii="宋体" w:hAnsi="宋体" w:cs="仿宋"/>
          <w:sz w:val="24"/>
        </w:rPr>
        <w:t>. 乙方在供货中，如使用假冒伪劣产品，一经查实，每项次处以</w:t>
      </w:r>
      <w:r>
        <w:rPr>
          <w:rFonts w:ascii="宋体" w:hAnsi="宋体" w:cs="仿宋"/>
          <w:sz w:val="24"/>
        </w:rPr>
        <w:t>10</w:t>
      </w:r>
      <w:r>
        <w:rPr>
          <w:rFonts w:hint="eastAsia" w:ascii="宋体" w:hAnsi="宋体" w:cs="仿宋"/>
          <w:sz w:val="24"/>
        </w:rPr>
        <w:t>万元罚款给甲方，该罚款从当期应付款项中扣除。</w:t>
      </w:r>
    </w:p>
    <w:p>
      <w:pPr>
        <w:snapToGrid w:val="0"/>
        <w:spacing w:line="56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 三个月内发现不合格品或材质与封存的样品不符的无条件退货（所发生的拆、包、运等费用由乙方负责，保修期内免费维修。</w:t>
      </w:r>
    </w:p>
    <w:p>
      <w:pPr>
        <w:snapToGrid w:val="0"/>
        <w:spacing w:line="560" w:lineRule="exact"/>
        <w:ind w:firstLine="480" w:firstLineChars="200"/>
        <w:rPr>
          <w:rFonts w:ascii="宋体" w:hAnsi="宋体"/>
          <w:bCs/>
          <w:sz w:val="24"/>
        </w:rPr>
      </w:pPr>
      <w:r>
        <w:rPr>
          <w:rFonts w:hint="eastAsia" w:ascii="宋体" w:hAnsi="宋体"/>
          <w:bCs/>
          <w:sz w:val="24"/>
        </w:rPr>
        <w:t xml:space="preserve">第七条 履约验收 </w:t>
      </w:r>
    </w:p>
    <w:p>
      <w:pPr>
        <w:snapToGrid w:val="0"/>
        <w:spacing w:line="560" w:lineRule="exact"/>
        <w:ind w:firstLine="480" w:firstLineChars="200"/>
        <w:rPr>
          <w:rFonts w:ascii="宋体" w:hAnsi="宋体"/>
          <w:sz w:val="24"/>
        </w:rPr>
      </w:pPr>
      <w:r>
        <w:rPr>
          <w:rFonts w:hint="eastAsia" w:ascii="宋体" w:hAnsi="宋体"/>
          <w:sz w:val="24"/>
        </w:rPr>
        <w:t>1. 中标商安装完毕后由甲方随机抽样交付当地市级（含）以上质量监督检验机构检验，甲醛释放量必须符合国家环保标准，检验费用由中标商支付，如检测未达到标准，则中标供应商必须承担由此给采购人造成的损失。</w:t>
      </w:r>
    </w:p>
    <w:p>
      <w:pPr>
        <w:snapToGrid w:val="0"/>
        <w:spacing w:line="560" w:lineRule="exact"/>
        <w:ind w:firstLine="480" w:firstLineChars="200"/>
        <w:rPr>
          <w:rFonts w:ascii="宋体" w:hAnsi="宋体"/>
          <w:sz w:val="24"/>
        </w:rPr>
      </w:pPr>
      <w:r>
        <w:rPr>
          <w:rFonts w:hint="eastAsia" w:ascii="宋体" w:hAnsi="宋体"/>
          <w:sz w:val="24"/>
        </w:rPr>
        <w:t>2. 甲方将按照招标文件及规定的技术标准进行检验，如果与文件规定不符，在质量及感官标准上有明显差异或环保指标不达标的，将加倍抽样检验（并对部分产品作破坏性检测），若加倍抽样仍不合格，将判定所供货物采购及安装不合格。</w:t>
      </w:r>
    </w:p>
    <w:p>
      <w:pPr>
        <w:snapToGrid w:val="0"/>
        <w:spacing w:line="560" w:lineRule="exact"/>
        <w:ind w:firstLine="480" w:firstLineChars="200"/>
        <w:rPr>
          <w:rFonts w:ascii="宋体" w:hAnsi="宋体"/>
          <w:sz w:val="24"/>
        </w:rPr>
      </w:pPr>
      <w:r>
        <w:rPr>
          <w:rFonts w:hint="eastAsia" w:ascii="宋体" w:hAnsi="宋体"/>
          <w:sz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pPr>
        <w:snapToGrid w:val="0"/>
        <w:spacing w:line="560" w:lineRule="exact"/>
        <w:ind w:firstLine="480" w:firstLineChars="200"/>
        <w:rPr>
          <w:rFonts w:ascii="宋体" w:hAnsi="宋体"/>
          <w:bCs/>
          <w:sz w:val="24"/>
        </w:rPr>
      </w:pPr>
      <w:r>
        <w:rPr>
          <w:rFonts w:hint="eastAsia" w:ascii="宋体" w:hAnsi="宋体"/>
          <w:bCs/>
          <w:sz w:val="24"/>
        </w:rPr>
        <w:t>第八条 保密要求</w:t>
      </w:r>
    </w:p>
    <w:p>
      <w:pPr>
        <w:snapToGrid w:val="0"/>
        <w:spacing w:line="560" w:lineRule="exact"/>
        <w:ind w:firstLine="480" w:firstLineChars="200"/>
        <w:rPr>
          <w:rFonts w:ascii="宋体" w:hAnsi="宋体"/>
          <w:sz w:val="24"/>
        </w:rPr>
      </w:pPr>
      <w:r>
        <w:rPr>
          <w:rFonts w:hint="eastAsia" w:ascii="宋体" w:hAnsi="宋体"/>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560" w:lineRule="exact"/>
        <w:ind w:firstLine="480" w:firstLineChars="200"/>
        <w:rPr>
          <w:rFonts w:ascii="宋体" w:hAnsi="宋体"/>
          <w:sz w:val="24"/>
        </w:rPr>
      </w:pPr>
      <w:r>
        <w:rPr>
          <w:rFonts w:hint="eastAsia" w:ascii="宋体" w:hAnsi="宋体"/>
          <w:sz w:val="24"/>
        </w:rPr>
        <w:t xml:space="preserve">2. </w:t>
      </w:r>
      <w:r>
        <w:rPr>
          <w:rFonts w:ascii="宋体" w:hAnsi="宋体"/>
          <w:sz w:val="24"/>
        </w:rPr>
        <w:t>乙方在履行合同过程中所获得或接触到的任何</w:t>
      </w:r>
      <w:r>
        <w:rPr>
          <w:rFonts w:hint="eastAsia" w:ascii="宋体" w:hAnsi="宋体"/>
          <w:sz w:val="24"/>
        </w:rPr>
        <w:t>内部数据资料，未经甲方同意，不得向第三方透露。</w:t>
      </w:r>
    </w:p>
    <w:p>
      <w:pPr>
        <w:snapToGrid w:val="0"/>
        <w:spacing w:line="560" w:lineRule="exact"/>
        <w:ind w:firstLine="480" w:firstLineChars="200"/>
        <w:rPr>
          <w:rFonts w:ascii="宋体" w:hAnsi="宋体"/>
          <w:sz w:val="24"/>
        </w:rPr>
      </w:pPr>
      <w:r>
        <w:rPr>
          <w:rFonts w:hint="eastAsia" w:ascii="宋体" w:hAnsi="宋体"/>
          <w:sz w:val="24"/>
        </w:rPr>
        <w:t xml:space="preserve">3. </w:t>
      </w:r>
      <w:r>
        <w:rPr>
          <w:rFonts w:ascii="宋体" w:hAnsi="宋体"/>
          <w:sz w:val="24"/>
        </w:rPr>
        <w:t>乙方</w:t>
      </w:r>
      <w:r>
        <w:rPr>
          <w:rFonts w:hint="eastAsia" w:ascii="宋体" w:hAnsi="宋体"/>
          <w:sz w:val="24"/>
        </w:rPr>
        <w:t>实施项目的一切程序都应符合国家安全、保密的有关规定和标准。</w:t>
      </w:r>
    </w:p>
    <w:p>
      <w:pPr>
        <w:snapToGrid w:val="0"/>
        <w:spacing w:line="560" w:lineRule="exact"/>
        <w:ind w:firstLine="480" w:firstLineChars="200"/>
        <w:rPr>
          <w:rFonts w:ascii="宋体" w:hAnsi="宋体"/>
          <w:bCs/>
          <w:sz w:val="24"/>
        </w:rPr>
      </w:pPr>
      <w:bookmarkStart w:id="51" w:name="_Toc42074712"/>
      <w:r>
        <w:rPr>
          <w:rFonts w:hint="eastAsia" w:ascii="宋体" w:hAnsi="宋体"/>
          <w:bCs/>
          <w:sz w:val="24"/>
        </w:rPr>
        <w:t>第九条 甲方权利与义务</w:t>
      </w:r>
    </w:p>
    <w:p>
      <w:pPr>
        <w:snapToGrid w:val="0"/>
        <w:spacing w:line="560" w:lineRule="exact"/>
        <w:ind w:firstLine="480" w:firstLineChars="200"/>
        <w:rPr>
          <w:rFonts w:ascii="宋体" w:hAnsi="宋体" w:cs="仿宋"/>
          <w:sz w:val="24"/>
        </w:rPr>
      </w:pPr>
      <w:r>
        <w:rPr>
          <w:rFonts w:hint="eastAsia" w:ascii="宋体" w:hAnsi="宋体" w:cs="仿宋"/>
          <w:sz w:val="24"/>
        </w:rPr>
        <w:t xml:space="preserve">一、甲方权利： </w:t>
      </w:r>
    </w:p>
    <w:p>
      <w:pPr>
        <w:snapToGrid w:val="0"/>
        <w:spacing w:line="560" w:lineRule="exact"/>
        <w:ind w:firstLine="480" w:firstLineChars="200"/>
        <w:rPr>
          <w:rFonts w:ascii="宋体" w:hAnsi="宋体" w:cs="仿宋"/>
          <w:sz w:val="24"/>
        </w:rPr>
      </w:pPr>
      <w:r>
        <w:rPr>
          <w:rFonts w:hint="eastAsia" w:ascii="宋体" w:hAnsi="宋体" w:cs="仿宋"/>
          <w:sz w:val="24"/>
        </w:rPr>
        <w:t>1. 有权向乙方询问工作进展情况及相关的内容。</w:t>
      </w:r>
    </w:p>
    <w:p>
      <w:pPr>
        <w:snapToGrid w:val="0"/>
        <w:spacing w:line="560" w:lineRule="exact"/>
        <w:ind w:firstLine="480" w:firstLineChars="200"/>
        <w:rPr>
          <w:rFonts w:ascii="宋体" w:hAnsi="宋体" w:cs="仿宋"/>
          <w:sz w:val="24"/>
        </w:rPr>
      </w:pPr>
      <w:r>
        <w:rPr>
          <w:rFonts w:hint="eastAsia" w:ascii="宋体" w:hAnsi="宋体" w:cs="仿宋"/>
          <w:sz w:val="24"/>
        </w:rPr>
        <w:t>2. 有权阐述对具体问题的意见和建议。</w:t>
      </w:r>
    </w:p>
    <w:p>
      <w:pPr>
        <w:snapToGrid w:val="0"/>
        <w:spacing w:line="560" w:lineRule="exact"/>
        <w:ind w:firstLine="480" w:firstLineChars="200"/>
        <w:rPr>
          <w:rFonts w:ascii="宋体" w:hAnsi="宋体" w:cs="仿宋"/>
          <w:sz w:val="24"/>
        </w:rPr>
      </w:pPr>
      <w:r>
        <w:rPr>
          <w:rFonts w:hint="eastAsia" w:ascii="宋体" w:hAnsi="宋体" w:cs="仿宋"/>
          <w:sz w:val="24"/>
        </w:rPr>
        <w:t>3. 当甲方认定乙方人员不按合同履行其职责，或与第三人串通给甲方造成经济损失的，甲方有权要求更换人员，直至终止合同并要求乙方承担相应的赔偿责任。</w:t>
      </w:r>
    </w:p>
    <w:p>
      <w:pPr>
        <w:snapToGrid w:val="0"/>
        <w:spacing w:line="560" w:lineRule="exact"/>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hint="eastAsia" w:ascii="宋体" w:hAnsi="宋体" w:cs="仿宋"/>
          <w:sz w:val="24"/>
        </w:rPr>
        <w:t xml:space="preserve">二、甲方义务： </w:t>
      </w:r>
    </w:p>
    <w:p>
      <w:pPr>
        <w:snapToGrid w:val="0"/>
        <w:spacing w:line="560" w:lineRule="exact"/>
        <w:ind w:firstLine="480" w:firstLineChars="200"/>
        <w:rPr>
          <w:rFonts w:ascii="宋体" w:hAnsi="宋体" w:cs="仿宋"/>
          <w:sz w:val="24"/>
        </w:rPr>
      </w:pPr>
      <w:r>
        <w:rPr>
          <w:rFonts w:hint="eastAsia" w:ascii="宋体" w:hAnsi="宋体" w:cs="仿宋"/>
          <w:sz w:val="24"/>
        </w:rPr>
        <w:t>1. 负责与本项目有关的第三方的协调，提供开展服务工作的外部条件。</w:t>
      </w:r>
    </w:p>
    <w:p>
      <w:pPr>
        <w:snapToGrid w:val="0"/>
        <w:spacing w:line="560" w:lineRule="exact"/>
        <w:ind w:firstLine="480" w:firstLineChars="200"/>
        <w:rPr>
          <w:rFonts w:ascii="宋体" w:hAnsi="宋体" w:cs="仿宋"/>
          <w:sz w:val="24"/>
        </w:rPr>
      </w:pPr>
      <w:r>
        <w:rPr>
          <w:rFonts w:hint="eastAsia" w:ascii="宋体" w:hAnsi="宋体" w:cs="仿宋"/>
          <w:sz w:val="24"/>
        </w:rPr>
        <w:t>2. 向乙方提供与本项目有关的资料。</w:t>
      </w:r>
    </w:p>
    <w:p>
      <w:pPr>
        <w:snapToGrid w:val="0"/>
        <w:spacing w:line="560" w:lineRule="exact"/>
        <w:ind w:firstLine="480" w:firstLineChars="200"/>
        <w:rPr>
          <w:rFonts w:ascii="宋体" w:hAnsi="宋体" w:cs="仿宋"/>
          <w:sz w:val="24"/>
        </w:rPr>
      </w:pPr>
      <w:r>
        <w:rPr>
          <w:rFonts w:hint="eastAsia" w:ascii="宋体" w:hAnsi="宋体" w:cs="仿宋"/>
          <w:sz w:val="24"/>
        </w:rPr>
        <w:t xml:space="preserve">3. </w:t>
      </w:r>
      <w:r>
        <w:rPr>
          <w:rFonts w:hint="eastAsia" w:ascii="宋体" w:hAnsi="宋体" w:cs="仿宋"/>
          <w:sz w:val="24"/>
          <w:u w:val="single"/>
        </w:rPr>
        <w:t xml:space="preserve">                                              </w:t>
      </w:r>
    </w:p>
    <w:p>
      <w:pPr>
        <w:snapToGrid w:val="0"/>
        <w:spacing w:line="560" w:lineRule="exact"/>
        <w:ind w:firstLine="480" w:firstLineChars="200"/>
        <w:rPr>
          <w:rFonts w:ascii="宋体" w:hAnsi="宋体"/>
          <w:bCs/>
          <w:sz w:val="24"/>
        </w:rPr>
      </w:pPr>
      <w:r>
        <w:rPr>
          <w:rFonts w:hint="eastAsia" w:ascii="宋体" w:hAnsi="宋体"/>
          <w:bCs/>
          <w:sz w:val="24"/>
        </w:rPr>
        <w:t>第十条 乙方权利与义务</w:t>
      </w:r>
    </w:p>
    <w:p>
      <w:pPr>
        <w:snapToGrid w:val="0"/>
        <w:spacing w:line="560" w:lineRule="exact"/>
        <w:ind w:firstLine="480" w:firstLineChars="200"/>
        <w:rPr>
          <w:rFonts w:ascii="宋体" w:hAnsi="宋体" w:cs="仿宋"/>
          <w:sz w:val="24"/>
        </w:rPr>
      </w:pPr>
      <w:r>
        <w:rPr>
          <w:rFonts w:hint="eastAsia" w:ascii="宋体" w:hAnsi="宋体" w:cs="仿宋"/>
          <w:sz w:val="24"/>
        </w:rPr>
        <w:t>一、乙方权利：</w:t>
      </w:r>
    </w:p>
    <w:p>
      <w:pPr>
        <w:snapToGrid w:val="0"/>
        <w:spacing w:line="560" w:lineRule="exact"/>
        <w:ind w:firstLine="480" w:firstLineChars="200"/>
        <w:rPr>
          <w:rFonts w:ascii="宋体" w:hAnsi="宋体" w:cs="仿宋"/>
          <w:sz w:val="24"/>
        </w:rPr>
      </w:pPr>
      <w:r>
        <w:rPr>
          <w:rFonts w:hint="eastAsia" w:ascii="宋体" w:hAnsi="宋体" w:cs="仿宋"/>
          <w:sz w:val="24"/>
        </w:rPr>
        <w:t>1. 乙方在本项目服务过程中，如甲方提供的资料不明确时可向甲方提出书面报告。</w:t>
      </w:r>
    </w:p>
    <w:p>
      <w:pPr>
        <w:snapToGrid w:val="0"/>
        <w:spacing w:line="560" w:lineRule="exact"/>
        <w:ind w:firstLine="480" w:firstLineChars="200"/>
        <w:rPr>
          <w:rFonts w:ascii="宋体" w:hAnsi="宋体" w:cs="仿宋"/>
          <w:sz w:val="24"/>
        </w:rPr>
      </w:pPr>
      <w:r>
        <w:rPr>
          <w:rFonts w:hint="eastAsia" w:ascii="宋体" w:hAnsi="宋体" w:cs="仿宋"/>
          <w:sz w:val="24"/>
        </w:rPr>
        <w:t xml:space="preserve">2. </w:t>
      </w:r>
      <w:r>
        <w:rPr>
          <w:rFonts w:hint="eastAsia" w:ascii="宋体" w:hAnsi="宋体" w:cs="仿宋"/>
          <w:sz w:val="24"/>
          <w:u w:val="single"/>
        </w:rPr>
        <w:t xml:space="preserve">                                              </w:t>
      </w:r>
    </w:p>
    <w:p>
      <w:pPr>
        <w:snapToGrid w:val="0"/>
        <w:spacing w:line="560" w:lineRule="exact"/>
        <w:ind w:firstLine="480" w:firstLineChars="200"/>
        <w:rPr>
          <w:rFonts w:ascii="宋体" w:hAnsi="宋体" w:cs="仿宋"/>
          <w:sz w:val="24"/>
        </w:rPr>
      </w:pPr>
      <w:r>
        <w:rPr>
          <w:rFonts w:hint="eastAsia" w:ascii="宋体" w:hAnsi="宋体" w:cs="仿宋"/>
          <w:sz w:val="24"/>
        </w:rPr>
        <w:t>二、乙方义务：</w:t>
      </w:r>
    </w:p>
    <w:p>
      <w:pPr>
        <w:snapToGrid w:val="0"/>
        <w:spacing w:line="560" w:lineRule="exact"/>
        <w:ind w:firstLine="480" w:firstLineChars="200"/>
        <w:rPr>
          <w:rFonts w:ascii="宋体" w:hAnsi="宋体" w:cs="仿宋"/>
          <w:sz w:val="24"/>
        </w:rPr>
      </w:pPr>
      <w:r>
        <w:rPr>
          <w:rFonts w:hint="eastAsia" w:ascii="宋体" w:hAnsi="宋体" w:cs="仿宋"/>
          <w:sz w:val="24"/>
        </w:rPr>
        <w:t>1. 应按照</w:t>
      </w:r>
      <w:r>
        <w:rPr>
          <w:rFonts w:hint="eastAsia" w:ascii="宋体" w:hAnsi="宋体" w:cs="仿宋"/>
          <w:sz w:val="24"/>
        </w:rPr>
        <w:softHyphen/>
      </w:r>
      <w:r>
        <w:rPr>
          <w:rFonts w:hint="eastAsia" w:ascii="宋体" w:hAnsi="宋体" w:cs="仿宋"/>
          <w:sz w:val="24"/>
        </w:rPr>
        <w:t>本项目招标文件、乙方投标文件要求按期完成本项目工作。</w:t>
      </w:r>
    </w:p>
    <w:p>
      <w:pPr>
        <w:snapToGrid w:val="0"/>
        <w:spacing w:line="560" w:lineRule="exact"/>
        <w:ind w:firstLine="480" w:firstLineChars="200"/>
        <w:rPr>
          <w:rFonts w:ascii="宋体" w:hAnsi="宋体" w:cs="仿宋"/>
          <w:sz w:val="24"/>
        </w:rPr>
      </w:pPr>
      <w:r>
        <w:rPr>
          <w:rFonts w:hint="eastAsia" w:ascii="宋体" w:hAnsi="宋体" w:cs="仿宋"/>
          <w:sz w:val="24"/>
        </w:rPr>
        <w:t>2. 负责组织项目的实施，保证工作质量满足相关验收相关标准。</w:t>
      </w:r>
    </w:p>
    <w:p>
      <w:pPr>
        <w:snapToGrid w:val="0"/>
        <w:spacing w:line="560" w:lineRule="exact"/>
        <w:ind w:firstLine="480" w:firstLineChars="200"/>
        <w:rPr>
          <w:rFonts w:ascii="宋体" w:hAnsi="宋体" w:cs="仿宋"/>
          <w:sz w:val="24"/>
        </w:rPr>
      </w:pPr>
      <w:r>
        <w:rPr>
          <w:rFonts w:hint="eastAsia" w:ascii="宋体" w:hAnsi="宋体" w:cs="仿宋"/>
          <w:sz w:val="24"/>
        </w:rPr>
        <w:t>3. 乙方不得擅自部分或全部转让其应履行的合同义务。</w:t>
      </w:r>
    </w:p>
    <w:p>
      <w:pPr>
        <w:snapToGrid w:val="0"/>
        <w:spacing w:line="560" w:lineRule="exact"/>
        <w:ind w:firstLine="480" w:firstLineChars="200"/>
        <w:rPr>
          <w:rFonts w:ascii="宋体" w:hAnsi="宋体" w:cs="仿宋"/>
          <w:sz w:val="24"/>
        </w:rPr>
      </w:pPr>
      <w:r>
        <w:rPr>
          <w:rFonts w:hint="eastAsia" w:ascii="宋体" w:hAnsi="宋体" w:cs="仿宋"/>
          <w:sz w:val="24"/>
        </w:rPr>
        <w:t xml:space="preserve">4. </w:t>
      </w:r>
      <w:r>
        <w:rPr>
          <w:rFonts w:hint="eastAsia" w:ascii="宋体" w:hAnsi="宋体" w:cs="仿宋"/>
          <w:sz w:val="24"/>
          <w:u w:val="single"/>
        </w:rPr>
        <w:t xml:space="preserve">                                              </w:t>
      </w:r>
    </w:p>
    <w:p>
      <w:pPr>
        <w:snapToGrid w:val="0"/>
        <w:spacing w:line="560" w:lineRule="exact"/>
        <w:ind w:firstLine="480" w:firstLineChars="200"/>
        <w:rPr>
          <w:rFonts w:ascii="宋体" w:hAnsi="宋体"/>
          <w:bCs/>
          <w:sz w:val="24"/>
        </w:rPr>
      </w:pPr>
      <w:r>
        <w:rPr>
          <w:rFonts w:hint="eastAsia" w:ascii="宋体" w:hAnsi="宋体"/>
          <w:bCs/>
          <w:sz w:val="24"/>
        </w:rPr>
        <w:t>第十一条 履约保证金</w:t>
      </w:r>
    </w:p>
    <w:p>
      <w:pPr>
        <w:snapToGrid w:val="0"/>
        <w:spacing w:line="560" w:lineRule="exact"/>
        <w:ind w:firstLine="480" w:firstLineChars="200"/>
        <w:rPr>
          <w:rFonts w:ascii="宋体" w:hAnsi="宋体"/>
          <w:sz w:val="24"/>
        </w:rPr>
      </w:pPr>
      <w:r>
        <w:rPr>
          <w:rFonts w:hint="eastAsia" w:ascii="宋体" w:hAnsi="宋体"/>
          <w:sz w:val="24"/>
        </w:rPr>
        <w:t>1. 乙方在签订本合同之日，向甲方或甲方指定的机构提交履约保证金</w:t>
      </w:r>
      <w:r>
        <w:rPr>
          <w:rFonts w:hint="eastAsia" w:ascii="宋体" w:hAnsi="宋体"/>
          <w:sz w:val="24"/>
          <w:u w:val="single"/>
        </w:rPr>
        <w:t xml:space="preserve">        </w:t>
      </w:r>
      <w:r>
        <w:rPr>
          <w:rFonts w:hint="eastAsia" w:ascii="宋体" w:hAnsi="宋体"/>
          <w:sz w:val="24"/>
        </w:rPr>
        <w:t>元整。</w:t>
      </w:r>
    </w:p>
    <w:p>
      <w:pPr>
        <w:snapToGrid w:val="0"/>
        <w:spacing w:line="560" w:lineRule="exact"/>
        <w:ind w:firstLine="480" w:firstLineChars="200"/>
        <w:rPr>
          <w:rFonts w:ascii="宋体" w:hAnsi="宋体"/>
          <w:sz w:val="24"/>
        </w:rPr>
      </w:pPr>
      <w:r>
        <w:rPr>
          <w:rFonts w:hint="eastAsia" w:ascii="宋体" w:hAnsi="宋体"/>
          <w:sz w:val="24"/>
        </w:rPr>
        <w:t>2. 如乙方未能履行合同规定的义务，甲方有权从履约保证金中取得补偿。</w:t>
      </w:r>
    </w:p>
    <w:p>
      <w:pPr>
        <w:snapToGrid w:val="0"/>
        <w:spacing w:line="560" w:lineRule="exact"/>
        <w:ind w:firstLine="480" w:firstLineChars="200"/>
        <w:rPr>
          <w:rFonts w:ascii="宋体" w:hAnsi="宋体" w:cs="仿宋"/>
          <w:sz w:val="24"/>
        </w:rPr>
      </w:pPr>
      <w:r>
        <w:rPr>
          <w:rFonts w:hint="eastAsia" w:ascii="宋体" w:hAnsi="宋体"/>
          <w:sz w:val="24"/>
        </w:rPr>
        <w:t>3. 履约保证金扣除甲方应得的补偿后的余额在有效期满后5个工作日内无息退还给乙方。</w:t>
      </w:r>
    </w:p>
    <w:p>
      <w:pPr>
        <w:snapToGrid w:val="0"/>
        <w:spacing w:line="560" w:lineRule="exact"/>
        <w:ind w:firstLine="480" w:firstLineChars="200"/>
        <w:rPr>
          <w:rFonts w:ascii="宋体" w:hAnsi="宋体"/>
          <w:bCs/>
          <w:sz w:val="24"/>
        </w:rPr>
      </w:pPr>
      <w:r>
        <w:rPr>
          <w:rFonts w:hint="eastAsia" w:ascii="宋体" w:hAnsi="宋体"/>
          <w:bCs/>
          <w:sz w:val="24"/>
        </w:rPr>
        <w:t>第十二条 违约责任</w:t>
      </w:r>
    </w:p>
    <w:p>
      <w:pPr>
        <w:snapToGrid w:val="0"/>
        <w:spacing w:line="560" w:lineRule="exact"/>
        <w:ind w:firstLine="480" w:firstLineChars="200"/>
        <w:rPr>
          <w:rFonts w:ascii="宋体" w:hAnsi="宋体"/>
          <w:sz w:val="24"/>
        </w:rPr>
      </w:pPr>
      <w:r>
        <w:rPr>
          <w:rFonts w:hint="eastAsia" w:ascii="宋体" w:hAnsi="宋体"/>
          <w:sz w:val="24"/>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sz w:val="24"/>
          <w:u w:val="single"/>
        </w:rPr>
        <w:t xml:space="preserve"> 1 %</w:t>
      </w:r>
      <w:r>
        <w:rPr>
          <w:rFonts w:hint="eastAsia" w:ascii="宋体" w:hAnsi="宋体"/>
          <w:sz w:val="24"/>
        </w:rPr>
        <w:t>计算，最高限额为本合同总价的</w:t>
      </w:r>
      <w:r>
        <w:rPr>
          <w:rFonts w:hint="eastAsia" w:ascii="宋体" w:hAnsi="宋体"/>
          <w:sz w:val="24"/>
          <w:u w:val="single"/>
        </w:rPr>
        <w:t xml:space="preserve"> 20 %</w:t>
      </w:r>
      <w:r>
        <w:rPr>
          <w:rFonts w:hint="eastAsia" w:ascii="宋体" w:hAnsi="宋体"/>
          <w:sz w:val="24"/>
        </w:rPr>
        <w:t>；迟延交付货物的违约金计算数额达到前述最高限额之日起，甲方有权在要求乙方支付违约金的同时，书面通知乙方解除本合同；</w:t>
      </w:r>
    </w:p>
    <w:p>
      <w:pPr>
        <w:snapToGrid w:val="0"/>
        <w:spacing w:line="560" w:lineRule="exact"/>
        <w:ind w:firstLine="480" w:firstLineChars="200"/>
        <w:rPr>
          <w:rFonts w:ascii="宋体" w:hAnsi="宋体"/>
          <w:sz w:val="24"/>
        </w:rPr>
      </w:pPr>
      <w:r>
        <w:rPr>
          <w:rFonts w:hint="eastAsia" w:ascii="宋体" w:hAnsi="宋体"/>
          <w:sz w:val="24"/>
        </w:rPr>
        <w:t>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1 %</w:t>
      </w:r>
      <w:r>
        <w:rPr>
          <w:rFonts w:hint="eastAsia" w:ascii="宋体" w:hAnsi="宋体"/>
          <w:sz w:val="24"/>
        </w:rPr>
        <w:t>计算，最高限额为本合同总价的</w:t>
      </w:r>
      <w:r>
        <w:rPr>
          <w:rFonts w:hint="eastAsia" w:ascii="宋体" w:hAnsi="宋体"/>
          <w:sz w:val="24"/>
          <w:u w:val="single"/>
        </w:rPr>
        <w:t xml:space="preserve"> 20 %</w:t>
      </w:r>
      <w:r>
        <w:rPr>
          <w:rFonts w:hint="eastAsia" w:ascii="宋体" w:hAnsi="宋体"/>
          <w:sz w:val="24"/>
        </w:rPr>
        <w:t>；迟延付款的违约金计算数额达到前述最高限额之日起，乙方有权在要求甲方支付违约金的同时，书面通知甲方解除本合同；</w:t>
      </w:r>
    </w:p>
    <w:p>
      <w:pPr>
        <w:snapToGrid w:val="0"/>
        <w:spacing w:line="560" w:lineRule="exact"/>
        <w:ind w:firstLine="480" w:firstLineChars="200"/>
        <w:rPr>
          <w:rFonts w:ascii="宋体" w:hAnsi="宋体"/>
          <w:sz w:val="24"/>
        </w:rPr>
      </w:pPr>
      <w:r>
        <w:rPr>
          <w:rFonts w:hint="eastAsia" w:ascii="宋体" w:hAnsi="宋体"/>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Fonts w:ascii="宋体" w:hAnsi="宋体"/>
          <w:sz w:val="24"/>
        </w:rPr>
      </w:pPr>
      <w:r>
        <w:rPr>
          <w:rFonts w:hint="eastAsia" w:ascii="宋体" w:hAnsi="宋体"/>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Fonts w:ascii="宋体" w:hAnsi="宋体"/>
          <w:sz w:val="24"/>
        </w:rPr>
      </w:pPr>
      <w:r>
        <w:rPr>
          <w:rFonts w:hint="eastAsia" w:ascii="宋体" w:hAnsi="宋体"/>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Fonts w:ascii="宋体" w:hAnsi="宋体"/>
          <w:sz w:val="24"/>
        </w:rPr>
      </w:pPr>
      <w:r>
        <w:rPr>
          <w:rFonts w:hint="eastAsia" w:ascii="宋体" w:hAnsi="宋体"/>
          <w:sz w:val="24"/>
        </w:rPr>
        <w:t>6. 如果出现监督管理部门在处理投诉事项期间，书面通知甲方暂停采购活动的情形，或者询问或质疑事项可能影响中标结果的，导致甲方中止履行合同的情形，均不视为甲方违约。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0" w:firstLineChars="200"/>
        <w:rPr>
          <w:rFonts w:ascii="宋体" w:hAnsi="宋体"/>
          <w:bCs/>
          <w:sz w:val="24"/>
        </w:rPr>
      </w:pPr>
      <w:r>
        <w:rPr>
          <w:rFonts w:hint="eastAsia" w:ascii="宋体" w:hAnsi="宋体"/>
          <w:bCs/>
          <w:sz w:val="24"/>
        </w:rPr>
        <w:t>第十三条 合同变更</w:t>
      </w:r>
      <w:bookmarkEnd w:id="51"/>
      <w:r>
        <w:rPr>
          <w:rFonts w:hint="eastAsia" w:ascii="宋体" w:hAnsi="宋体"/>
          <w:bCs/>
          <w:sz w:val="24"/>
        </w:rPr>
        <w:t>和终止</w:t>
      </w:r>
    </w:p>
    <w:p>
      <w:pPr>
        <w:snapToGrid w:val="0"/>
        <w:spacing w:line="560" w:lineRule="exact"/>
        <w:ind w:firstLine="480" w:firstLineChars="200"/>
        <w:rPr>
          <w:rFonts w:ascii="宋体" w:hAnsi="宋体"/>
          <w:sz w:val="24"/>
        </w:rPr>
      </w:pPr>
      <w:r>
        <w:rPr>
          <w:rFonts w:hint="eastAsia" w:ascii="宋体" w:hAnsi="宋体"/>
          <w:sz w:val="24"/>
        </w:rPr>
        <w:t>除《中华人民共和国政府采购法》第４９条、第５０条第二款规定的情形外，本合同一经签订，甲乙双方不得擅自变更、中止或终止合同。</w:t>
      </w:r>
    </w:p>
    <w:p>
      <w:pPr>
        <w:snapToGrid w:val="0"/>
        <w:spacing w:line="560" w:lineRule="exact"/>
        <w:ind w:firstLine="480" w:firstLineChars="200"/>
        <w:rPr>
          <w:rFonts w:ascii="宋体" w:hAnsi="宋体"/>
          <w:bCs/>
          <w:sz w:val="24"/>
        </w:rPr>
      </w:pPr>
      <w:bookmarkStart w:id="52" w:name="_Toc42074703"/>
      <w:r>
        <w:rPr>
          <w:rFonts w:hint="eastAsia" w:ascii="宋体" w:hAnsi="宋体"/>
          <w:bCs/>
          <w:sz w:val="24"/>
        </w:rPr>
        <w:t>第十四条 合同争议的解决</w:t>
      </w:r>
      <w:bookmarkEnd w:id="52"/>
    </w:p>
    <w:p>
      <w:pPr>
        <w:snapToGrid w:val="0"/>
        <w:spacing w:line="560" w:lineRule="exact"/>
        <w:ind w:firstLine="480" w:firstLineChars="2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w:t>
      </w:r>
      <w:r>
        <w:rPr>
          <w:rFonts w:hint="eastAsia" w:ascii="宋体" w:hAnsi="宋体"/>
          <w:sz w:val="24"/>
          <w:u w:val="single"/>
        </w:rPr>
        <w:t xml:space="preserve"> 1 </w:t>
      </w:r>
      <w:r>
        <w:rPr>
          <w:rFonts w:hint="eastAsia" w:ascii="宋体" w:hAnsi="宋体"/>
          <w:sz w:val="24"/>
        </w:rPr>
        <w:t>种方式解决：</w:t>
      </w:r>
    </w:p>
    <w:p>
      <w:pPr>
        <w:snapToGrid w:val="0"/>
        <w:spacing w:line="560" w:lineRule="exact"/>
        <w:ind w:firstLine="480" w:firstLineChars="200"/>
        <w:rPr>
          <w:rFonts w:ascii="宋体" w:hAnsi="宋体"/>
          <w:sz w:val="24"/>
        </w:rPr>
      </w:pPr>
      <w:r>
        <w:rPr>
          <w:rFonts w:hint="eastAsia" w:ascii="宋体" w:hAnsi="宋体"/>
          <w:sz w:val="24"/>
        </w:rPr>
        <w:t>1. 将争议提交</w:t>
      </w:r>
      <w:r>
        <w:rPr>
          <w:rFonts w:hint="eastAsia" w:ascii="宋体" w:hAnsi="宋体"/>
          <w:sz w:val="24"/>
          <w:u w:val="single"/>
        </w:rPr>
        <w:t>常州</w:t>
      </w:r>
      <w:r>
        <w:rPr>
          <w:rFonts w:hint="eastAsia" w:ascii="宋体" w:hAnsi="宋体"/>
          <w:sz w:val="24"/>
        </w:rPr>
        <w:t>仲裁委员会依申请仲裁时其现行有效的仲裁规则裁决；</w:t>
      </w:r>
    </w:p>
    <w:p>
      <w:pPr>
        <w:snapToGrid w:val="0"/>
        <w:spacing w:line="560" w:lineRule="exact"/>
        <w:ind w:firstLine="480" w:firstLineChars="200"/>
        <w:rPr>
          <w:rFonts w:ascii="宋体" w:hAnsi="宋体"/>
          <w:sz w:val="24"/>
        </w:rPr>
      </w:pPr>
      <w:r>
        <w:rPr>
          <w:rFonts w:hint="eastAsia" w:ascii="宋体" w:hAnsi="宋体"/>
          <w:sz w:val="24"/>
        </w:rPr>
        <w:t>2. 向</w:t>
      </w:r>
      <w:r>
        <w:rPr>
          <w:rFonts w:hint="eastAsia" w:ascii="宋体" w:hAnsi="宋体"/>
          <w:sz w:val="24"/>
          <w:u w:val="single"/>
        </w:rPr>
        <w:t>甲方所在地有管辖权的</w:t>
      </w:r>
      <w:r>
        <w:rPr>
          <w:rFonts w:hint="eastAsia" w:ascii="宋体" w:hAnsi="宋体"/>
          <w:sz w:val="24"/>
        </w:rPr>
        <w:t>人民法院起诉。</w:t>
      </w:r>
    </w:p>
    <w:p>
      <w:pPr>
        <w:snapToGrid w:val="0"/>
        <w:spacing w:line="560" w:lineRule="exact"/>
        <w:ind w:firstLine="480" w:firstLineChars="200"/>
        <w:rPr>
          <w:rFonts w:ascii="宋体" w:hAnsi="宋体"/>
          <w:bCs/>
          <w:sz w:val="24"/>
        </w:rPr>
      </w:pPr>
      <w:r>
        <w:rPr>
          <w:rFonts w:hint="eastAsia" w:ascii="宋体" w:hAnsi="宋体"/>
          <w:bCs/>
          <w:sz w:val="24"/>
        </w:rPr>
        <w:t>第十五条 合同生效</w:t>
      </w:r>
    </w:p>
    <w:p>
      <w:pPr>
        <w:snapToGrid w:val="0"/>
        <w:spacing w:line="560" w:lineRule="exact"/>
        <w:ind w:firstLine="480" w:firstLineChars="200"/>
        <w:rPr>
          <w:rFonts w:ascii="宋体" w:hAnsi="宋体"/>
          <w:sz w:val="24"/>
        </w:rPr>
      </w:pPr>
      <w:r>
        <w:rPr>
          <w:rFonts w:hint="eastAsia" w:ascii="宋体" w:hAnsi="宋体"/>
          <w:sz w:val="24"/>
        </w:rPr>
        <w:t xml:space="preserve">本合同自甲乙双方签字盖章之日起生效（需加盖骑缝章）。 </w:t>
      </w:r>
    </w:p>
    <w:p>
      <w:pPr>
        <w:snapToGrid w:val="0"/>
        <w:spacing w:line="560" w:lineRule="exact"/>
        <w:ind w:firstLine="480" w:firstLineChars="200"/>
        <w:rPr>
          <w:rFonts w:ascii="宋体" w:hAnsi="宋体"/>
          <w:bCs/>
          <w:sz w:val="24"/>
        </w:rPr>
      </w:pPr>
      <w:r>
        <w:rPr>
          <w:rFonts w:hint="eastAsia" w:ascii="宋体" w:hAnsi="宋体"/>
          <w:bCs/>
          <w:sz w:val="24"/>
        </w:rPr>
        <w:t>第十六条 其他</w:t>
      </w:r>
    </w:p>
    <w:p>
      <w:pPr>
        <w:snapToGrid w:val="0"/>
        <w:spacing w:line="560" w:lineRule="exact"/>
        <w:ind w:firstLine="480" w:firstLineChars="200"/>
        <w:rPr>
          <w:rFonts w:ascii="宋体" w:hAnsi="宋体"/>
          <w:sz w:val="24"/>
        </w:rPr>
      </w:pPr>
      <w:r>
        <w:rPr>
          <w:rFonts w:hint="eastAsia" w:ascii="宋体" w:hAnsi="宋体"/>
          <w:sz w:val="24"/>
        </w:rPr>
        <w:t>本合同一式叁份，具有同等法律效力，甲方、乙方、代理采购机构各执壹份。</w:t>
      </w:r>
    </w:p>
    <w:p>
      <w:pPr>
        <w:snapToGrid w:val="0"/>
        <w:spacing w:line="560" w:lineRule="exact"/>
        <w:ind w:firstLine="480" w:firstLineChars="200"/>
        <w:rPr>
          <w:rFonts w:ascii="宋体" w:hAnsi="宋体"/>
          <w:sz w:val="24"/>
        </w:rPr>
      </w:pPr>
      <w:r>
        <w:rPr>
          <w:rFonts w:hint="eastAsia" w:ascii="宋体" w:hAnsi="宋体"/>
          <w:sz w:val="24"/>
        </w:rPr>
        <w:t xml:space="preserve">本合同执行期间如遇不可抗力，致使合同无法履行时，双方应按有关法律规定及时协商处理。 </w:t>
      </w:r>
    </w:p>
    <w:p>
      <w:pPr>
        <w:snapToGrid w:val="0"/>
        <w:spacing w:line="560" w:lineRule="exact"/>
        <w:ind w:firstLine="480" w:firstLineChars="200"/>
        <w:rPr>
          <w:rFonts w:ascii="宋体" w:hAnsi="宋体"/>
          <w:sz w:val="24"/>
        </w:rPr>
      </w:pPr>
      <w:r>
        <w:rPr>
          <w:rFonts w:hint="eastAsia" w:ascii="宋体" w:hAnsi="宋体"/>
          <w:sz w:val="24"/>
        </w:rPr>
        <w:t xml:space="preserve">本合同应按照中华人民共和国的现行法律进行解释，条款中如与国家规定、条例有抵触的，则该条款无效并按国家规定和条例执行，合同的其它条款继续有效。 </w:t>
      </w:r>
    </w:p>
    <w:p>
      <w:pPr>
        <w:widowControl/>
        <w:jc w:val="left"/>
        <w:rPr>
          <w:rFonts w:ascii="宋体" w:hAnsi="宋体"/>
          <w:sz w:val="24"/>
        </w:rPr>
      </w:pPr>
    </w:p>
    <w:p>
      <w:pPr>
        <w:widowControl/>
        <w:jc w:val="left"/>
        <w:rPr>
          <w:rFonts w:ascii="宋体" w:hAnsi="宋体"/>
          <w:sz w:val="24"/>
        </w:rPr>
      </w:pPr>
    </w:p>
    <w:tbl>
      <w:tblPr>
        <w:tblStyle w:val="31"/>
        <w:tblW w:w="0" w:type="auto"/>
        <w:tblInd w:w="0" w:type="dxa"/>
        <w:tblLayout w:type="autofit"/>
        <w:tblCellMar>
          <w:top w:w="0" w:type="dxa"/>
          <w:left w:w="108" w:type="dxa"/>
          <w:bottom w:w="0" w:type="dxa"/>
          <w:right w:w="108" w:type="dxa"/>
        </w:tblCellMar>
      </w:tblPr>
      <w:tblGrid>
        <w:gridCol w:w="4633"/>
        <w:gridCol w:w="4427"/>
      </w:tblGrid>
      <w:tr>
        <w:tblPrEx>
          <w:tblCellMar>
            <w:top w:w="0" w:type="dxa"/>
            <w:left w:w="108" w:type="dxa"/>
            <w:bottom w:w="0" w:type="dxa"/>
            <w:right w:w="108" w:type="dxa"/>
          </w:tblCellMar>
        </w:tblPrEx>
        <w:tc>
          <w:tcPr>
            <w:tcW w:w="4633" w:type="dxa"/>
            <w:shd w:val="clear" w:color="auto" w:fill="auto"/>
          </w:tcPr>
          <w:p>
            <w:pPr>
              <w:snapToGrid w:val="0"/>
              <w:spacing w:line="560" w:lineRule="exact"/>
              <w:ind w:left="5040" w:hanging="5040" w:hangingChars="2100"/>
              <w:rPr>
                <w:rFonts w:ascii="宋体" w:hAnsi="宋体" w:cs="仿宋"/>
                <w:sz w:val="24"/>
              </w:rPr>
            </w:pPr>
            <w:r>
              <w:rPr>
                <w:rFonts w:hint="eastAsia" w:ascii="宋体" w:hAnsi="宋体" w:cs="仿宋"/>
                <w:sz w:val="24"/>
              </w:rPr>
              <w:t>甲方（采购人）：（盖章）</w:t>
            </w:r>
          </w:p>
          <w:p>
            <w:pPr>
              <w:snapToGrid w:val="0"/>
              <w:spacing w:line="560" w:lineRule="exact"/>
              <w:ind w:left="5040" w:hanging="5040" w:hangingChars="2100"/>
              <w:rPr>
                <w:rFonts w:ascii="宋体" w:hAnsi="宋体" w:cs="仿宋"/>
                <w:sz w:val="24"/>
              </w:rPr>
            </w:pPr>
            <w:r>
              <w:rPr>
                <w:rFonts w:hint="eastAsia" w:ascii="宋体" w:hAnsi="宋体" w:cs="仿宋"/>
                <w:sz w:val="24"/>
              </w:rPr>
              <w:t>法定代表人：</w:t>
            </w:r>
          </w:p>
          <w:p>
            <w:pPr>
              <w:snapToGrid w:val="0"/>
              <w:spacing w:line="560" w:lineRule="exact"/>
              <w:ind w:left="5040" w:hanging="5040" w:hangingChars="2100"/>
              <w:rPr>
                <w:rFonts w:ascii="宋体" w:hAnsi="宋体" w:cs="仿宋"/>
                <w:sz w:val="24"/>
              </w:rPr>
            </w:pPr>
            <w:r>
              <w:rPr>
                <w:rFonts w:hint="eastAsia" w:ascii="宋体" w:hAnsi="宋体" w:cs="仿宋"/>
                <w:sz w:val="24"/>
              </w:rPr>
              <w:t>代理人：</w:t>
            </w:r>
          </w:p>
          <w:p>
            <w:pPr>
              <w:snapToGrid w:val="0"/>
              <w:spacing w:line="560" w:lineRule="exact"/>
              <w:ind w:left="5040" w:hanging="5040" w:hangingChars="2100"/>
              <w:rPr>
                <w:rFonts w:ascii="宋体" w:hAnsi="宋体" w:cs="仿宋"/>
                <w:sz w:val="24"/>
              </w:rPr>
            </w:pPr>
            <w:r>
              <w:rPr>
                <w:rFonts w:hint="eastAsia" w:ascii="宋体" w:hAnsi="宋体" w:cs="仿宋"/>
                <w:sz w:val="24"/>
              </w:rPr>
              <w:t>电话：</w:t>
            </w:r>
          </w:p>
          <w:p>
            <w:pPr>
              <w:snapToGrid w:val="0"/>
              <w:spacing w:line="560" w:lineRule="exact"/>
              <w:ind w:left="5040" w:hanging="5040" w:hangingChars="2100"/>
              <w:rPr>
                <w:rFonts w:ascii="宋体" w:hAnsi="宋体" w:cs="仿宋"/>
                <w:sz w:val="24"/>
              </w:rPr>
            </w:pPr>
            <w:r>
              <w:rPr>
                <w:rFonts w:hint="eastAsia" w:ascii="宋体" w:hAnsi="宋体" w:cs="仿宋"/>
                <w:sz w:val="24"/>
              </w:rPr>
              <w:t>开户银行：</w:t>
            </w:r>
          </w:p>
          <w:p>
            <w:pPr>
              <w:snapToGrid w:val="0"/>
              <w:spacing w:line="560" w:lineRule="exact"/>
              <w:ind w:left="5040" w:hanging="5040" w:hangingChars="2100"/>
              <w:rPr>
                <w:rFonts w:ascii="宋体" w:hAnsi="宋体" w:cs="仿宋"/>
                <w:sz w:val="24"/>
              </w:rPr>
            </w:pPr>
            <w:r>
              <w:rPr>
                <w:rFonts w:hint="eastAsia" w:ascii="宋体" w:hAnsi="宋体" w:cs="仿宋"/>
                <w:sz w:val="24"/>
              </w:rPr>
              <w:t>账号：</w:t>
            </w:r>
          </w:p>
          <w:p>
            <w:pPr>
              <w:snapToGrid w:val="0"/>
              <w:spacing w:line="560" w:lineRule="exact"/>
              <w:ind w:left="5040" w:hanging="5040" w:hangingChars="2100"/>
              <w:rPr>
                <w:rFonts w:ascii="宋体" w:hAnsi="宋体" w:cs="仿宋"/>
                <w:sz w:val="24"/>
              </w:rPr>
            </w:pPr>
            <w:r>
              <w:rPr>
                <w:rFonts w:hint="eastAsia" w:ascii="宋体" w:hAnsi="宋体" w:cs="仿宋"/>
                <w:sz w:val="24"/>
              </w:rPr>
              <w:t>单位地址：</w:t>
            </w:r>
          </w:p>
          <w:p>
            <w:pPr>
              <w:snapToGrid w:val="0"/>
              <w:spacing w:line="560" w:lineRule="exact"/>
              <w:ind w:left="5040" w:hanging="5040" w:hangingChars="2100"/>
              <w:rPr>
                <w:rFonts w:ascii="宋体" w:hAnsi="宋体"/>
                <w:sz w:val="24"/>
              </w:rPr>
            </w:pPr>
            <w:r>
              <w:rPr>
                <w:rFonts w:hint="eastAsia" w:ascii="宋体" w:hAnsi="宋体" w:cs="仿宋"/>
                <w:sz w:val="24"/>
              </w:rPr>
              <w:t>日期：</w:t>
            </w:r>
          </w:p>
        </w:tc>
        <w:tc>
          <w:tcPr>
            <w:tcW w:w="4427" w:type="dxa"/>
            <w:shd w:val="clear" w:color="auto" w:fill="auto"/>
          </w:tcPr>
          <w:p>
            <w:pPr>
              <w:snapToGrid w:val="0"/>
              <w:spacing w:line="560" w:lineRule="exact"/>
              <w:rPr>
                <w:rFonts w:ascii="宋体" w:hAnsi="宋体" w:cs="仿宋"/>
                <w:sz w:val="24"/>
              </w:rPr>
            </w:pPr>
            <w:r>
              <w:rPr>
                <w:rFonts w:hint="eastAsia" w:ascii="宋体" w:hAnsi="宋体" w:cs="仿宋"/>
                <w:sz w:val="24"/>
              </w:rPr>
              <w:t>乙方（供应商）：（盖章）</w:t>
            </w:r>
          </w:p>
          <w:p>
            <w:pPr>
              <w:snapToGrid w:val="0"/>
              <w:spacing w:line="560" w:lineRule="exact"/>
              <w:rPr>
                <w:rFonts w:ascii="宋体" w:hAnsi="宋体" w:cs="仿宋"/>
                <w:sz w:val="24"/>
              </w:rPr>
            </w:pPr>
            <w:r>
              <w:rPr>
                <w:rFonts w:hint="eastAsia" w:ascii="宋体" w:hAnsi="宋体" w:cs="仿宋"/>
                <w:sz w:val="24"/>
              </w:rPr>
              <w:t>法定代表人：</w:t>
            </w:r>
          </w:p>
          <w:p>
            <w:pPr>
              <w:snapToGrid w:val="0"/>
              <w:spacing w:line="560" w:lineRule="exact"/>
              <w:rPr>
                <w:rFonts w:ascii="宋体" w:hAnsi="宋体" w:cs="仿宋"/>
                <w:sz w:val="24"/>
              </w:rPr>
            </w:pPr>
            <w:r>
              <w:rPr>
                <w:rFonts w:hint="eastAsia" w:ascii="宋体" w:hAnsi="宋体" w:cs="仿宋"/>
                <w:sz w:val="24"/>
              </w:rPr>
              <w:t>代理人：</w:t>
            </w:r>
          </w:p>
          <w:p>
            <w:pPr>
              <w:snapToGrid w:val="0"/>
              <w:spacing w:line="560" w:lineRule="exact"/>
              <w:rPr>
                <w:rFonts w:ascii="宋体" w:hAnsi="宋体" w:cs="仿宋"/>
                <w:sz w:val="24"/>
              </w:rPr>
            </w:pPr>
            <w:r>
              <w:rPr>
                <w:rFonts w:hint="eastAsia" w:ascii="宋体" w:hAnsi="宋体" w:cs="仿宋"/>
                <w:sz w:val="24"/>
              </w:rPr>
              <w:t>电话：</w:t>
            </w:r>
          </w:p>
          <w:p>
            <w:pPr>
              <w:snapToGrid w:val="0"/>
              <w:spacing w:line="560" w:lineRule="exact"/>
              <w:ind w:left="5040" w:hanging="5040" w:hangingChars="2100"/>
              <w:rPr>
                <w:rFonts w:ascii="宋体" w:hAnsi="宋体" w:cs="仿宋"/>
                <w:sz w:val="24"/>
              </w:rPr>
            </w:pPr>
            <w:r>
              <w:rPr>
                <w:rFonts w:hint="eastAsia" w:ascii="宋体" w:hAnsi="宋体" w:cs="仿宋"/>
                <w:sz w:val="24"/>
              </w:rPr>
              <w:t>开户银行：</w:t>
            </w:r>
          </w:p>
          <w:p>
            <w:pPr>
              <w:snapToGrid w:val="0"/>
              <w:spacing w:line="560" w:lineRule="exact"/>
              <w:rPr>
                <w:rFonts w:ascii="宋体" w:hAnsi="宋体" w:cs="仿宋"/>
                <w:sz w:val="24"/>
              </w:rPr>
            </w:pPr>
            <w:r>
              <w:rPr>
                <w:rFonts w:hint="eastAsia" w:ascii="宋体" w:hAnsi="宋体" w:cs="仿宋"/>
                <w:sz w:val="24"/>
              </w:rPr>
              <w:t>账号：</w:t>
            </w:r>
          </w:p>
          <w:p>
            <w:pPr>
              <w:snapToGrid w:val="0"/>
              <w:spacing w:line="560" w:lineRule="exact"/>
              <w:rPr>
                <w:rFonts w:ascii="宋体" w:hAnsi="宋体" w:cs="仿宋"/>
                <w:sz w:val="24"/>
              </w:rPr>
            </w:pPr>
            <w:r>
              <w:rPr>
                <w:rFonts w:hint="eastAsia" w:ascii="宋体" w:hAnsi="宋体" w:cs="仿宋"/>
                <w:sz w:val="24"/>
              </w:rPr>
              <w:t>单位地址：</w:t>
            </w:r>
          </w:p>
          <w:p>
            <w:pPr>
              <w:snapToGrid w:val="0"/>
              <w:spacing w:line="560" w:lineRule="exact"/>
              <w:rPr>
                <w:rFonts w:ascii="宋体" w:hAnsi="宋体"/>
                <w:sz w:val="24"/>
              </w:rPr>
            </w:pPr>
            <w:r>
              <w:rPr>
                <w:rFonts w:hint="eastAsia" w:ascii="宋体" w:hAnsi="宋体" w:cs="仿宋"/>
                <w:sz w:val="24"/>
              </w:rPr>
              <w:t>日期：</w:t>
            </w:r>
          </w:p>
        </w:tc>
      </w:tr>
      <w:tr>
        <w:tblPrEx>
          <w:tblCellMar>
            <w:top w:w="0" w:type="dxa"/>
            <w:left w:w="108" w:type="dxa"/>
            <w:bottom w:w="0" w:type="dxa"/>
            <w:right w:w="108" w:type="dxa"/>
          </w:tblCellMar>
        </w:tblPrEx>
        <w:tc>
          <w:tcPr>
            <w:tcW w:w="9060" w:type="dxa"/>
            <w:gridSpan w:val="2"/>
            <w:shd w:val="clear" w:color="auto" w:fill="auto"/>
          </w:tcPr>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合同备案</w:t>
            </w:r>
          </w:p>
          <w:p>
            <w:pPr>
              <w:widowControl/>
              <w:spacing w:line="360" w:lineRule="auto"/>
              <w:jc w:val="left"/>
              <w:rPr>
                <w:rFonts w:ascii="宋体" w:hAnsi="宋体"/>
                <w:sz w:val="24"/>
              </w:rPr>
            </w:pPr>
            <w:r>
              <w:rPr>
                <w:rFonts w:hint="eastAsia" w:ascii="宋体" w:hAnsi="宋体"/>
                <w:sz w:val="24"/>
              </w:rPr>
              <w:t>代理机构（盖章）：</w:t>
            </w:r>
          </w:p>
          <w:p>
            <w:pPr>
              <w:widowControl/>
              <w:spacing w:line="360" w:lineRule="auto"/>
              <w:jc w:val="left"/>
              <w:rPr>
                <w:rFonts w:ascii="宋体" w:hAnsi="宋体"/>
                <w:sz w:val="24"/>
              </w:rPr>
            </w:pPr>
            <w:r>
              <w:rPr>
                <w:rFonts w:hint="eastAsia" w:ascii="宋体" w:hAnsi="宋体"/>
                <w:sz w:val="24"/>
              </w:rPr>
              <w:t>日期：</w:t>
            </w:r>
          </w:p>
          <w:p>
            <w:pPr>
              <w:widowControl/>
              <w:spacing w:line="360" w:lineRule="auto"/>
              <w:jc w:val="left"/>
              <w:rPr>
                <w:rFonts w:ascii="宋体" w:hAnsi="宋体"/>
                <w:sz w:val="24"/>
              </w:rPr>
            </w:pPr>
            <w:r>
              <w:rPr>
                <w:rFonts w:hint="eastAsia" w:ascii="宋体" w:hAnsi="宋体"/>
                <w:sz w:val="24"/>
              </w:rPr>
              <w:t>地址：常州市钟楼区玉龙南路280号常州大数据产业园2号楼19楼1903室</w:t>
            </w:r>
          </w:p>
          <w:p>
            <w:pPr>
              <w:widowControl/>
              <w:spacing w:line="360" w:lineRule="auto"/>
              <w:jc w:val="left"/>
              <w:rPr>
                <w:rFonts w:ascii="宋体" w:hAnsi="宋体"/>
                <w:sz w:val="24"/>
              </w:rPr>
            </w:pPr>
            <w:r>
              <w:rPr>
                <w:rFonts w:hint="eastAsia" w:ascii="宋体" w:hAnsi="宋体"/>
                <w:sz w:val="24"/>
              </w:rPr>
              <w:t>电话：</w:t>
            </w:r>
          </w:p>
          <w:p>
            <w:pPr>
              <w:snapToGrid w:val="0"/>
              <w:spacing w:line="560" w:lineRule="exact"/>
              <w:ind w:left="5198" w:leftChars="304" w:hanging="4560" w:hangingChars="1900"/>
              <w:rPr>
                <w:rFonts w:ascii="宋体" w:hAnsi="宋体" w:cs="仿宋"/>
                <w:sz w:val="24"/>
              </w:rPr>
            </w:pPr>
          </w:p>
          <w:p>
            <w:pPr>
              <w:snapToGrid w:val="0"/>
              <w:spacing w:line="560" w:lineRule="exact"/>
              <w:rPr>
                <w:rFonts w:ascii="宋体" w:hAnsi="宋体"/>
                <w:sz w:val="24"/>
              </w:rPr>
            </w:pPr>
            <w:r>
              <w:rPr>
                <w:rFonts w:hint="eastAsia" w:ascii="宋体" w:hAnsi="宋体" w:cs="仿宋"/>
                <w:sz w:val="24"/>
              </w:rPr>
              <w:t xml:space="preserve">    </w:t>
            </w:r>
          </w:p>
        </w:tc>
      </w:tr>
    </w:tbl>
    <w:p>
      <w:pPr>
        <w:widowControl/>
        <w:jc w:val="left"/>
        <w:rPr>
          <w:rFonts w:ascii="宋体" w:hAnsi="宋体"/>
          <w:b/>
          <w:bCs/>
          <w:sz w:val="24"/>
        </w:rPr>
      </w:pPr>
      <w:r>
        <w:rPr>
          <w:rFonts w:ascii="宋体" w:hAnsi="宋体"/>
          <w:sz w:val="24"/>
        </w:rPr>
        <w:br w:type="page"/>
      </w:r>
    </w:p>
    <w:p>
      <w:pPr>
        <w:autoSpaceDE w:val="0"/>
        <w:autoSpaceDN w:val="0"/>
        <w:adjustRightInd w:val="0"/>
        <w:spacing w:line="360" w:lineRule="auto"/>
        <w:jc w:val="center"/>
        <w:rPr>
          <w:rFonts w:ascii="宋体" w:hAnsi="宋体"/>
          <w:b/>
          <w:bCs/>
          <w:sz w:val="24"/>
        </w:rPr>
      </w:pPr>
      <w:r>
        <w:rPr>
          <w:rFonts w:hint="eastAsia" w:ascii="宋体" w:hAnsi="宋体"/>
          <w:b/>
          <w:bCs/>
          <w:sz w:val="24"/>
        </w:rPr>
        <w:t>第二部分  合同专用条款</w:t>
      </w:r>
    </w:p>
    <w:p>
      <w:pPr>
        <w:spacing w:line="360" w:lineRule="auto"/>
        <w:ind w:firstLine="480" w:firstLineChars="200"/>
        <w:rPr>
          <w:rFonts w:ascii="宋体" w:hAnsi="宋体"/>
          <w:sz w:val="24"/>
        </w:rPr>
      </w:pPr>
      <w:r>
        <w:rPr>
          <w:rFonts w:hint="eastAsia" w:ascii="宋体" w:hAnsi="宋体"/>
          <w:sz w:val="24"/>
        </w:rPr>
        <w:t>本部分是对第一部分的补充和修改，如果第一部分和本部分的约定不一致，应以本部分的约定为准。本部分的条款号应与第一部分的条款号保持对应；与第一部分无对应关系的内容可另行编制条款号。</w:t>
      </w:r>
    </w:p>
    <w:tbl>
      <w:tblPr>
        <w:tblStyle w:val="31"/>
        <w:tblW w:w="8648"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4"/>
        <w:gridCol w:w="77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宋体" w:hAnsi="宋体"/>
                <w:b/>
                <w:bCs/>
                <w:sz w:val="24"/>
              </w:rPr>
            </w:pPr>
            <w:r>
              <w:rPr>
                <w:rFonts w:hint="eastAsia" w:ascii="宋体" w:hAnsi="宋体"/>
                <w:b/>
                <w:bCs/>
                <w:sz w:val="24"/>
              </w:rPr>
              <w:t>条款号</w:t>
            </w:r>
          </w:p>
        </w:tc>
        <w:tc>
          <w:tcPr>
            <w:tcW w:w="7704" w:type="dxa"/>
            <w:tcBorders>
              <w:top w:val="single" w:color="auto" w:sz="6" w:space="0"/>
              <w:left w:val="nil"/>
              <w:bottom w:val="single" w:color="auto" w:sz="6" w:space="0"/>
              <w:right w:val="single" w:color="auto" w:sz="6" w:space="0"/>
            </w:tcBorders>
            <w:vAlign w:val="center"/>
          </w:tcPr>
          <w:p>
            <w:pPr>
              <w:spacing w:line="560" w:lineRule="exact"/>
              <w:jc w:val="center"/>
              <w:rPr>
                <w:rFonts w:ascii="宋体" w:hAnsi="宋体"/>
                <w:b/>
                <w:bCs/>
                <w:sz w:val="24"/>
              </w:rPr>
            </w:pPr>
            <w:r>
              <w:rPr>
                <w:rFonts w:hint="eastAsia" w:ascii="宋体" w:hAnsi="宋体"/>
                <w:b/>
                <w:bCs/>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sz w:val="24"/>
              </w:rPr>
            </w:pPr>
          </w:p>
        </w:tc>
        <w:tc>
          <w:tcPr>
            <w:tcW w:w="7704" w:type="dxa"/>
            <w:tcBorders>
              <w:top w:val="single" w:color="auto" w:sz="6" w:space="0"/>
              <w:left w:val="nil"/>
              <w:bottom w:val="single" w:color="auto" w:sz="6" w:space="0"/>
              <w:right w:val="single" w:color="auto" w:sz="6" w:space="0"/>
            </w:tcBorders>
            <w:vAlign w:val="center"/>
          </w:tcPr>
          <w:p>
            <w:pPr>
              <w:spacing w:line="560" w:lineRule="exact"/>
              <w:rPr>
                <w:rFonts w:ascii="宋体" w:hAnsi="宋体"/>
                <w:sz w:val="24"/>
              </w:rPr>
            </w:pPr>
          </w:p>
        </w:tc>
      </w:tr>
    </w:tbl>
    <w:p>
      <w:pPr>
        <w:widowControl/>
        <w:spacing w:line="360" w:lineRule="auto"/>
        <w:jc w:val="left"/>
        <w:rPr>
          <w:rFonts w:ascii="宋体" w:hAnsi="宋体"/>
          <w:sz w:val="24"/>
        </w:rPr>
      </w:pPr>
    </w:p>
    <w:p/>
    <w:p>
      <w:pPr>
        <w:widowControl/>
        <w:jc w:val="center"/>
        <w:rPr>
          <w:rFonts w:ascii="仿宋" w:hAnsi="仿宋" w:eastAsia="仿宋"/>
          <w:sz w:val="32"/>
          <w:szCs w:val="32"/>
        </w:rPr>
        <w:sectPr>
          <w:headerReference r:id="rId8" w:type="default"/>
          <w:footerReference r:id="rId9" w:type="default"/>
          <w:pgSz w:w="11906" w:h="16838"/>
          <w:pgMar w:top="1239" w:right="1474" w:bottom="1276" w:left="1588" w:header="567" w:footer="476" w:gutter="0"/>
          <w:pgNumType w:start="1"/>
          <w:cols w:space="425" w:num="1"/>
          <w:docGrid w:type="lines" w:linePitch="312" w:charSpace="0"/>
        </w:sectPr>
      </w:pPr>
    </w:p>
    <w:bookmarkEnd w:id="49"/>
    <w:p>
      <w:pPr>
        <w:keepNext/>
        <w:spacing w:line="360" w:lineRule="auto"/>
        <w:jc w:val="center"/>
        <w:outlineLvl w:val="0"/>
        <w:rPr>
          <w:rFonts w:ascii="黑体" w:hAnsi="黑体" w:eastAsia="黑体" w:cs="Times New Roman"/>
          <w:bCs/>
          <w:kern w:val="0"/>
          <w:sz w:val="28"/>
          <w:szCs w:val="28"/>
        </w:rPr>
      </w:pPr>
      <w:bookmarkStart w:id="53" w:name="_Toc31110"/>
      <w:bookmarkStart w:id="54" w:name="_Toc55147052"/>
      <w:r>
        <w:rPr>
          <w:rFonts w:hint="eastAsia" w:ascii="黑体" w:hAnsi="黑体" w:eastAsia="黑体" w:cs="Times New Roman"/>
          <w:bCs/>
          <w:kern w:val="0"/>
          <w:sz w:val="28"/>
          <w:szCs w:val="28"/>
        </w:rPr>
        <w:t>五．响应文件格式</w:t>
      </w:r>
      <w:bookmarkEnd w:id="53"/>
      <w:bookmarkEnd w:id="54"/>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bookmarkStart w:id="55" w:name="_Toc55147053"/>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 xml:space="preserve">报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widowControl/>
        <w:jc w:val="left"/>
        <w:rPr>
          <w:rFonts w:ascii="黑体" w:eastAsia="黑体"/>
          <w:bCs/>
          <w:color w:val="000000" w:themeColor="text1"/>
          <w:sz w:val="36"/>
          <w:szCs w:val="36"/>
          <w14:textFill>
            <w14:solidFill>
              <w14:schemeClr w14:val="tx1"/>
            </w14:solidFill>
          </w14:textFill>
        </w:rPr>
      </w:pPr>
    </w:p>
    <w:p>
      <w:pPr>
        <w:widowControl/>
        <w:jc w:val="left"/>
        <w:rPr>
          <w:rFonts w:ascii="黑体" w:hAnsi="黑体" w:eastAsia="黑体"/>
          <w:sz w:val="24"/>
          <w:szCs w:val="24"/>
        </w:rPr>
      </w:pPr>
      <w:r>
        <w:rPr>
          <w:rFonts w:ascii="黑体" w:hAnsi="黑体" w:eastAsia="黑体"/>
          <w:sz w:val="24"/>
          <w:szCs w:val="24"/>
        </w:rPr>
        <w:br w:type="page"/>
      </w:r>
      <w:bookmarkEnd w:id="55"/>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480" w:firstLineChars="200"/>
        <w:rPr>
          <w:rFonts w:ascii="宋体" w:hAnsi="宋体"/>
          <w:sz w:val="24"/>
          <w:szCs w:val="24"/>
        </w:rPr>
      </w:pPr>
      <w:r>
        <w:rPr>
          <w:rFonts w:hint="eastAsia" w:ascii="宋体" w:hAnsi="宋体"/>
          <w:sz w:val="24"/>
          <w:szCs w:val="24"/>
        </w:rPr>
        <w:t>供应商简要情况介绍，含供应商规模、银行资信、技术能力及装备水平等、人员情况、典型项目等。供应商自行以文字形式说明。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具备履行合同所必需的设备和专业技术能力的书面声明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参加采购活动前 3 年内在经营活动中没有重大违法记录的书面声明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Theme="minorEastAsia" w:hAnsiTheme="minorEastAsia"/>
                <w:sz w:val="24"/>
                <w:szCs w:val="24"/>
              </w:rPr>
              <w:t>…</w:t>
            </w:r>
          </w:p>
        </w:tc>
        <w:tc>
          <w:tcPr>
            <w:tcW w:w="5447" w:type="dxa"/>
            <w:vAlign w:val="center"/>
          </w:tcPr>
          <w:p>
            <w:pPr>
              <w:snapToGrid w:val="0"/>
              <w:spacing w:line="0" w:lineRule="atLeast"/>
              <w:rPr>
                <w:rFonts w:ascii="宋体" w:hAnsi="宋体"/>
                <w:sz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三、</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1"/>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spacing w:line="400" w:lineRule="exact"/>
              <w:jc w:val="center"/>
              <w:rPr>
                <w:rFonts w:ascii="宋体" w:hAnsi="宋体" w:eastAsia="宋体" w:cs="Times New Roman"/>
                <w:bCs/>
                <w:color w:val="000000" w:themeColor="text1"/>
                <w:kern w:val="0"/>
                <w:sz w:val="24"/>
                <w:szCs w:val="24"/>
                <w:u w:color="000000"/>
                <w14:textFill>
                  <w14:solidFill>
                    <w14:schemeClr w14:val="tx1"/>
                  </w14:solidFill>
                </w14:textFill>
              </w:rPr>
            </w:pPr>
          </w:p>
        </w:tc>
        <w:tc>
          <w:tcPr>
            <w:tcW w:w="4515" w:type="dxa"/>
            <w:vAlign w:val="center"/>
          </w:tcPr>
          <w:p>
            <w:pPr>
              <w:rPr>
                <w:rFonts w:ascii="宋体" w:hAnsi="宋体" w:eastAsia="宋体" w:cs="Times New Roman"/>
                <w:b/>
                <w:color w:val="000000" w:themeColor="text1"/>
                <w:kern w:val="0"/>
                <w:sz w:val="24"/>
                <w:szCs w:val="24"/>
                <w:u w:color="0000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总报价（大写）</w:t>
            </w:r>
            <w:r>
              <w:rPr>
                <w:rFonts w:hint="eastAsia" w:asciiTheme="minorEastAsia" w:hAnsiTheme="minorEastAsia"/>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rPr>
          <w:rFonts w:ascii="黑体" w:hAnsi="黑体" w:eastAsia="黑体"/>
          <w:sz w:val="28"/>
          <w:szCs w:val="28"/>
        </w:rPr>
      </w:pPr>
      <w:r>
        <w:rPr>
          <w:rFonts w:ascii="宋体" w:hAnsi="宋体"/>
          <w:b/>
          <w:sz w:val="44"/>
        </w:rPr>
        <w:br w:type="page"/>
      </w:r>
      <w:r>
        <w:rPr>
          <w:rFonts w:hint="eastAsia" w:ascii="黑体" w:hAnsi="黑体" w:eastAsia="黑体"/>
          <w:sz w:val="28"/>
          <w:szCs w:val="28"/>
        </w:rPr>
        <w:t>四、明细报价表</w:t>
      </w:r>
    </w:p>
    <w:p>
      <w:pPr>
        <w:spacing w:line="400" w:lineRule="exact"/>
        <w:rPr>
          <w:rFonts w:asciiTheme="minorEastAsia" w:hAnsiTheme="minorEastAsia"/>
          <w:bCs/>
          <w:color w:val="000000" w:themeColor="text1"/>
          <w:sz w:val="24"/>
          <w:szCs w:val="24"/>
          <w:u w:val="singl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p>
      <w:pPr>
        <w:spacing w:before="5"/>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详见采购清单</w:t>
      </w:r>
    </w:p>
    <w:p>
      <w:pPr>
        <w:spacing w:before="5"/>
        <w:jc w:val="center"/>
        <w:rPr>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）供应商应当根据“项目技术要求和有关说明”的内容在上表中详细填写；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widowControl/>
        <w:jc w:val="left"/>
        <w:rPr>
          <w:rFonts w:ascii="黑体" w:hAnsi="宋体" w:eastAsia="黑体"/>
          <w:bCs/>
          <w:sz w:val="24"/>
          <w:szCs w:val="24"/>
        </w:rPr>
      </w:pPr>
      <w:r>
        <w:rPr>
          <w:rFonts w:ascii="黑体" w:hAnsi="宋体" w:eastAsia="黑体"/>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五、技术参数响应及偏离表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r>
    </w:tbl>
    <w:p>
      <w:pPr>
        <w:rPr>
          <w:rFonts w:asciiTheme="minorEastAsia" w:hAnsiTheme="minorEastAsia"/>
          <w:b/>
          <w:color w:val="000000" w:themeColor="text1"/>
          <w:sz w:val="24"/>
          <w:szCs w:val="24"/>
          <w14:textFill>
            <w14:solidFill>
              <w14:schemeClr w14:val="tx1"/>
            </w14:solidFill>
          </w14:textFill>
        </w:rPr>
      </w:pPr>
    </w:p>
    <w:p>
      <w:pPr>
        <w:spacing w:before="5"/>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法定代表人或被授权代表（签字或盖章）：</w:t>
      </w:r>
      <w:r>
        <w:rPr>
          <w:rFonts w:hint="eastAsia" w:asciiTheme="minorEastAsia" w:hAnsiTheme="minorEastAsia"/>
          <w:b/>
          <w:bCs/>
          <w:color w:val="000000" w:themeColor="text1"/>
          <w:sz w:val="24"/>
          <w:szCs w:val="24"/>
          <w:u w:val="single"/>
          <w14:textFill>
            <w14:solidFill>
              <w14:schemeClr w14:val="tx1"/>
            </w14:solidFill>
          </w14:textFill>
        </w:rPr>
        <w:t xml:space="preserve">                               </w:t>
      </w:r>
      <w:r>
        <w:rPr>
          <w:rFonts w:hint="eastAsia" w:asciiTheme="minorEastAsia" w:hAnsiTheme="minorEastAsia"/>
          <w:b/>
          <w:bCs/>
          <w:color w:val="000000" w:themeColor="text1"/>
          <w:sz w:val="24"/>
          <w:szCs w:val="24"/>
          <w14:textFill>
            <w14:solidFill>
              <w14:schemeClr w14:val="tx1"/>
            </w14:solidFill>
          </w14:textFill>
        </w:rPr>
        <w:t xml:space="preserve"> </w:t>
      </w:r>
    </w:p>
    <w:p>
      <w:pPr>
        <w:rPr>
          <w:rFonts w:asciiTheme="minorEastAsia" w:hAnsiTheme="minorEastAsia"/>
          <w:bCs/>
          <w:color w:val="000000" w:themeColor="text1"/>
          <w:sz w:val="30"/>
          <w14:textFill>
            <w14:solidFill>
              <w14:schemeClr w14:val="tx1"/>
            </w14:solidFill>
          </w14:textFill>
        </w:rPr>
      </w:pP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）本表不得删除；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黑体" w:hAnsi="黑体" w:eastAsia="黑体"/>
          <w:bCs/>
          <w:sz w:val="28"/>
          <w:szCs w:val="28"/>
        </w:rPr>
      </w:pPr>
      <w:bookmarkStart w:id="56" w:name="_Toc55147061"/>
      <w:r>
        <w:rPr>
          <w:rFonts w:hint="eastAsia" w:ascii="黑体" w:hAnsi="黑体" w:eastAsia="黑体"/>
          <w:sz w:val="28"/>
          <w:szCs w:val="28"/>
        </w:rPr>
        <w:t>六、其他格式附件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6"/>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6"/>
        </w:numPr>
        <w:tabs>
          <w:tab w:val="left" w:pos="0"/>
          <w:tab w:val="left" w:pos="315"/>
          <w:tab w:val="left" w:pos="525"/>
          <w:tab w:val="left" w:pos="840"/>
          <w:tab w:val="left" w:pos="945"/>
          <w:tab w:val="left" w:pos="1050"/>
          <w:tab w:val="clear" w:pos="552"/>
        </w:tabs>
        <w:spacing w:line="360" w:lineRule="auto"/>
        <w:ind w:left="0" w:firstLine="523" w:firstLineChars="218"/>
        <w:rPr>
          <w:rFonts w:ascii="宋体" w:hAnsi="Times New Roman" w:eastAsia="宋体" w:cs="Times New Roman"/>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和国政府采购法》，并按《中华人民共和国民法典》、财政部《采购货物和服务招标投标管理办法》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文件的规定填写《投标（报价）承诺函》。如我方在报价截止期后撤回响应及成交后拒绝遵守报价承诺或拒绝在规定的时间内与采购人签订合同，则接受采购监督管理部门的处理。</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6"/>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bookmarkStart w:id="57" w:name="_Toc55147054"/>
    </w:p>
    <w:p>
      <w:pPr>
        <w:widowControl/>
        <w:jc w:val="left"/>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r>
        <w:rPr>
          <w:rFonts w:hint="eastAsia" w:ascii="黑体" w:hAnsi="黑体" w:eastAsia="黑体"/>
          <w:sz w:val="24"/>
          <w:szCs w:val="24"/>
        </w:rPr>
        <w:t>（二）</w:t>
      </w:r>
      <w:bookmarkEnd w:id="57"/>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58" w:name="报价方关于资格的声明函（格式）"/>
      <w:bookmarkEnd w:id="58"/>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常州中采招投标有限公司：</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我公司（单位）参加本次项目（项目编号：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法定代表人或法定代表人授权代表（签字或盖章）：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Theme="minorEastAsia" w:hAnsiTheme="minorEastAsia"/>
          <w:bCs/>
          <w:sz w:val="24"/>
          <w:u w:val="single"/>
        </w:rPr>
        <w:t xml:space="preserve">     </w:t>
      </w:r>
      <w:r>
        <w:rPr>
          <w:rFonts w:hint="eastAsia" w:asciiTheme="minorEastAsia" w:hAnsiTheme="minorEastAsia"/>
          <w:bCs/>
          <w:sz w:val="24"/>
        </w:rPr>
        <w:t>年</w:t>
      </w:r>
      <w:r>
        <w:rPr>
          <w:rFonts w:hint="eastAsia" w:asciiTheme="minorEastAsia" w:hAnsiTheme="minorEastAsia"/>
          <w:bCs/>
          <w:sz w:val="24"/>
          <w:u w:val="single"/>
        </w:rPr>
        <w:t xml:space="preserve">    </w:t>
      </w:r>
      <w:r>
        <w:rPr>
          <w:rFonts w:hint="eastAsia" w:asciiTheme="minorEastAsia" w:hAnsiTheme="minorEastAsia"/>
          <w:bCs/>
          <w:sz w:val="24"/>
        </w:rPr>
        <w:t>月</w:t>
      </w:r>
      <w:r>
        <w:rPr>
          <w:rFonts w:hint="eastAsia" w:asciiTheme="minorEastAsia" w:hAnsiTheme="minorEastAsia"/>
          <w:bCs/>
          <w:sz w:val="24"/>
          <w:u w:val="single"/>
        </w:rPr>
        <w:t xml:space="preserve">    </w:t>
      </w:r>
      <w:r>
        <w:rPr>
          <w:rFonts w:hint="eastAsia" w:asciiTheme="minorEastAsia" w:hAnsiTheme="minorEastAsia"/>
          <w:bCs/>
          <w:sz w:val="24"/>
        </w:rPr>
        <w:t>日</w:t>
      </w: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59" w:name="_Toc55147055"/>
      <w:r>
        <w:rPr>
          <w:rFonts w:hint="eastAsia" w:ascii="黑体" w:hAnsi="宋体" w:eastAsia="黑体"/>
          <w:bCs/>
          <w:color w:val="000000" w:themeColor="text1"/>
          <w:sz w:val="24"/>
          <w:szCs w:val="24"/>
          <w14:textFill>
            <w14:solidFill>
              <w14:schemeClr w14:val="tx1"/>
            </w14:solidFill>
          </w14:textFill>
        </w:rPr>
        <w:t>（三）法定代表人资格证明书/法定代表人授权委托书</w:t>
      </w:r>
      <w:bookmarkEnd w:id="59"/>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360" w:lineRule="auto"/>
        <w:rPr>
          <w:rFonts w:asciiTheme="minorEastAsia" w:hAnsiTheme="minorEastAsia"/>
          <w:sz w:val="24"/>
        </w:rPr>
      </w:pPr>
      <w:r>
        <w:rPr>
          <w:rFonts w:hint="eastAsia" w:asciiTheme="minorEastAsia" w:hAnsiTheme="minorEastAsia"/>
          <w:sz w:val="24"/>
        </w:rPr>
        <w:t>系</w:t>
      </w:r>
      <w:r>
        <w:rPr>
          <w:rFonts w:asciiTheme="minorEastAsia" w:hAnsiTheme="minorEastAsia"/>
          <w:sz w:val="24"/>
          <w:u w:val="single"/>
        </w:rPr>
        <w:t xml:space="preserve">            </w:t>
      </w:r>
      <w:r>
        <w:rPr>
          <w:rFonts w:hint="eastAsia" w:asciiTheme="minorEastAsia" w:hAnsiTheme="minorEastAsia"/>
          <w:sz w:val="24"/>
        </w:rPr>
        <w:t>（供应商名称）的法定代表人。为实施</w:t>
      </w:r>
      <w:r>
        <w:rPr>
          <w:rFonts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项目（</w:t>
      </w:r>
      <w:r>
        <w:rPr>
          <w:rFonts w:hint="eastAsia" w:asciiTheme="minorEastAsia" w:hAnsiTheme="minorEastAsia"/>
          <w:bCs/>
          <w:color w:val="000000" w:themeColor="text1"/>
          <w:sz w:val="24"/>
          <w:szCs w:val="24"/>
          <w14:textFill>
            <w14:solidFill>
              <w14:schemeClr w14:val="tx1"/>
            </w14:solidFill>
          </w14:textFill>
        </w:rPr>
        <w:t>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sz w:val="24"/>
        </w:rPr>
        <w:t>）的工作，签署上述项目的响应文件、进行合同谈判、签署合同和处理与之有关的一切事务。</w:t>
      </w:r>
    </w:p>
    <w:p>
      <w:pPr>
        <w:spacing w:line="360" w:lineRule="auto"/>
        <w:rPr>
          <w:rFonts w:asciiTheme="minorEastAsia" w:hAnsiTheme="minorEastAsia"/>
          <w:sz w:val="24"/>
        </w:rPr>
      </w:pPr>
      <w:r>
        <w:rPr>
          <w:rFonts w:hint="eastAsia" w:asciiTheme="minorEastAsia" w:hAnsiTheme="minorEastAsia"/>
          <w:sz w:val="24"/>
        </w:rPr>
        <w:t>特此证明。</w:t>
      </w:r>
    </w:p>
    <w:p>
      <w:pPr>
        <w:spacing w:line="560" w:lineRule="exact"/>
        <w:rPr>
          <w:rFonts w:ascii="宋体" w:hAnsi="宋体"/>
          <w:sz w:val="24"/>
        </w:rPr>
      </w:pPr>
    </w:p>
    <w:p>
      <w:pPr>
        <w:spacing w:line="560" w:lineRule="exact"/>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供应商：（公章）</w:t>
      </w:r>
    </w:p>
    <w:p>
      <w:pPr>
        <w:spacing w:line="360" w:lineRule="auto"/>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360" w:lineRule="auto"/>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sz w:val="24"/>
        </w:rPr>
      </w:pPr>
      <w:r>
        <w:rPr>
          <w:rFonts w:hint="eastAsia" w:ascii="宋体" w:hAnsi="宋体"/>
          <w:sz w:val="24"/>
        </w:rPr>
        <w:t>法定代表人身份证</w:t>
      </w:r>
    </w:p>
    <w:p>
      <w:pPr>
        <w:autoSpaceDE w:val="0"/>
        <w:autoSpaceDN w:val="0"/>
        <w:adjustRightInd w:val="0"/>
        <w:rPr>
          <w:rFonts w:ascii="宋体" w:hAnsi="宋体"/>
          <w:sz w:val="24"/>
        </w:rPr>
      </w:pPr>
      <w:r>
        <w:rPr>
          <w:rFonts w:hint="eastAsia" w:ascii="宋体" w:hAnsi="宋体"/>
          <w:sz w:val="24"/>
        </w:rPr>
        <w:t>（双面复印件）粘贴处</w:t>
      </w: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60"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u w:val="single"/>
        </w:rPr>
        <w:t>______________________</w:t>
      </w:r>
      <w:r>
        <w:rPr>
          <w:rFonts w:hint="eastAsia" w:ascii="宋体" w:hAnsi="宋体"/>
          <w:sz w:val="24"/>
        </w:rPr>
        <w:t>（供应商名称）的</w:t>
      </w:r>
      <w:r>
        <w:rPr>
          <w:rFonts w:ascii="宋体" w:hAnsi="宋体"/>
          <w:sz w:val="24"/>
          <w:u w:val="single"/>
        </w:rPr>
        <w:t>____________</w:t>
      </w:r>
      <w:r>
        <w:rPr>
          <w:rFonts w:hint="eastAsia" w:ascii="宋体" w:hAnsi="宋体"/>
          <w:sz w:val="24"/>
        </w:rPr>
        <w:t>（法定代表人姓名、职务）代表供应商授权</w:t>
      </w:r>
      <w:r>
        <w:rPr>
          <w:rFonts w:ascii="宋体" w:hAnsi="宋体"/>
          <w:sz w:val="24"/>
          <w:u w:val="single"/>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bCs/>
          <w:sz w:val="24"/>
          <w:u w:val="single"/>
        </w:rPr>
        <w:t>_____________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rPr>
        <w:t>代理人（签字或盖章）：</w:t>
      </w:r>
      <w:r>
        <w:rPr>
          <w:rFonts w:hint="eastAsia" w:ascii="宋体" w:hAnsi="宋体"/>
          <w:bCs/>
          <w:sz w:val="24"/>
          <w:u w:val="single"/>
        </w:rPr>
        <w:t>_____________</w:t>
      </w:r>
    </w:p>
    <w:p>
      <w:pPr>
        <w:spacing w:line="360" w:lineRule="auto"/>
        <w:ind w:firstLine="480" w:firstLineChars="200"/>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法定代表人身份证</w:t>
      </w:r>
    </w:p>
    <w:p>
      <w:pPr>
        <w:autoSpaceDE w:val="0"/>
        <w:autoSpaceDN w:val="0"/>
        <w:adjustRightInd w:val="0"/>
        <w:spacing w:line="360" w:lineRule="auto"/>
        <w:ind w:firstLine="240" w:firstLineChars="100"/>
        <w:rPr>
          <w:rFonts w:ascii="宋体" w:hAnsi="宋体"/>
          <w:sz w:val="24"/>
        </w:rPr>
      </w:pPr>
      <w:r>
        <w:rPr>
          <w:rFonts w:hint="eastAsia" w:ascii="宋体" w:hAnsi="宋体"/>
          <w:sz w:val="24"/>
        </w:rPr>
        <w:t>（双面复印件）粘贴处</w:t>
      </w:r>
    </w:p>
    <w:p>
      <w:pPr>
        <w:autoSpaceDE w:val="0"/>
        <w:autoSpaceDN w:val="0"/>
        <w:adjustRightInd w:val="0"/>
        <w:spacing w:line="360" w:lineRule="auto"/>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代理人身份证：</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（双面复印件）粘贴处</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bookmarkEnd w:id="60"/>
    <w:p>
      <w:pPr>
        <w:widowControl/>
        <w:jc w:val="left"/>
        <w:rPr>
          <w:rFonts w:ascii="黑体" w:hAnsi="宋体" w:eastAsia="黑体"/>
          <w:bCs/>
          <w:color w:val="000000" w:themeColor="text1"/>
          <w:sz w:val="24"/>
          <w:szCs w:val="24"/>
          <w14:textFill>
            <w14:solidFill>
              <w14:schemeClr w14:val="tx1"/>
            </w14:solidFill>
          </w14:textFill>
        </w:rPr>
      </w:pPr>
      <w:r>
        <w:br w:type="page"/>
      </w:r>
      <w:bookmarkStart w:id="61" w:name="_Toc59000743"/>
      <w:r>
        <w:rPr>
          <w:rFonts w:hint="eastAsia" w:ascii="黑体" w:hAnsi="宋体" w:eastAsia="黑体"/>
          <w:bCs/>
          <w:color w:val="000000" w:themeColor="text1"/>
          <w:sz w:val="24"/>
          <w:szCs w:val="24"/>
          <w14:textFill>
            <w14:solidFill>
              <w14:schemeClr w14:val="tx1"/>
            </w14:solidFill>
          </w14:textFill>
        </w:rPr>
        <w:t>（四）具备履行合同所必需的设备和专业技术能力的书面声明（格式）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tabs>
          <w:tab w:val="left" w:pos="360"/>
        </w:tabs>
        <w:ind w:firstLine="561"/>
        <w:jc w:val="center"/>
        <w:rPr>
          <w:rFonts w:ascii="黑体" w:hAnsi="黑体" w:eastAsia="黑体" w:cs="Times New Roman"/>
          <w:sz w:val="28"/>
          <w:szCs w:val="28"/>
        </w:rPr>
      </w:pPr>
      <w:r>
        <w:rPr>
          <w:rFonts w:hint="eastAsia" w:ascii="黑体" w:hAnsi="黑体" w:eastAsia="黑体" w:cs="Times New Roman"/>
          <w:sz w:val="28"/>
          <w:szCs w:val="28"/>
        </w:rPr>
        <w:t>具备履行合同所必需的设备和专业技术能力的书面声明</w:t>
      </w:r>
      <w:bookmarkEnd w:id="61"/>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w:t>
      </w:r>
      <w:r>
        <w:rPr>
          <w:rFonts w:hint="eastAsia" w:ascii="宋体" w:hAnsi="宋体"/>
          <w:bCs/>
          <w:sz w:val="24"/>
          <w:u w:val="single"/>
        </w:rPr>
        <w:t>_____________</w:t>
      </w:r>
    </w:p>
    <w:p>
      <w:pPr>
        <w:spacing w:line="460" w:lineRule="exact"/>
        <w:ind w:firstLine="3120" w:firstLineChars="1300"/>
        <w:jc w:val="lef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（五）参加采购活动前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tabs>
          <w:tab w:val="left" w:pos="360"/>
        </w:tabs>
        <w:ind w:firstLine="561"/>
        <w:jc w:val="center"/>
        <w:rPr>
          <w:rFonts w:ascii="黑体" w:hAnsi="黑体" w:eastAsia="黑体" w:cs="Times New Roman"/>
          <w:sz w:val="28"/>
          <w:szCs w:val="28"/>
        </w:rPr>
      </w:pPr>
      <w:bookmarkStart w:id="62" w:name="_Toc59000745"/>
      <w:r>
        <w:rPr>
          <w:rFonts w:hint="eastAsia" w:ascii="黑体" w:hAnsi="黑体" w:eastAsia="黑体" w:cs="Times New Roman"/>
          <w:sz w:val="28"/>
          <w:szCs w:val="28"/>
        </w:rPr>
        <w:t>参加采购活动前 3 年内在经营活动中没有重大违法记录的书面声明</w:t>
      </w:r>
      <w:bookmarkEnd w:id="62"/>
    </w:p>
    <w:p>
      <w:pPr>
        <w:tabs>
          <w:tab w:val="left" w:pos="360"/>
        </w:tabs>
        <w:ind w:firstLine="561"/>
        <w:jc w:val="center"/>
        <w:rPr>
          <w:rFonts w:ascii="黑体" w:hAnsi="黑体" w:eastAsia="黑体" w:cs="Times New Roman"/>
          <w:sz w:val="28"/>
          <w:szCs w:val="28"/>
        </w:rPr>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w:t>
      </w:r>
      <w:r>
        <w:rPr>
          <w:rFonts w:hint="eastAsia" w:ascii="宋体" w:hAnsi="宋体"/>
          <w:sz w:val="24"/>
          <w:u w:val="single"/>
        </w:rPr>
        <w:t>_______________</w:t>
      </w:r>
    </w:p>
    <w:p>
      <w:pPr>
        <w:spacing w:line="560" w:lineRule="exact"/>
        <w:ind w:firstLine="495"/>
        <w:rPr>
          <w:rFonts w:ascii="宋体" w:hAnsi="宋体"/>
          <w:sz w:val="24"/>
        </w:rPr>
      </w:pPr>
      <w:r>
        <w:rPr>
          <w:rFonts w:hint="eastAsia" w:ascii="宋体" w:hAnsi="宋体"/>
          <w:sz w:val="24"/>
        </w:rPr>
        <w:t xml:space="preserve">                      日期: </w:t>
      </w:r>
      <w:r>
        <w:rPr>
          <w:rFonts w:hint="eastAsia" w:ascii="宋体" w:hAnsi="宋体"/>
          <w:sz w:val="24"/>
          <w:u w:val="single"/>
        </w:rPr>
        <w:t>______</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（六）项目人员配置表</w:t>
      </w:r>
      <w:bookmarkEnd w:id="56"/>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asciiTheme="minorEastAsia" w:hAnsiTheme="minorEastAsia"/>
          <w:color w:val="000000" w:themeColor="text1"/>
          <w:sz w:val="24"/>
          <w:szCs w:val="24"/>
          <w14:textFill>
            <w14:solidFill>
              <w14:schemeClr w14:val="tx1"/>
            </w14:solidFill>
          </w14:textFill>
        </w:rPr>
        <w:t xml:space="preserve"> 表格不够可自行延长。</w:t>
      </w:r>
    </w:p>
    <w:p>
      <w:pPr>
        <w:spacing w:line="360" w:lineRule="auto"/>
        <w:rPr>
          <w:rFonts w:asciiTheme="minorEastAsia" w:hAnsiTheme="minorEastAsia"/>
          <w:color w:val="000000" w:themeColor="text1"/>
          <w:sz w:val="24"/>
          <w:szCs w:val="24"/>
          <w14:textFill>
            <w14:solidFill>
              <w14:schemeClr w14:val="tx1"/>
            </w14:solidFill>
          </w14:textFill>
        </w:rPr>
      </w:pPr>
      <w:r>
        <w:br w:type="page"/>
      </w:r>
      <w:r>
        <w:rPr>
          <w:rFonts w:hint="eastAsia" w:ascii="黑体" w:hAnsi="宋体" w:eastAsia="黑体"/>
          <w:bCs/>
          <w:color w:val="000000" w:themeColor="text1"/>
          <w:sz w:val="24"/>
          <w:szCs w:val="24"/>
          <w14:textFill>
            <w14:solidFill>
              <w14:schemeClr w14:val="tx1"/>
            </w14:solidFill>
          </w14:textFill>
        </w:rPr>
        <w:t>（七）疫情期间参与采购活动开评标人员健康信息登记表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疫情期间参与采购活动开评标人员健康信息登记表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numPr>
                <w:ilvl w:val="0"/>
                <w:numId w:val="7"/>
              </w:numPr>
              <w:jc w:val="center"/>
              <w:rPr>
                <w:rFonts w:ascii="宋体" w:hAnsi="宋体" w:eastAsia="宋体" w:cs="Times New Roman"/>
                <w:sz w:val="24"/>
                <w:szCs w:val="20"/>
              </w:rPr>
            </w:pPr>
            <w:r>
              <w:rPr>
                <w:rFonts w:hint="eastAsia" w:ascii="宋体" w:hAnsi="宋体" w:eastAsia="宋体" w:cs="Times New Roman"/>
                <w:sz w:val="24"/>
                <w:szCs w:val="20"/>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r>
        <w:br w:type="page"/>
      </w:r>
    </w:p>
    <w:p>
      <w:pPr>
        <w:keepNext/>
        <w:spacing w:line="360" w:lineRule="auto"/>
        <w:jc w:val="center"/>
        <w:outlineLvl w:val="0"/>
        <w:rPr>
          <w:rFonts w:ascii="黑体" w:hAnsi="黑体" w:eastAsia="黑体" w:cs="Times New Roman"/>
          <w:bCs/>
          <w:kern w:val="0"/>
          <w:sz w:val="28"/>
          <w:szCs w:val="28"/>
        </w:rPr>
      </w:pPr>
      <w:bookmarkStart w:id="63" w:name="_Toc63173555"/>
      <w:bookmarkStart w:id="64" w:name="_Toc25701"/>
      <w:r>
        <w:rPr>
          <w:rFonts w:hint="eastAsia" w:ascii="黑体" w:hAnsi="黑体" w:eastAsia="黑体" w:cs="Times New Roman"/>
          <w:bCs/>
          <w:kern w:val="0"/>
          <w:sz w:val="28"/>
          <w:szCs w:val="28"/>
        </w:rPr>
        <w:t>友 情 提 醒</w:t>
      </w:r>
      <w:bookmarkEnd w:id="63"/>
      <w:bookmarkEnd w:id="64"/>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响应文件须按采购文件《二、供应商须知》及《五、响应文件格式》中相关要求装订、密封、标记、盖章和签署。响应文件封袋须加盖供应商公章。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p>
      <w:pPr>
        <w:widowControl/>
        <w:jc w:val="left"/>
        <w:rPr>
          <w:rFonts w:ascii="黑体" w:hAnsi="黑体" w:eastAsia="黑体"/>
          <w:color w:val="000000" w:themeColor="text1"/>
          <w:sz w:val="28"/>
          <w:szCs w:val="28"/>
          <w14:textFill>
            <w14:solidFill>
              <w14:schemeClr w14:val="tx1"/>
            </w14:solidFill>
          </w14:textFill>
        </w:rPr>
      </w:pPr>
    </w:p>
    <w:sectPr>
      <w:headerReference r:id="rId12" w:type="first"/>
      <w:footerReference r:id="rId14" w:type="first"/>
      <w:headerReference r:id="rId10" w:type="default"/>
      <w:footerReference r:id="rId13" w:type="default"/>
      <w:headerReference r:id="rId11" w:type="even"/>
      <w:pgSz w:w="11906" w:h="16838"/>
      <w:pgMar w:top="1276" w:right="851" w:bottom="1134" w:left="1134" w:header="568" w:footer="59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316035"/>
    </w:sdtPr>
    <w:sdtContent>
      <w:p>
        <w:pPr>
          <w:pStyle w:val="20"/>
          <w:tabs>
            <w:tab w:val="left" w:pos="3900"/>
            <w:tab w:val="center" w:pos="4960"/>
          </w:tabs>
          <w:rPr>
            <w:rFonts w:asciiTheme="minorHAnsi" w:hAnsiTheme="minorHAnsi" w:eastAsiaTheme="minorEastAsia" w:cstheme="minorBidi"/>
            <w:kern w:val="2"/>
            <w:sz w:val="21"/>
            <w:szCs w:val="22"/>
          </w:rPr>
        </w:pPr>
        <w: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807669"/>
    </w:sdtPr>
    <w:sdtContent>
      <w:p>
        <w:pPr>
          <w:pStyle w:val="20"/>
          <w:tabs>
            <w:tab w:val="left" w:pos="3900"/>
            <w:tab w:val="center" w:pos="4960"/>
          </w:tabs>
          <w:rPr>
            <w:rFonts w:asciiTheme="minorHAnsi" w:hAnsiTheme="minorHAnsi" w:eastAsiaTheme="minorEastAsia" w:cstheme="minorBidi"/>
            <w:kern w:val="2"/>
            <w:sz w:val="21"/>
            <w:szCs w:val="22"/>
          </w:rPr>
        </w:pPr>
        <w:r>
          <w:tab/>
        </w:r>
        <w:r>
          <w:tab/>
        </w:r>
        <w:r>
          <w:rPr>
            <w:rFonts w:asciiTheme="minorEastAsia" w:hAnsiTheme="minorEastAsia" w:eastAsiaTheme="minorEastAsia"/>
            <w:sz w:val="21"/>
            <w:szCs w:val="21"/>
            <w:lang w:val="zh-CN"/>
          </w:rPr>
          <w:t xml:space="preserve"> 第</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24</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共 </w:t>
        </w:r>
        <w:r>
          <w:rPr>
            <w:rFonts w:hint="eastAsia" w:asciiTheme="minorEastAsia" w:hAnsiTheme="minorEastAsia" w:eastAsiaTheme="minorEastAsia"/>
            <w:bCs/>
            <w:sz w:val="21"/>
            <w:szCs w:val="21"/>
          </w:rPr>
          <w:t>40</w:t>
        </w:r>
        <w:r>
          <w:rPr>
            <w:rFonts w:asciiTheme="minorEastAsia" w:hAnsiTheme="minorEastAsia" w:eastAsiaTheme="minorEastAsia"/>
            <w:bCs/>
            <w:sz w:val="21"/>
            <w:szCs w:val="21"/>
          </w:rPr>
          <w:t>页</w:t>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0"/>
              <w:jc w:val="center"/>
            </w:pPr>
            <w:r>
              <w:rPr>
                <w:rFonts w:hint="eastAsia" w:asciiTheme="minorEastAsia" w:hAnsiTheme="minorEastAsia" w:eastAsiaTheme="minorEastAsia"/>
                <w:szCs w:val="18"/>
              </w:rPr>
              <w:t>第</w:t>
            </w:r>
            <w:r>
              <w:rPr>
                <w:rFonts w:asciiTheme="minorEastAsia" w:hAnsiTheme="minorEastAsia" w:eastAsiaTheme="minorEastAsia"/>
                <w:szCs w:val="18"/>
                <w:lang w:val="zh-CN"/>
              </w:rPr>
              <w:t xml:space="preserve"> </w:t>
            </w:r>
            <w:r>
              <w:rPr>
                <w:rFonts w:asciiTheme="minorEastAsia" w:hAnsiTheme="minorEastAsia" w:eastAsiaTheme="minorEastAsia"/>
                <w:bCs/>
                <w:szCs w:val="18"/>
              </w:rPr>
              <w:fldChar w:fldCharType="begin"/>
            </w:r>
            <w:r>
              <w:rPr>
                <w:rFonts w:asciiTheme="minorEastAsia" w:hAnsiTheme="minorEastAsia" w:eastAsiaTheme="minorEastAsia"/>
                <w:bCs/>
                <w:szCs w:val="18"/>
              </w:rPr>
              <w:instrText xml:space="preserve">PAGE</w:instrText>
            </w:r>
            <w:r>
              <w:rPr>
                <w:rFonts w:asciiTheme="minorEastAsia" w:hAnsiTheme="minorEastAsia" w:eastAsiaTheme="minorEastAsia"/>
                <w:bCs/>
                <w:szCs w:val="18"/>
              </w:rPr>
              <w:fldChar w:fldCharType="separate"/>
            </w:r>
            <w:r>
              <w:rPr>
                <w:rFonts w:asciiTheme="minorEastAsia" w:hAnsiTheme="minorEastAsia" w:eastAsiaTheme="minorEastAsia"/>
                <w:bCs/>
                <w:szCs w:val="18"/>
              </w:rPr>
              <w:t>39</w:t>
            </w:r>
            <w:r>
              <w:rPr>
                <w:rFonts w:asciiTheme="minorEastAsia" w:hAnsiTheme="minorEastAsia" w:eastAsiaTheme="minorEastAsia"/>
                <w:bCs/>
                <w:szCs w:val="18"/>
              </w:rPr>
              <w:fldChar w:fldCharType="end"/>
            </w:r>
            <w:r>
              <w:rPr>
                <w:rFonts w:hint="eastAsia" w:asciiTheme="minorEastAsia" w:hAnsiTheme="minorEastAsia" w:eastAsiaTheme="minorEastAsia"/>
                <w:bCs/>
                <w:szCs w:val="18"/>
              </w:rPr>
              <w:t xml:space="preserve"> 页，</w:t>
            </w:r>
            <w:r>
              <w:rPr>
                <w:rFonts w:hint="eastAsia" w:asciiTheme="minorEastAsia" w:hAnsiTheme="minorEastAsia" w:eastAsiaTheme="minorEastAsia"/>
                <w:szCs w:val="18"/>
                <w:lang w:val="zh-CN"/>
              </w:rPr>
              <w:t>共</w:t>
            </w:r>
            <w:r>
              <w:rPr>
                <w:rFonts w:hint="eastAsia" w:asciiTheme="minorEastAsia" w:hAnsiTheme="minorEastAsia" w:eastAsiaTheme="minorEastAsia"/>
                <w:bCs/>
                <w:szCs w:val="18"/>
              </w:rPr>
              <w:t>23页</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368604791"/>
    </w:sdtPr>
    <w:sdtEndPr>
      <w:rPr>
        <w:rStyle w:val="35"/>
      </w:rPr>
    </w:sdtEndPr>
    <w:sdtContent>
      <w:p>
        <w:pPr>
          <w:pStyle w:val="20"/>
          <w:framePr w:wrap="auto" w:vAnchor="text" w:hAnchor="margin" w:xAlign="center" w:y="1"/>
          <w:rPr>
            <w:rStyle w:val="35"/>
          </w:rPr>
        </w:pPr>
        <w:r>
          <w:rPr>
            <w:rStyle w:val="35"/>
          </w:rPr>
          <w:fldChar w:fldCharType="begin"/>
        </w:r>
        <w:r>
          <w:rPr>
            <w:rStyle w:val="35"/>
          </w:rPr>
          <w:instrText xml:space="preserve"> PAGE </w:instrText>
        </w:r>
        <w:r>
          <w:rPr>
            <w:rStyle w:val="35"/>
          </w:rPr>
          <w:fldChar w:fldCharType="separate"/>
        </w:r>
        <w:r>
          <w:rPr>
            <w:rStyle w:val="35"/>
          </w:rPr>
          <w:t>1</w:t>
        </w:r>
        <w:r>
          <w:rPr>
            <w:rStyle w:val="35"/>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60950" cy="5080000"/>
          <wp:effectExtent l="0" t="0" r="6350" b="6350"/>
          <wp:wrapNone/>
          <wp:docPr id="1"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1312" behindDoc="0" locked="0" layoutInCell="1" allowOverlap="1">
          <wp:simplePos x="0" y="0"/>
          <wp:positionH relativeFrom="column">
            <wp:posOffset>2073910</wp:posOffset>
          </wp:positionH>
          <wp:positionV relativeFrom="paragraph">
            <wp:posOffset>-42545</wp:posOffset>
          </wp:positionV>
          <wp:extent cx="2016760" cy="20447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6795"/>
        <w:tab w:val="right" w:pos="8789"/>
      </w:tabs>
      <w:ind w:right="55"/>
      <w:jc w:val="left"/>
      <w:rPr>
        <w:rFonts w:ascii="华文新魏" w:hAnsi="华文新魏" w:eastAsia="华文新魏"/>
        <w:sz w:val="21"/>
        <w:szCs w:val="21"/>
      </w:rPr>
    </w:pPr>
    <w:r>
      <w:rPr>
        <w:rFonts w:ascii="华文新魏" w:hAnsi="华文新魏" w:eastAsia="华文新魏"/>
        <w:sz w:val="21"/>
        <w:szCs w:val="21"/>
      </w:rPr>
      <w:tab/>
    </w:r>
    <w:r>
      <w:rPr>
        <w:rFonts w:ascii="华文新魏" w:hAnsi="华文新魏" w:eastAsia="华文新魏"/>
        <w:sz w:val="21"/>
        <w:szCs w:val="21"/>
      </w:rPr>
      <w:tab/>
    </w:r>
    <w:r>
      <w:rPr>
        <w:rFonts w:ascii="华文新魏" w:hAnsi="华文新魏" w:eastAsia="华文新魏"/>
        <w:sz w:val="21"/>
        <w:szCs w:val="21"/>
      </w:rPr>
      <w:tab/>
    </w: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2107565</wp:posOffset>
          </wp:positionH>
          <wp:positionV relativeFrom="paragraph">
            <wp:posOffset>-50165</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10" name="图片 10"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0" b="0"/>
          <wp:wrapNone/>
          <wp:docPr id="12" name="图片 12"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76B9"/>
    <w:multiLevelType w:val="multilevel"/>
    <w:tmpl w:val="07CD76B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594B7D5"/>
    <w:multiLevelType w:val="singleLevel"/>
    <w:tmpl w:val="1594B7D5"/>
    <w:lvl w:ilvl="0" w:tentative="0">
      <w:start w:val="5"/>
      <w:numFmt w:val="decimal"/>
      <w:suff w:val="space"/>
      <w:lvlText w:val="%1."/>
      <w:lvlJc w:val="left"/>
    </w:lvl>
  </w:abstractNum>
  <w:abstractNum w:abstractNumId="2">
    <w:nsid w:val="1FD96D2B"/>
    <w:multiLevelType w:val="singleLevel"/>
    <w:tmpl w:val="1FD96D2B"/>
    <w:lvl w:ilvl="0" w:tentative="0">
      <w:start w:val="1"/>
      <w:numFmt w:val="decimal"/>
      <w:lvlText w:val="（%1）"/>
      <w:lvlJc w:val="left"/>
      <w:pPr>
        <w:tabs>
          <w:tab w:val="left" w:pos="1104"/>
        </w:tabs>
        <w:ind w:left="1104" w:hanging="696"/>
      </w:pPr>
      <w:rPr>
        <w:rFonts w:cs="Times New Roman" w:asciiTheme="minorEastAsia" w:hAnsiTheme="minorEastAsia" w:eastAsiaTheme="minorEastAsia"/>
      </w:rPr>
    </w:lvl>
  </w:abstractNum>
  <w:abstractNum w:abstractNumId="3">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s>
  <w:rsids>
    <w:rsidRoot w:val="00202940"/>
    <w:rsid w:val="000048AE"/>
    <w:rsid w:val="00004E4E"/>
    <w:rsid w:val="00007D9A"/>
    <w:rsid w:val="00011B5A"/>
    <w:rsid w:val="00021B35"/>
    <w:rsid w:val="00023F37"/>
    <w:rsid w:val="00025959"/>
    <w:rsid w:val="00025CDA"/>
    <w:rsid w:val="00027136"/>
    <w:rsid w:val="000304B3"/>
    <w:rsid w:val="0003505C"/>
    <w:rsid w:val="0003756D"/>
    <w:rsid w:val="00040D3C"/>
    <w:rsid w:val="000467D6"/>
    <w:rsid w:val="00050C6E"/>
    <w:rsid w:val="000542BD"/>
    <w:rsid w:val="00055659"/>
    <w:rsid w:val="00056FC0"/>
    <w:rsid w:val="00057274"/>
    <w:rsid w:val="00057BBC"/>
    <w:rsid w:val="0006261F"/>
    <w:rsid w:val="00064546"/>
    <w:rsid w:val="00064F9E"/>
    <w:rsid w:val="00071CFE"/>
    <w:rsid w:val="00072395"/>
    <w:rsid w:val="0007466C"/>
    <w:rsid w:val="00081AD6"/>
    <w:rsid w:val="00085025"/>
    <w:rsid w:val="000853A3"/>
    <w:rsid w:val="00091725"/>
    <w:rsid w:val="00091930"/>
    <w:rsid w:val="000929A2"/>
    <w:rsid w:val="000935DA"/>
    <w:rsid w:val="000951E0"/>
    <w:rsid w:val="00096B78"/>
    <w:rsid w:val="00096F5C"/>
    <w:rsid w:val="000A01C4"/>
    <w:rsid w:val="000A611A"/>
    <w:rsid w:val="000A6A2A"/>
    <w:rsid w:val="000A7FF1"/>
    <w:rsid w:val="000B5A22"/>
    <w:rsid w:val="000C394C"/>
    <w:rsid w:val="000D0966"/>
    <w:rsid w:val="000D3F14"/>
    <w:rsid w:val="000D7793"/>
    <w:rsid w:val="000E0666"/>
    <w:rsid w:val="000E5708"/>
    <w:rsid w:val="000E61BA"/>
    <w:rsid w:val="000F08EC"/>
    <w:rsid w:val="000F13DD"/>
    <w:rsid w:val="000F18E1"/>
    <w:rsid w:val="000F3902"/>
    <w:rsid w:val="000F3F52"/>
    <w:rsid w:val="000F4EF1"/>
    <w:rsid w:val="00101B15"/>
    <w:rsid w:val="00102755"/>
    <w:rsid w:val="0010372C"/>
    <w:rsid w:val="001059EA"/>
    <w:rsid w:val="001061CD"/>
    <w:rsid w:val="0010690C"/>
    <w:rsid w:val="00107B7C"/>
    <w:rsid w:val="00110852"/>
    <w:rsid w:val="001111BA"/>
    <w:rsid w:val="00113991"/>
    <w:rsid w:val="00123E77"/>
    <w:rsid w:val="00125078"/>
    <w:rsid w:val="0013089A"/>
    <w:rsid w:val="001313B9"/>
    <w:rsid w:val="0013250F"/>
    <w:rsid w:val="00133344"/>
    <w:rsid w:val="00133FEA"/>
    <w:rsid w:val="00136D32"/>
    <w:rsid w:val="00136D88"/>
    <w:rsid w:val="001370A3"/>
    <w:rsid w:val="0013765A"/>
    <w:rsid w:val="00141B65"/>
    <w:rsid w:val="00147551"/>
    <w:rsid w:val="00147D46"/>
    <w:rsid w:val="00151AAE"/>
    <w:rsid w:val="00153554"/>
    <w:rsid w:val="00153F19"/>
    <w:rsid w:val="00161412"/>
    <w:rsid w:val="0016169A"/>
    <w:rsid w:val="001645F2"/>
    <w:rsid w:val="00164C83"/>
    <w:rsid w:val="00166A1C"/>
    <w:rsid w:val="00166B9F"/>
    <w:rsid w:val="00170876"/>
    <w:rsid w:val="0017431C"/>
    <w:rsid w:val="001774EB"/>
    <w:rsid w:val="00180119"/>
    <w:rsid w:val="0018151D"/>
    <w:rsid w:val="0018434D"/>
    <w:rsid w:val="00184781"/>
    <w:rsid w:val="001917BD"/>
    <w:rsid w:val="00197209"/>
    <w:rsid w:val="001A0B7A"/>
    <w:rsid w:val="001A3FBC"/>
    <w:rsid w:val="001A6D24"/>
    <w:rsid w:val="001A706E"/>
    <w:rsid w:val="001A7A41"/>
    <w:rsid w:val="001B3832"/>
    <w:rsid w:val="001B4A4A"/>
    <w:rsid w:val="001B76D5"/>
    <w:rsid w:val="001C0741"/>
    <w:rsid w:val="001C0B47"/>
    <w:rsid w:val="001C0DBC"/>
    <w:rsid w:val="001C107D"/>
    <w:rsid w:val="001C213A"/>
    <w:rsid w:val="001D26CC"/>
    <w:rsid w:val="001D3F66"/>
    <w:rsid w:val="001E150A"/>
    <w:rsid w:val="001E4668"/>
    <w:rsid w:val="001E58C3"/>
    <w:rsid w:val="001E6093"/>
    <w:rsid w:val="001E7D27"/>
    <w:rsid w:val="001F0A78"/>
    <w:rsid w:val="001F1F9F"/>
    <w:rsid w:val="001F4C40"/>
    <w:rsid w:val="001F4E86"/>
    <w:rsid w:val="001F57BF"/>
    <w:rsid w:val="0020257D"/>
    <w:rsid w:val="00202940"/>
    <w:rsid w:val="00202D50"/>
    <w:rsid w:val="00202E69"/>
    <w:rsid w:val="0020399D"/>
    <w:rsid w:val="002039D9"/>
    <w:rsid w:val="00203A18"/>
    <w:rsid w:val="00204136"/>
    <w:rsid w:val="00204689"/>
    <w:rsid w:val="00207EEF"/>
    <w:rsid w:val="00220ED1"/>
    <w:rsid w:val="00223FE7"/>
    <w:rsid w:val="0022401B"/>
    <w:rsid w:val="00224699"/>
    <w:rsid w:val="00226E8B"/>
    <w:rsid w:val="00230D81"/>
    <w:rsid w:val="00242E47"/>
    <w:rsid w:val="002463D4"/>
    <w:rsid w:val="0024665D"/>
    <w:rsid w:val="00250429"/>
    <w:rsid w:val="002520C9"/>
    <w:rsid w:val="002530FA"/>
    <w:rsid w:val="00255030"/>
    <w:rsid w:val="0026222C"/>
    <w:rsid w:val="00264142"/>
    <w:rsid w:val="002655D6"/>
    <w:rsid w:val="00274DB6"/>
    <w:rsid w:val="00277DD9"/>
    <w:rsid w:val="00280BDD"/>
    <w:rsid w:val="00282792"/>
    <w:rsid w:val="00283719"/>
    <w:rsid w:val="00284350"/>
    <w:rsid w:val="00287509"/>
    <w:rsid w:val="0028759F"/>
    <w:rsid w:val="002910AF"/>
    <w:rsid w:val="00294538"/>
    <w:rsid w:val="002946D4"/>
    <w:rsid w:val="002A6BFE"/>
    <w:rsid w:val="002A7AF7"/>
    <w:rsid w:val="002B10B3"/>
    <w:rsid w:val="002B150D"/>
    <w:rsid w:val="002B2C3C"/>
    <w:rsid w:val="002B4BBF"/>
    <w:rsid w:val="002B685A"/>
    <w:rsid w:val="002C5B47"/>
    <w:rsid w:val="002C6557"/>
    <w:rsid w:val="002D03B7"/>
    <w:rsid w:val="002D20DB"/>
    <w:rsid w:val="002D3797"/>
    <w:rsid w:val="002D6B2A"/>
    <w:rsid w:val="002D7397"/>
    <w:rsid w:val="002E1DAC"/>
    <w:rsid w:val="002E1F11"/>
    <w:rsid w:val="002E23ED"/>
    <w:rsid w:val="002E2B64"/>
    <w:rsid w:val="002E40BC"/>
    <w:rsid w:val="002E6F43"/>
    <w:rsid w:val="002F2892"/>
    <w:rsid w:val="002F34EC"/>
    <w:rsid w:val="002F72C2"/>
    <w:rsid w:val="003015C1"/>
    <w:rsid w:val="00301DEA"/>
    <w:rsid w:val="00305E08"/>
    <w:rsid w:val="003128B5"/>
    <w:rsid w:val="003140CE"/>
    <w:rsid w:val="00315EB2"/>
    <w:rsid w:val="00320C76"/>
    <w:rsid w:val="0032309C"/>
    <w:rsid w:val="003245E2"/>
    <w:rsid w:val="003268BA"/>
    <w:rsid w:val="00327E25"/>
    <w:rsid w:val="0033138A"/>
    <w:rsid w:val="003319FF"/>
    <w:rsid w:val="0033294C"/>
    <w:rsid w:val="0033728E"/>
    <w:rsid w:val="003373D3"/>
    <w:rsid w:val="00340E56"/>
    <w:rsid w:val="00342126"/>
    <w:rsid w:val="003453B0"/>
    <w:rsid w:val="00345ED2"/>
    <w:rsid w:val="00346850"/>
    <w:rsid w:val="00347318"/>
    <w:rsid w:val="003518F9"/>
    <w:rsid w:val="0035261B"/>
    <w:rsid w:val="0035426D"/>
    <w:rsid w:val="00356747"/>
    <w:rsid w:val="003606A1"/>
    <w:rsid w:val="00362634"/>
    <w:rsid w:val="003631D4"/>
    <w:rsid w:val="00372490"/>
    <w:rsid w:val="003724E1"/>
    <w:rsid w:val="00374F99"/>
    <w:rsid w:val="00387D89"/>
    <w:rsid w:val="00392157"/>
    <w:rsid w:val="00393FB0"/>
    <w:rsid w:val="003973FB"/>
    <w:rsid w:val="003A1EEF"/>
    <w:rsid w:val="003A2B32"/>
    <w:rsid w:val="003A30AE"/>
    <w:rsid w:val="003A518E"/>
    <w:rsid w:val="003A6FD9"/>
    <w:rsid w:val="003B0177"/>
    <w:rsid w:val="003B1C96"/>
    <w:rsid w:val="003B5D97"/>
    <w:rsid w:val="003B6DDC"/>
    <w:rsid w:val="003C44D1"/>
    <w:rsid w:val="003C46E2"/>
    <w:rsid w:val="003C64FC"/>
    <w:rsid w:val="003D33EB"/>
    <w:rsid w:val="003D3D61"/>
    <w:rsid w:val="003D3E89"/>
    <w:rsid w:val="003D61E3"/>
    <w:rsid w:val="003E2FFD"/>
    <w:rsid w:val="003E5D27"/>
    <w:rsid w:val="003F0A6E"/>
    <w:rsid w:val="003F5DD0"/>
    <w:rsid w:val="0040069E"/>
    <w:rsid w:val="0040123D"/>
    <w:rsid w:val="004037FD"/>
    <w:rsid w:val="00403F64"/>
    <w:rsid w:val="004049FA"/>
    <w:rsid w:val="00404C9E"/>
    <w:rsid w:val="0040669C"/>
    <w:rsid w:val="00410F06"/>
    <w:rsid w:val="00412113"/>
    <w:rsid w:val="0041222C"/>
    <w:rsid w:val="004128C0"/>
    <w:rsid w:val="00413FED"/>
    <w:rsid w:val="004173ED"/>
    <w:rsid w:val="00417824"/>
    <w:rsid w:val="00420198"/>
    <w:rsid w:val="00421BC3"/>
    <w:rsid w:val="00423A2F"/>
    <w:rsid w:val="00423D1A"/>
    <w:rsid w:val="00424F3A"/>
    <w:rsid w:val="00426EFC"/>
    <w:rsid w:val="004318E8"/>
    <w:rsid w:val="00433266"/>
    <w:rsid w:val="0043343C"/>
    <w:rsid w:val="004345F2"/>
    <w:rsid w:val="00440226"/>
    <w:rsid w:val="00440403"/>
    <w:rsid w:val="0044360E"/>
    <w:rsid w:val="004438AB"/>
    <w:rsid w:val="00443AAC"/>
    <w:rsid w:val="004466E4"/>
    <w:rsid w:val="00450228"/>
    <w:rsid w:val="00457796"/>
    <w:rsid w:val="004624C0"/>
    <w:rsid w:val="00462729"/>
    <w:rsid w:val="004635E7"/>
    <w:rsid w:val="004649AD"/>
    <w:rsid w:val="004703CF"/>
    <w:rsid w:val="00473CE7"/>
    <w:rsid w:val="00475381"/>
    <w:rsid w:val="00476318"/>
    <w:rsid w:val="00481371"/>
    <w:rsid w:val="00481DAC"/>
    <w:rsid w:val="004829BA"/>
    <w:rsid w:val="00482E88"/>
    <w:rsid w:val="00483830"/>
    <w:rsid w:val="00484AFF"/>
    <w:rsid w:val="00486A26"/>
    <w:rsid w:val="00490A1F"/>
    <w:rsid w:val="00491052"/>
    <w:rsid w:val="004913BE"/>
    <w:rsid w:val="00492B24"/>
    <w:rsid w:val="00495540"/>
    <w:rsid w:val="004960B6"/>
    <w:rsid w:val="0049762D"/>
    <w:rsid w:val="004A242D"/>
    <w:rsid w:val="004A27F7"/>
    <w:rsid w:val="004A339B"/>
    <w:rsid w:val="004A473E"/>
    <w:rsid w:val="004A5848"/>
    <w:rsid w:val="004B28CE"/>
    <w:rsid w:val="004B47A7"/>
    <w:rsid w:val="004B5D69"/>
    <w:rsid w:val="004C1504"/>
    <w:rsid w:val="004C152C"/>
    <w:rsid w:val="004C296E"/>
    <w:rsid w:val="004C5AE3"/>
    <w:rsid w:val="004D0130"/>
    <w:rsid w:val="004D48F5"/>
    <w:rsid w:val="004E1640"/>
    <w:rsid w:val="004E3B03"/>
    <w:rsid w:val="004F08E1"/>
    <w:rsid w:val="004F243A"/>
    <w:rsid w:val="004F4FA2"/>
    <w:rsid w:val="004F580F"/>
    <w:rsid w:val="0050269D"/>
    <w:rsid w:val="00503ECB"/>
    <w:rsid w:val="0050415D"/>
    <w:rsid w:val="00506D80"/>
    <w:rsid w:val="00507555"/>
    <w:rsid w:val="00513459"/>
    <w:rsid w:val="005175EA"/>
    <w:rsid w:val="005210E7"/>
    <w:rsid w:val="00521C9B"/>
    <w:rsid w:val="00521EAF"/>
    <w:rsid w:val="005222A7"/>
    <w:rsid w:val="0052245F"/>
    <w:rsid w:val="00522535"/>
    <w:rsid w:val="00526482"/>
    <w:rsid w:val="00526615"/>
    <w:rsid w:val="00526B1D"/>
    <w:rsid w:val="005333BD"/>
    <w:rsid w:val="0053577E"/>
    <w:rsid w:val="00535C96"/>
    <w:rsid w:val="00542479"/>
    <w:rsid w:val="005430CC"/>
    <w:rsid w:val="00543C1B"/>
    <w:rsid w:val="00545525"/>
    <w:rsid w:val="005522C5"/>
    <w:rsid w:val="00553339"/>
    <w:rsid w:val="00561A77"/>
    <w:rsid w:val="00565EB9"/>
    <w:rsid w:val="00570777"/>
    <w:rsid w:val="00570C84"/>
    <w:rsid w:val="005718D8"/>
    <w:rsid w:val="00574C98"/>
    <w:rsid w:val="00576301"/>
    <w:rsid w:val="00576D88"/>
    <w:rsid w:val="005823CC"/>
    <w:rsid w:val="005856CE"/>
    <w:rsid w:val="005913F0"/>
    <w:rsid w:val="00592696"/>
    <w:rsid w:val="0059393F"/>
    <w:rsid w:val="00593E2C"/>
    <w:rsid w:val="005A05DD"/>
    <w:rsid w:val="005A0F04"/>
    <w:rsid w:val="005A1486"/>
    <w:rsid w:val="005A1B02"/>
    <w:rsid w:val="005A34BA"/>
    <w:rsid w:val="005A5C96"/>
    <w:rsid w:val="005A64FA"/>
    <w:rsid w:val="005A662E"/>
    <w:rsid w:val="005B3341"/>
    <w:rsid w:val="005B3F52"/>
    <w:rsid w:val="005B67A5"/>
    <w:rsid w:val="005B7139"/>
    <w:rsid w:val="005C05C5"/>
    <w:rsid w:val="005C1267"/>
    <w:rsid w:val="005C2F0F"/>
    <w:rsid w:val="005C5901"/>
    <w:rsid w:val="005C73DA"/>
    <w:rsid w:val="005D3EB4"/>
    <w:rsid w:val="005D538D"/>
    <w:rsid w:val="005D6D16"/>
    <w:rsid w:val="005E140C"/>
    <w:rsid w:val="005E15AD"/>
    <w:rsid w:val="005E4D9F"/>
    <w:rsid w:val="005E53C9"/>
    <w:rsid w:val="005E5BA9"/>
    <w:rsid w:val="005F06CD"/>
    <w:rsid w:val="005F0F16"/>
    <w:rsid w:val="005F59AD"/>
    <w:rsid w:val="005F6732"/>
    <w:rsid w:val="00601A43"/>
    <w:rsid w:val="00605F1D"/>
    <w:rsid w:val="00607CEB"/>
    <w:rsid w:val="00610BFE"/>
    <w:rsid w:val="0061201B"/>
    <w:rsid w:val="00612E01"/>
    <w:rsid w:val="00613B14"/>
    <w:rsid w:val="00613CEF"/>
    <w:rsid w:val="006142AE"/>
    <w:rsid w:val="00614E3A"/>
    <w:rsid w:val="0061622D"/>
    <w:rsid w:val="00616B3E"/>
    <w:rsid w:val="006205AA"/>
    <w:rsid w:val="00620E63"/>
    <w:rsid w:val="00627FF7"/>
    <w:rsid w:val="0063000B"/>
    <w:rsid w:val="00634FB9"/>
    <w:rsid w:val="00635C8B"/>
    <w:rsid w:val="0064311D"/>
    <w:rsid w:val="0064361B"/>
    <w:rsid w:val="00644095"/>
    <w:rsid w:val="006445BC"/>
    <w:rsid w:val="0064481A"/>
    <w:rsid w:val="006469F7"/>
    <w:rsid w:val="006474D8"/>
    <w:rsid w:val="00656D3B"/>
    <w:rsid w:val="006605B2"/>
    <w:rsid w:val="00660C5F"/>
    <w:rsid w:val="00660DA3"/>
    <w:rsid w:val="00661355"/>
    <w:rsid w:val="00671B4C"/>
    <w:rsid w:val="00675965"/>
    <w:rsid w:val="006777BA"/>
    <w:rsid w:val="0068083B"/>
    <w:rsid w:val="00680DF5"/>
    <w:rsid w:val="00684D94"/>
    <w:rsid w:val="006856D2"/>
    <w:rsid w:val="00691240"/>
    <w:rsid w:val="00694B97"/>
    <w:rsid w:val="00697621"/>
    <w:rsid w:val="006A098D"/>
    <w:rsid w:val="006A7A51"/>
    <w:rsid w:val="006B445C"/>
    <w:rsid w:val="006B7845"/>
    <w:rsid w:val="006C02D1"/>
    <w:rsid w:val="006C68A2"/>
    <w:rsid w:val="006C6D06"/>
    <w:rsid w:val="006C7D90"/>
    <w:rsid w:val="006D1C29"/>
    <w:rsid w:val="006D3F61"/>
    <w:rsid w:val="006D41F6"/>
    <w:rsid w:val="006D73B5"/>
    <w:rsid w:val="006E1633"/>
    <w:rsid w:val="006F5130"/>
    <w:rsid w:val="006F545D"/>
    <w:rsid w:val="006F5AEB"/>
    <w:rsid w:val="006F5F68"/>
    <w:rsid w:val="006F62A7"/>
    <w:rsid w:val="006F6F4A"/>
    <w:rsid w:val="007008D6"/>
    <w:rsid w:val="0070121E"/>
    <w:rsid w:val="007017C2"/>
    <w:rsid w:val="00702D27"/>
    <w:rsid w:val="00702E0A"/>
    <w:rsid w:val="0070333F"/>
    <w:rsid w:val="00704DB6"/>
    <w:rsid w:val="007061C1"/>
    <w:rsid w:val="00722856"/>
    <w:rsid w:val="00722DAF"/>
    <w:rsid w:val="00723F71"/>
    <w:rsid w:val="00724587"/>
    <w:rsid w:val="00724C4E"/>
    <w:rsid w:val="00727356"/>
    <w:rsid w:val="00731841"/>
    <w:rsid w:val="00732F82"/>
    <w:rsid w:val="00733BB2"/>
    <w:rsid w:val="0073514C"/>
    <w:rsid w:val="00736C20"/>
    <w:rsid w:val="00740FC9"/>
    <w:rsid w:val="00741676"/>
    <w:rsid w:val="00743825"/>
    <w:rsid w:val="00744A9F"/>
    <w:rsid w:val="00745C42"/>
    <w:rsid w:val="007461A4"/>
    <w:rsid w:val="00747BFB"/>
    <w:rsid w:val="00750061"/>
    <w:rsid w:val="007527E7"/>
    <w:rsid w:val="0075660E"/>
    <w:rsid w:val="00761377"/>
    <w:rsid w:val="00762816"/>
    <w:rsid w:val="00763E37"/>
    <w:rsid w:val="00763F31"/>
    <w:rsid w:val="00764F52"/>
    <w:rsid w:val="00765221"/>
    <w:rsid w:val="007659BA"/>
    <w:rsid w:val="007669BB"/>
    <w:rsid w:val="00766BE9"/>
    <w:rsid w:val="00766C58"/>
    <w:rsid w:val="00766DBD"/>
    <w:rsid w:val="00782E16"/>
    <w:rsid w:val="0078752C"/>
    <w:rsid w:val="007876FD"/>
    <w:rsid w:val="0079236A"/>
    <w:rsid w:val="0079249B"/>
    <w:rsid w:val="00792B4C"/>
    <w:rsid w:val="00793F90"/>
    <w:rsid w:val="00796065"/>
    <w:rsid w:val="007A2784"/>
    <w:rsid w:val="007A4216"/>
    <w:rsid w:val="007A4A32"/>
    <w:rsid w:val="007A4CBA"/>
    <w:rsid w:val="007A6C6B"/>
    <w:rsid w:val="007A7164"/>
    <w:rsid w:val="007C200A"/>
    <w:rsid w:val="007C37DD"/>
    <w:rsid w:val="007D13A4"/>
    <w:rsid w:val="007D1F93"/>
    <w:rsid w:val="007D2AE4"/>
    <w:rsid w:val="007D394A"/>
    <w:rsid w:val="007D3AFC"/>
    <w:rsid w:val="007D3D4F"/>
    <w:rsid w:val="007D409E"/>
    <w:rsid w:val="007D4FDA"/>
    <w:rsid w:val="007D5669"/>
    <w:rsid w:val="007D6609"/>
    <w:rsid w:val="007D6A15"/>
    <w:rsid w:val="007D7487"/>
    <w:rsid w:val="007E0F6F"/>
    <w:rsid w:val="007E1941"/>
    <w:rsid w:val="007E5C21"/>
    <w:rsid w:val="007E7BE5"/>
    <w:rsid w:val="007E7CF1"/>
    <w:rsid w:val="007F0718"/>
    <w:rsid w:val="007F078A"/>
    <w:rsid w:val="007F08D6"/>
    <w:rsid w:val="007F265F"/>
    <w:rsid w:val="007F29CE"/>
    <w:rsid w:val="007F2AFC"/>
    <w:rsid w:val="007F2B33"/>
    <w:rsid w:val="007F2EE7"/>
    <w:rsid w:val="007F4F3F"/>
    <w:rsid w:val="007F5F43"/>
    <w:rsid w:val="007F6BB7"/>
    <w:rsid w:val="00804F68"/>
    <w:rsid w:val="00805A17"/>
    <w:rsid w:val="00807505"/>
    <w:rsid w:val="00807FA5"/>
    <w:rsid w:val="00812E0E"/>
    <w:rsid w:val="00813408"/>
    <w:rsid w:val="008228B9"/>
    <w:rsid w:val="00824828"/>
    <w:rsid w:val="00824AC5"/>
    <w:rsid w:val="008317C3"/>
    <w:rsid w:val="008333AB"/>
    <w:rsid w:val="00842802"/>
    <w:rsid w:val="00845C90"/>
    <w:rsid w:val="0084602D"/>
    <w:rsid w:val="008470A9"/>
    <w:rsid w:val="00847C32"/>
    <w:rsid w:val="008518F7"/>
    <w:rsid w:val="00854E6D"/>
    <w:rsid w:val="00855519"/>
    <w:rsid w:val="00861B70"/>
    <w:rsid w:val="00862560"/>
    <w:rsid w:val="00864082"/>
    <w:rsid w:val="00865EF6"/>
    <w:rsid w:val="008663DF"/>
    <w:rsid w:val="0086672B"/>
    <w:rsid w:val="0086699A"/>
    <w:rsid w:val="008676F7"/>
    <w:rsid w:val="008712A3"/>
    <w:rsid w:val="00871A55"/>
    <w:rsid w:val="00872882"/>
    <w:rsid w:val="00876B1C"/>
    <w:rsid w:val="00876BDE"/>
    <w:rsid w:val="00877260"/>
    <w:rsid w:val="0087730C"/>
    <w:rsid w:val="0088148E"/>
    <w:rsid w:val="00883341"/>
    <w:rsid w:val="00883AEB"/>
    <w:rsid w:val="0088562E"/>
    <w:rsid w:val="0088637D"/>
    <w:rsid w:val="0088663F"/>
    <w:rsid w:val="0089144A"/>
    <w:rsid w:val="0089291B"/>
    <w:rsid w:val="0089731A"/>
    <w:rsid w:val="008A15DF"/>
    <w:rsid w:val="008A1C5A"/>
    <w:rsid w:val="008A22E0"/>
    <w:rsid w:val="008A2ECD"/>
    <w:rsid w:val="008A5ECC"/>
    <w:rsid w:val="008A6412"/>
    <w:rsid w:val="008A6AEF"/>
    <w:rsid w:val="008A7FF8"/>
    <w:rsid w:val="008B0C6D"/>
    <w:rsid w:val="008B1A19"/>
    <w:rsid w:val="008B4B6D"/>
    <w:rsid w:val="008B531A"/>
    <w:rsid w:val="008B5E5F"/>
    <w:rsid w:val="008C3E2E"/>
    <w:rsid w:val="008C435E"/>
    <w:rsid w:val="008C4A77"/>
    <w:rsid w:val="008C5372"/>
    <w:rsid w:val="008C6F75"/>
    <w:rsid w:val="008D075F"/>
    <w:rsid w:val="008D0D50"/>
    <w:rsid w:val="008D1CFF"/>
    <w:rsid w:val="008D480A"/>
    <w:rsid w:val="008E19DA"/>
    <w:rsid w:val="008E2D3B"/>
    <w:rsid w:val="008E5A25"/>
    <w:rsid w:val="008F1893"/>
    <w:rsid w:val="008F722B"/>
    <w:rsid w:val="008F7AB4"/>
    <w:rsid w:val="008F7BCF"/>
    <w:rsid w:val="0090009F"/>
    <w:rsid w:val="00901172"/>
    <w:rsid w:val="009024E0"/>
    <w:rsid w:val="009074EF"/>
    <w:rsid w:val="009141DF"/>
    <w:rsid w:val="00914675"/>
    <w:rsid w:val="009152FE"/>
    <w:rsid w:val="00924DDB"/>
    <w:rsid w:val="00930E9B"/>
    <w:rsid w:val="00932960"/>
    <w:rsid w:val="0093404F"/>
    <w:rsid w:val="009409F6"/>
    <w:rsid w:val="00941939"/>
    <w:rsid w:val="00942491"/>
    <w:rsid w:val="00942E16"/>
    <w:rsid w:val="00943480"/>
    <w:rsid w:val="009438D9"/>
    <w:rsid w:val="00945C18"/>
    <w:rsid w:val="009515EA"/>
    <w:rsid w:val="00951AAD"/>
    <w:rsid w:val="009521C2"/>
    <w:rsid w:val="00963166"/>
    <w:rsid w:val="00966505"/>
    <w:rsid w:val="009672D8"/>
    <w:rsid w:val="009705FE"/>
    <w:rsid w:val="00971EF0"/>
    <w:rsid w:val="00971F8D"/>
    <w:rsid w:val="00977902"/>
    <w:rsid w:val="00981606"/>
    <w:rsid w:val="00981814"/>
    <w:rsid w:val="00983500"/>
    <w:rsid w:val="009863E9"/>
    <w:rsid w:val="0099184F"/>
    <w:rsid w:val="00991BF9"/>
    <w:rsid w:val="00993817"/>
    <w:rsid w:val="0099412D"/>
    <w:rsid w:val="009942E5"/>
    <w:rsid w:val="00994A86"/>
    <w:rsid w:val="00995F4A"/>
    <w:rsid w:val="009A78DF"/>
    <w:rsid w:val="009B7BB0"/>
    <w:rsid w:val="009C2EE1"/>
    <w:rsid w:val="009C7E4A"/>
    <w:rsid w:val="009D2DF7"/>
    <w:rsid w:val="009D5E5A"/>
    <w:rsid w:val="009D621A"/>
    <w:rsid w:val="009D7C01"/>
    <w:rsid w:val="009E012B"/>
    <w:rsid w:val="009E4CFE"/>
    <w:rsid w:val="00A01CBE"/>
    <w:rsid w:val="00A03484"/>
    <w:rsid w:val="00A044A8"/>
    <w:rsid w:val="00A10335"/>
    <w:rsid w:val="00A11D6B"/>
    <w:rsid w:val="00A12125"/>
    <w:rsid w:val="00A15462"/>
    <w:rsid w:val="00A17C62"/>
    <w:rsid w:val="00A24ADC"/>
    <w:rsid w:val="00A311C2"/>
    <w:rsid w:val="00A31297"/>
    <w:rsid w:val="00A33178"/>
    <w:rsid w:val="00A33366"/>
    <w:rsid w:val="00A35376"/>
    <w:rsid w:val="00A36AB2"/>
    <w:rsid w:val="00A45084"/>
    <w:rsid w:val="00A45208"/>
    <w:rsid w:val="00A46DA6"/>
    <w:rsid w:val="00A47566"/>
    <w:rsid w:val="00A50F4D"/>
    <w:rsid w:val="00A52C98"/>
    <w:rsid w:val="00A52E96"/>
    <w:rsid w:val="00A53ED0"/>
    <w:rsid w:val="00A5740D"/>
    <w:rsid w:val="00A62DD4"/>
    <w:rsid w:val="00A63480"/>
    <w:rsid w:val="00A6508F"/>
    <w:rsid w:val="00A70373"/>
    <w:rsid w:val="00A7044D"/>
    <w:rsid w:val="00A7070F"/>
    <w:rsid w:val="00A74EB5"/>
    <w:rsid w:val="00A75069"/>
    <w:rsid w:val="00A76753"/>
    <w:rsid w:val="00A81174"/>
    <w:rsid w:val="00A81FAD"/>
    <w:rsid w:val="00A83D02"/>
    <w:rsid w:val="00A911DF"/>
    <w:rsid w:val="00A915B3"/>
    <w:rsid w:val="00A922DD"/>
    <w:rsid w:val="00A94252"/>
    <w:rsid w:val="00A94C4E"/>
    <w:rsid w:val="00A95566"/>
    <w:rsid w:val="00A97430"/>
    <w:rsid w:val="00AA73A2"/>
    <w:rsid w:val="00AA7B27"/>
    <w:rsid w:val="00AB0A41"/>
    <w:rsid w:val="00AB2031"/>
    <w:rsid w:val="00AB317F"/>
    <w:rsid w:val="00AB62BB"/>
    <w:rsid w:val="00AB6447"/>
    <w:rsid w:val="00AC5887"/>
    <w:rsid w:val="00AC68A3"/>
    <w:rsid w:val="00AD1AD3"/>
    <w:rsid w:val="00AD1E17"/>
    <w:rsid w:val="00AD4F7A"/>
    <w:rsid w:val="00AD59C6"/>
    <w:rsid w:val="00AD6570"/>
    <w:rsid w:val="00AE0BF8"/>
    <w:rsid w:val="00AE119C"/>
    <w:rsid w:val="00AE18A3"/>
    <w:rsid w:val="00AE1D21"/>
    <w:rsid w:val="00AE2251"/>
    <w:rsid w:val="00AE5201"/>
    <w:rsid w:val="00B049F0"/>
    <w:rsid w:val="00B05B4A"/>
    <w:rsid w:val="00B0737E"/>
    <w:rsid w:val="00B1059A"/>
    <w:rsid w:val="00B15872"/>
    <w:rsid w:val="00B1599E"/>
    <w:rsid w:val="00B15DB4"/>
    <w:rsid w:val="00B20C8D"/>
    <w:rsid w:val="00B20CF2"/>
    <w:rsid w:val="00B21D6F"/>
    <w:rsid w:val="00B23C0B"/>
    <w:rsid w:val="00B25D0E"/>
    <w:rsid w:val="00B2689E"/>
    <w:rsid w:val="00B278AB"/>
    <w:rsid w:val="00B31203"/>
    <w:rsid w:val="00B3147B"/>
    <w:rsid w:val="00B31534"/>
    <w:rsid w:val="00B31CEA"/>
    <w:rsid w:val="00B340F0"/>
    <w:rsid w:val="00B3565A"/>
    <w:rsid w:val="00B3582B"/>
    <w:rsid w:val="00B40679"/>
    <w:rsid w:val="00B4119A"/>
    <w:rsid w:val="00B43A62"/>
    <w:rsid w:val="00B46203"/>
    <w:rsid w:val="00B52250"/>
    <w:rsid w:val="00B525BD"/>
    <w:rsid w:val="00B6010A"/>
    <w:rsid w:val="00B64016"/>
    <w:rsid w:val="00B64D67"/>
    <w:rsid w:val="00B65504"/>
    <w:rsid w:val="00B65CF7"/>
    <w:rsid w:val="00B67BE4"/>
    <w:rsid w:val="00B73026"/>
    <w:rsid w:val="00B76912"/>
    <w:rsid w:val="00B808DD"/>
    <w:rsid w:val="00B840A2"/>
    <w:rsid w:val="00B9017A"/>
    <w:rsid w:val="00B91A6A"/>
    <w:rsid w:val="00B92D19"/>
    <w:rsid w:val="00B944C6"/>
    <w:rsid w:val="00B96226"/>
    <w:rsid w:val="00BA1EF2"/>
    <w:rsid w:val="00BA3FC9"/>
    <w:rsid w:val="00BA708B"/>
    <w:rsid w:val="00BB5D84"/>
    <w:rsid w:val="00BC6208"/>
    <w:rsid w:val="00BC67D9"/>
    <w:rsid w:val="00BD3F67"/>
    <w:rsid w:val="00BD46F2"/>
    <w:rsid w:val="00BD4706"/>
    <w:rsid w:val="00BD4E1B"/>
    <w:rsid w:val="00BD5215"/>
    <w:rsid w:val="00BD6F4C"/>
    <w:rsid w:val="00BE0257"/>
    <w:rsid w:val="00BE19AC"/>
    <w:rsid w:val="00BE4247"/>
    <w:rsid w:val="00BF00D8"/>
    <w:rsid w:val="00BF2E28"/>
    <w:rsid w:val="00BF4006"/>
    <w:rsid w:val="00BF4DA0"/>
    <w:rsid w:val="00BF582C"/>
    <w:rsid w:val="00BF67D7"/>
    <w:rsid w:val="00C005AF"/>
    <w:rsid w:val="00C01A0F"/>
    <w:rsid w:val="00C02EE1"/>
    <w:rsid w:val="00C12842"/>
    <w:rsid w:val="00C12AAA"/>
    <w:rsid w:val="00C148F7"/>
    <w:rsid w:val="00C158B9"/>
    <w:rsid w:val="00C160EA"/>
    <w:rsid w:val="00C16CB1"/>
    <w:rsid w:val="00C20E61"/>
    <w:rsid w:val="00C23F31"/>
    <w:rsid w:val="00C23FAA"/>
    <w:rsid w:val="00C273A9"/>
    <w:rsid w:val="00C3084B"/>
    <w:rsid w:val="00C32179"/>
    <w:rsid w:val="00C33D8C"/>
    <w:rsid w:val="00C3646B"/>
    <w:rsid w:val="00C365AA"/>
    <w:rsid w:val="00C40ACA"/>
    <w:rsid w:val="00C422AE"/>
    <w:rsid w:val="00C42C72"/>
    <w:rsid w:val="00C45685"/>
    <w:rsid w:val="00C46B06"/>
    <w:rsid w:val="00C50959"/>
    <w:rsid w:val="00C52244"/>
    <w:rsid w:val="00C5362D"/>
    <w:rsid w:val="00C61569"/>
    <w:rsid w:val="00C61D69"/>
    <w:rsid w:val="00C627F2"/>
    <w:rsid w:val="00C628CB"/>
    <w:rsid w:val="00C633A5"/>
    <w:rsid w:val="00C63FCC"/>
    <w:rsid w:val="00C65168"/>
    <w:rsid w:val="00C65CB1"/>
    <w:rsid w:val="00C65DBC"/>
    <w:rsid w:val="00C65F6C"/>
    <w:rsid w:val="00C66647"/>
    <w:rsid w:val="00C718EB"/>
    <w:rsid w:val="00C720A7"/>
    <w:rsid w:val="00C729BC"/>
    <w:rsid w:val="00C74828"/>
    <w:rsid w:val="00C74A63"/>
    <w:rsid w:val="00C8063F"/>
    <w:rsid w:val="00C82189"/>
    <w:rsid w:val="00C82C3C"/>
    <w:rsid w:val="00C82EA4"/>
    <w:rsid w:val="00C84452"/>
    <w:rsid w:val="00C84654"/>
    <w:rsid w:val="00C8468B"/>
    <w:rsid w:val="00C900FE"/>
    <w:rsid w:val="00C921BC"/>
    <w:rsid w:val="00C925A2"/>
    <w:rsid w:val="00C93603"/>
    <w:rsid w:val="00C952EE"/>
    <w:rsid w:val="00C9550B"/>
    <w:rsid w:val="00CA228C"/>
    <w:rsid w:val="00CA24DC"/>
    <w:rsid w:val="00CA2C2C"/>
    <w:rsid w:val="00CA5793"/>
    <w:rsid w:val="00CA5CD2"/>
    <w:rsid w:val="00CB1DFA"/>
    <w:rsid w:val="00CB37FE"/>
    <w:rsid w:val="00CB481B"/>
    <w:rsid w:val="00CB60F5"/>
    <w:rsid w:val="00CC1F4B"/>
    <w:rsid w:val="00CC234A"/>
    <w:rsid w:val="00CC25E8"/>
    <w:rsid w:val="00CC3E8E"/>
    <w:rsid w:val="00CC4C52"/>
    <w:rsid w:val="00CC4C9F"/>
    <w:rsid w:val="00CC5ECC"/>
    <w:rsid w:val="00CC6205"/>
    <w:rsid w:val="00CD07C4"/>
    <w:rsid w:val="00CD0B46"/>
    <w:rsid w:val="00CD3CCE"/>
    <w:rsid w:val="00CE012D"/>
    <w:rsid w:val="00CE0132"/>
    <w:rsid w:val="00CE1157"/>
    <w:rsid w:val="00CE11F4"/>
    <w:rsid w:val="00CE2D59"/>
    <w:rsid w:val="00CE50DC"/>
    <w:rsid w:val="00CE79DC"/>
    <w:rsid w:val="00CE7B2C"/>
    <w:rsid w:val="00CF2A13"/>
    <w:rsid w:val="00CF373C"/>
    <w:rsid w:val="00CF49F4"/>
    <w:rsid w:val="00CF4EF4"/>
    <w:rsid w:val="00CF6384"/>
    <w:rsid w:val="00D02A22"/>
    <w:rsid w:val="00D05F26"/>
    <w:rsid w:val="00D14AB0"/>
    <w:rsid w:val="00D151D8"/>
    <w:rsid w:val="00D15343"/>
    <w:rsid w:val="00D21159"/>
    <w:rsid w:val="00D219B1"/>
    <w:rsid w:val="00D24BFB"/>
    <w:rsid w:val="00D2693E"/>
    <w:rsid w:val="00D26E15"/>
    <w:rsid w:val="00D26E2F"/>
    <w:rsid w:val="00D30EAE"/>
    <w:rsid w:val="00D331C8"/>
    <w:rsid w:val="00D344FE"/>
    <w:rsid w:val="00D3615A"/>
    <w:rsid w:val="00D419B2"/>
    <w:rsid w:val="00D42742"/>
    <w:rsid w:val="00D437C3"/>
    <w:rsid w:val="00D4430C"/>
    <w:rsid w:val="00D44571"/>
    <w:rsid w:val="00D44A11"/>
    <w:rsid w:val="00D44D9B"/>
    <w:rsid w:val="00D459B7"/>
    <w:rsid w:val="00D56B10"/>
    <w:rsid w:val="00D56FB3"/>
    <w:rsid w:val="00D63D06"/>
    <w:rsid w:val="00D6434A"/>
    <w:rsid w:val="00D711FC"/>
    <w:rsid w:val="00D71615"/>
    <w:rsid w:val="00D7259C"/>
    <w:rsid w:val="00D73609"/>
    <w:rsid w:val="00D8192E"/>
    <w:rsid w:val="00D85A4A"/>
    <w:rsid w:val="00D86895"/>
    <w:rsid w:val="00D90756"/>
    <w:rsid w:val="00D91D02"/>
    <w:rsid w:val="00D9261D"/>
    <w:rsid w:val="00D9727A"/>
    <w:rsid w:val="00D97D84"/>
    <w:rsid w:val="00D97F38"/>
    <w:rsid w:val="00DA4302"/>
    <w:rsid w:val="00DB0A68"/>
    <w:rsid w:val="00DB1399"/>
    <w:rsid w:val="00DB3378"/>
    <w:rsid w:val="00DB7163"/>
    <w:rsid w:val="00DC2123"/>
    <w:rsid w:val="00DC2181"/>
    <w:rsid w:val="00DC3C21"/>
    <w:rsid w:val="00DC5B2A"/>
    <w:rsid w:val="00DC691B"/>
    <w:rsid w:val="00DC77AC"/>
    <w:rsid w:val="00DD0983"/>
    <w:rsid w:val="00DD2ED6"/>
    <w:rsid w:val="00DD4FBA"/>
    <w:rsid w:val="00DD6A43"/>
    <w:rsid w:val="00DE0C70"/>
    <w:rsid w:val="00DE3390"/>
    <w:rsid w:val="00DE5195"/>
    <w:rsid w:val="00DE6763"/>
    <w:rsid w:val="00DF25DE"/>
    <w:rsid w:val="00DF26E9"/>
    <w:rsid w:val="00DF59F7"/>
    <w:rsid w:val="00DF618C"/>
    <w:rsid w:val="00DF6954"/>
    <w:rsid w:val="00DF7896"/>
    <w:rsid w:val="00E016DB"/>
    <w:rsid w:val="00E03BA4"/>
    <w:rsid w:val="00E04524"/>
    <w:rsid w:val="00E05258"/>
    <w:rsid w:val="00E061B0"/>
    <w:rsid w:val="00E06AA0"/>
    <w:rsid w:val="00E10147"/>
    <w:rsid w:val="00E10501"/>
    <w:rsid w:val="00E12152"/>
    <w:rsid w:val="00E1431B"/>
    <w:rsid w:val="00E14992"/>
    <w:rsid w:val="00E15416"/>
    <w:rsid w:val="00E2007C"/>
    <w:rsid w:val="00E2091D"/>
    <w:rsid w:val="00E217AA"/>
    <w:rsid w:val="00E24BB2"/>
    <w:rsid w:val="00E25527"/>
    <w:rsid w:val="00E25CD1"/>
    <w:rsid w:val="00E30A0C"/>
    <w:rsid w:val="00E3335C"/>
    <w:rsid w:val="00E35508"/>
    <w:rsid w:val="00E356D0"/>
    <w:rsid w:val="00E3584B"/>
    <w:rsid w:val="00E3647A"/>
    <w:rsid w:val="00E376E0"/>
    <w:rsid w:val="00E37852"/>
    <w:rsid w:val="00E4203F"/>
    <w:rsid w:val="00E42213"/>
    <w:rsid w:val="00E425A1"/>
    <w:rsid w:val="00E425F8"/>
    <w:rsid w:val="00E46A46"/>
    <w:rsid w:val="00E518FD"/>
    <w:rsid w:val="00E52199"/>
    <w:rsid w:val="00E53251"/>
    <w:rsid w:val="00E53D98"/>
    <w:rsid w:val="00E53FD2"/>
    <w:rsid w:val="00E54910"/>
    <w:rsid w:val="00E57E8F"/>
    <w:rsid w:val="00E626CC"/>
    <w:rsid w:val="00E66587"/>
    <w:rsid w:val="00E703DE"/>
    <w:rsid w:val="00E706A0"/>
    <w:rsid w:val="00E76B2E"/>
    <w:rsid w:val="00E773B0"/>
    <w:rsid w:val="00E82488"/>
    <w:rsid w:val="00E83135"/>
    <w:rsid w:val="00E83988"/>
    <w:rsid w:val="00E84EFE"/>
    <w:rsid w:val="00E9185C"/>
    <w:rsid w:val="00E91E44"/>
    <w:rsid w:val="00E926BC"/>
    <w:rsid w:val="00E9365C"/>
    <w:rsid w:val="00EB07B1"/>
    <w:rsid w:val="00EB2DF5"/>
    <w:rsid w:val="00EB32C7"/>
    <w:rsid w:val="00EB3431"/>
    <w:rsid w:val="00EB38DE"/>
    <w:rsid w:val="00EB5776"/>
    <w:rsid w:val="00EB7F8E"/>
    <w:rsid w:val="00EC2E19"/>
    <w:rsid w:val="00EC7F1A"/>
    <w:rsid w:val="00EC7FBD"/>
    <w:rsid w:val="00ED1BF6"/>
    <w:rsid w:val="00ED257E"/>
    <w:rsid w:val="00ED2D47"/>
    <w:rsid w:val="00ED41BD"/>
    <w:rsid w:val="00ED4626"/>
    <w:rsid w:val="00ED5D78"/>
    <w:rsid w:val="00EE00F4"/>
    <w:rsid w:val="00EE1140"/>
    <w:rsid w:val="00EE3926"/>
    <w:rsid w:val="00EF0017"/>
    <w:rsid w:val="00EF048E"/>
    <w:rsid w:val="00EF0795"/>
    <w:rsid w:val="00EF190F"/>
    <w:rsid w:val="00EF19B4"/>
    <w:rsid w:val="00EF33C0"/>
    <w:rsid w:val="00EF3D99"/>
    <w:rsid w:val="00EF4C18"/>
    <w:rsid w:val="00EF5366"/>
    <w:rsid w:val="00EF53AE"/>
    <w:rsid w:val="00EF5DF2"/>
    <w:rsid w:val="00EF5F35"/>
    <w:rsid w:val="00EF6F57"/>
    <w:rsid w:val="00EF7CF5"/>
    <w:rsid w:val="00F01FEB"/>
    <w:rsid w:val="00F056F4"/>
    <w:rsid w:val="00F05AB4"/>
    <w:rsid w:val="00F07347"/>
    <w:rsid w:val="00F10E0F"/>
    <w:rsid w:val="00F14DF3"/>
    <w:rsid w:val="00F204B5"/>
    <w:rsid w:val="00F23A32"/>
    <w:rsid w:val="00F26CBC"/>
    <w:rsid w:val="00F27FC4"/>
    <w:rsid w:val="00F3572C"/>
    <w:rsid w:val="00F371AF"/>
    <w:rsid w:val="00F40892"/>
    <w:rsid w:val="00F4261B"/>
    <w:rsid w:val="00F43789"/>
    <w:rsid w:val="00F44EC4"/>
    <w:rsid w:val="00F45272"/>
    <w:rsid w:val="00F45341"/>
    <w:rsid w:val="00F45D62"/>
    <w:rsid w:val="00F56F14"/>
    <w:rsid w:val="00F62790"/>
    <w:rsid w:val="00F62BB8"/>
    <w:rsid w:val="00F6312C"/>
    <w:rsid w:val="00F6342F"/>
    <w:rsid w:val="00F65F81"/>
    <w:rsid w:val="00F66FD0"/>
    <w:rsid w:val="00F67465"/>
    <w:rsid w:val="00F67DA1"/>
    <w:rsid w:val="00F7216E"/>
    <w:rsid w:val="00F74353"/>
    <w:rsid w:val="00F75850"/>
    <w:rsid w:val="00F81001"/>
    <w:rsid w:val="00F8434F"/>
    <w:rsid w:val="00F862F8"/>
    <w:rsid w:val="00F86C66"/>
    <w:rsid w:val="00F9038C"/>
    <w:rsid w:val="00F92044"/>
    <w:rsid w:val="00F92FAD"/>
    <w:rsid w:val="00F949F0"/>
    <w:rsid w:val="00FA0738"/>
    <w:rsid w:val="00FA2E64"/>
    <w:rsid w:val="00FA300B"/>
    <w:rsid w:val="00FA4293"/>
    <w:rsid w:val="00FA71A7"/>
    <w:rsid w:val="00FA7242"/>
    <w:rsid w:val="00FB1F91"/>
    <w:rsid w:val="00FB29A7"/>
    <w:rsid w:val="00FB30C0"/>
    <w:rsid w:val="00FB4E2F"/>
    <w:rsid w:val="00FB5B17"/>
    <w:rsid w:val="00FB5CEF"/>
    <w:rsid w:val="00FB75CE"/>
    <w:rsid w:val="00FD2746"/>
    <w:rsid w:val="00FE1B3A"/>
    <w:rsid w:val="00FE3859"/>
    <w:rsid w:val="00FE48E5"/>
    <w:rsid w:val="00FE684C"/>
    <w:rsid w:val="00FE719E"/>
    <w:rsid w:val="00FF020B"/>
    <w:rsid w:val="00FF323F"/>
    <w:rsid w:val="00FF543C"/>
    <w:rsid w:val="00FF7B14"/>
    <w:rsid w:val="04DC79F1"/>
    <w:rsid w:val="06897FE8"/>
    <w:rsid w:val="096E34AD"/>
    <w:rsid w:val="0C362140"/>
    <w:rsid w:val="0E336C6D"/>
    <w:rsid w:val="14B37571"/>
    <w:rsid w:val="18B905CD"/>
    <w:rsid w:val="21867F37"/>
    <w:rsid w:val="23E40BE2"/>
    <w:rsid w:val="27CF0291"/>
    <w:rsid w:val="2A2C0D9F"/>
    <w:rsid w:val="2A325F46"/>
    <w:rsid w:val="2AF00C6F"/>
    <w:rsid w:val="30A90339"/>
    <w:rsid w:val="35201C3A"/>
    <w:rsid w:val="386A5119"/>
    <w:rsid w:val="3F8B57F7"/>
    <w:rsid w:val="43605C9C"/>
    <w:rsid w:val="48BD39BF"/>
    <w:rsid w:val="49807FEB"/>
    <w:rsid w:val="4B6A64E1"/>
    <w:rsid w:val="4F370DB6"/>
    <w:rsid w:val="515415F9"/>
    <w:rsid w:val="531F7526"/>
    <w:rsid w:val="53C73D82"/>
    <w:rsid w:val="56E101E0"/>
    <w:rsid w:val="58EA2BA7"/>
    <w:rsid w:val="5B590B23"/>
    <w:rsid w:val="5D5A6113"/>
    <w:rsid w:val="5DED4E0E"/>
    <w:rsid w:val="5EC63237"/>
    <w:rsid w:val="5FB15C3A"/>
    <w:rsid w:val="604A4152"/>
    <w:rsid w:val="61B362BB"/>
    <w:rsid w:val="68F043A2"/>
    <w:rsid w:val="6E8D55CB"/>
    <w:rsid w:val="705444D3"/>
    <w:rsid w:val="72E665CC"/>
    <w:rsid w:val="74782A12"/>
    <w:rsid w:val="77FB3AAF"/>
    <w:rsid w:val="7DD121A9"/>
    <w:rsid w:val="7FE35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41"/>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42"/>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43"/>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44"/>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7">
    <w:name w:val="heading 6"/>
    <w:basedOn w:val="1"/>
    <w:next w:val="1"/>
    <w:link w:val="11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unhideWhenUsed/>
    <w:qFormat/>
    <w:uiPriority w:val="39"/>
    <w:pPr>
      <w:ind w:left="1260"/>
      <w:jc w:val="left"/>
    </w:pPr>
    <w:rPr>
      <w:sz w:val="20"/>
      <w:szCs w:val="20"/>
    </w:rPr>
  </w:style>
  <w:style w:type="paragraph" w:styleId="9">
    <w:name w:val="Normal Indent"/>
    <w:basedOn w:val="1"/>
    <w:link w:val="123"/>
    <w:qFormat/>
    <w:uiPriority w:val="0"/>
    <w:pPr>
      <w:ind w:firstLine="420"/>
    </w:pPr>
    <w:rPr>
      <w:rFonts w:ascii="Times New Roman" w:hAnsi="Times New Roman" w:eastAsia="宋体" w:cs="Times New Roman"/>
      <w:szCs w:val="20"/>
    </w:rPr>
  </w:style>
  <w:style w:type="paragraph" w:styleId="10">
    <w:name w:val="Document Map"/>
    <w:basedOn w:val="1"/>
    <w:link w:val="105"/>
    <w:semiHidden/>
    <w:qFormat/>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112"/>
    <w:semiHidden/>
    <w:unhideWhenUsed/>
    <w:qFormat/>
    <w:uiPriority w:val="99"/>
    <w:pPr>
      <w:jc w:val="left"/>
    </w:pPr>
  </w:style>
  <w:style w:type="paragraph" w:styleId="12">
    <w:name w:val="Body Text"/>
    <w:basedOn w:val="1"/>
    <w:link w:val="49"/>
    <w:qFormat/>
    <w:uiPriority w:val="99"/>
    <w:rPr>
      <w:rFonts w:ascii="华文中宋" w:hAnsi="Times New Roman" w:eastAsia="华文中宋" w:cs="Times New Roman"/>
      <w:bCs/>
      <w:kern w:val="0"/>
      <w:sz w:val="28"/>
      <w:szCs w:val="20"/>
    </w:rPr>
  </w:style>
  <w:style w:type="paragraph" w:styleId="13">
    <w:name w:val="Body Text Indent"/>
    <w:basedOn w:val="1"/>
    <w:link w:val="46"/>
    <w:qFormat/>
    <w:uiPriority w:val="99"/>
    <w:pPr>
      <w:ind w:firstLine="576"/>
    </w:pPr>
    <w:rPr>
      <w:rFonts w:ascii="Times New Roman" w:hAnsi="Times New Roman" w:eastAsia="宋体" w:cs="Times New Roman"/>
      <w:b/>
      <w:kern w:val="0"/>
      <w:sz w:val="30"/>
      <w:szCs w:val="20"/>
    </w:rPr>
  </w:style>
  <w:style w:type="paragraph" w:styleId="14">
    <w:name w:val="toc 5"/>
    <w:basedOn w:val="1"/>
    <w:next w:val="1"/>
    <w:semiHidden/>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toc 8"/>
    <w:basedOn w:val="1"/>
    <w:next w:val="1"/>
    <w:semiHidden/>
    <w:unhideWhenUsed/>
    <w:qFormat/>
    <w:uiPriority w:val="39"/>
    <w:pPr>
      <w:ind w:left="1470"/>
      <w:jc w:val="left"/>
    </w:pPr>
    <w:rPr>
      <w:sz w:val="20"/>
      <w:szCs w:val="20"/>
    </w:rPr>
  </w:style>
  <w:style w:type="paragraph" w:styleId="17">
    <w:name w:val="Date"/>
    <w:basedOn w:val="1"/>
    <w:next w:val="1"/>
    <w:link w:val="45"/>
    <w:qFormat/>
    <w:uiPriority w:val="0"/>
    <w:rPr>
      <w:rFonts w:ascii="Times New Roman" w:hAnsi="Times New Roman" w:eastAsia="黑体" w:cs="Times New Roman"/>
      <w:b/>
      <w:kern w:val="0"/>
      <w:sz w:val="36"/>
      <w:szCs w:val="20"/>
    </w:rPr>
  </w:style>
  <w:style w:type="paragraph" w:styleId="18">
    <w:name w:val="Body Text Indent 2"/>
    <w:basedOn w:val="1"/>
    <w:link w:val="50"/>
    <w:qFormat/>
    <w:uiPriority w:val="99"/>
    <w:pPr>
      <w:ind w:left="900"/>
    </w:pPr>
    <w:rPr>
      <w:rFonts w:ascii="楷体_GB2312" w:hAnsi="Times New Roman" w:eastAsia="楷体_GB2312" w:cs="Times New Roman"/>
      <w:b/>
      <w:kern w:val="0"/>
      <w:sz w:val="28"/>
      <w:szCs w:val="20"/>
    </w:rPr>
  </w:style>
  <w:style w:type="paragraph" w:styleId="19">
    <w:name w:val="Balloon Text"/>
    <w:basedOn w:val="1"/>
    <w:link w:val="111"/>
    <w:semiHidden/>
    <w:unhideWhenUsed/>
    <w:qFormat/>
    <w:uiPriority w:val="99"/>
    <w:rPr>
      <w:rFonts w:ascii="Times New Roman" w:hAnsi="Times New Roman" w:eastAsia="宋体" w:cs="Times New Roman"/>
      <w:sz w:val="18"/>
      <w:szCs w:val="18"/>
    </w:rPr>
  </w:style>
  <w:style w:type="paragraph" w:styleId="20">
    <w:name w:val="footer"/>
    <w:basedOn w:val="1"/>
    <w:link w:val="4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pPr>
      <w:tabs>
        <w:tab w:val="right" w:leader="dot" w:pos="9911"/>
      </w:tabs>
      <w:jc w:val="left"/>
    </w:pPr>
    <w:rPr>
      <w:rFonts w:eastAsia="黑体"/>
      <w:sz w:val="28"/>
      <w:szCs w:val="28"/>
    </w:rPr>
  </w:style>
  <w:style w:type="paragraph" w:styleId="23">
    <w:name w:val="toc 4"/>
    <w:basedOn w:val="1"/>
    <w:next w:val="1"/>
    <w:semiHidden/>
    <w:unhideWhenUsed/>
    <w:qFormat/>
    <w:uiPriority w:val="39"/>
    <w:pPr>
      <w:ind w:left="630"/>
      <w:jc w:val="left"/>
    </w:pPr>
    <w:rPr>
      <w:sz w:val="20"/>
      <w:szCs w:val="20"/>
    </w:rPr>
  </w:style>
  <w:style w:type="paragraph" w:styleId="24">
    <w:name w:val="toc 6"/>
    <w:basedOn w:val="1"/>
    <w:next w:val="1"/>
    <w:semiHidden/>
    <w:unhideWhenUsed/>
    <w:qFormat/>
    <w:uiPriority w:val="39"/>
    <w:pPr>
      <w:ind w:left="1050"/>
      <w:jc w:val="left"/>
    </w:pPr>
    <w:rPr>
      <w:sz w:val="20"/>
      <w:szCs w:val="20"/>
    </w:rPr>
  </w:style>
  <w:style w:type="paragraph" w:styleId="25">
    <w:name w:val="Body Text Indent 3"/>
    <w:basedOn w:val="1"/>
    <w:link w:val="51"/>
    <w:qFormat/>
    <w:uiPriority w:val="99"/>
    <w:pPr>
      <w:ind w:left="359" w:leftChars="171" w:firstLine="359" w:firstLineChars="171"/>
    </w:pPr>
    <w:rPr>
      <w:rFonts w:ascii="Times New Roman" w:hAnsi="Times New Roman" w:eastAsia="宋体" w:cs="Times New Roman"/>
      <w:kern w:val="0"/>
      <w:sz w:val="20"/>
      <w:szCs w:val="20"/>
    </w:rPr>
  </w:style>
  <w:style w:type="paragraph" w:styleId="26">
    <w:name w:val="toc 2"/>
    <w:basedOn w:val="1"/>
    <w:next w:val="1"/>
    <w:unhideWhenUsed/>
    <w:qFormat/>
    <w:uiPriority w:val="39"/>
    <w:pPr>
      <w:spacing w:before="120"/>
      <w:ind w:left="210"/>
      <w:jc w:val="left"/>
    </w:pPr>
    <w:rPr>
      <w:i/>
      <w:iCs/>
      <w:sz w:val="20"/>
      <w:szCs w:val="20"/>
    </w:rPr>
  </w:style>
  <w:style w:type="paragraph" w:styleId="27">
    <w:name w:val="toc 9"/>
    <w:basedOn w:val="1"/>
    <w:next w:val="1"/>
    <w:semiHidden/>
    <w:unhideWhenUsed/>
    <w:qFormat/>
    <w:uiPriority w:val="39"/>
    <w:pPr>
      <w:ind w:left="1680"/>
      <w:jc w:val="left"/>
    </w:pPr>
    <w:rPr>
      <w:sz w:val="20"/>
      <w:szCs w:val="20"/>
    </w:rPr>
  </w:style>
  <w:style w:type="paragraph" w:styleId="28">
    <w:name w:val="Body Text 2"/>
    <w:basedOn w:val="1"/>
    <w:link w:val="106"/>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1"/>
    <w:next w:val="11"/>
    <w:link w:val="113"/>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99"/>
    <w:rPr>
      <w:rFonts w:cs="Times New Roman"/>
      <w:b/>
      <w:bCs/>
    </w:rPr>
  </w:style>
  <w:style w:type="character" w:styleId="35">
    <w:name w:val="page number"/>
    <w:qFormat/>
    <w:uiPriority w:val="99"/>
    <w:rPr>
      <w:rFonts w:cs="Times New Roman"/>
    </w:rPr>
  </w:style>
  <w:style w:type="character" w:styleId="36">
    <w:name w:val="FollowedHyperlink"/>
    <w:semiHidden/>
    <w:unhideWhenUsed/>
    <w:qFormat/>
    <w:uiPriority w:val="99"/>
    <w:rPr>
      <w:color w:val="800080"/>
      <w:u w:val="single"/>
    </w:rPr>
  </w:style>
  <w:style w:type="character" w:styleId="37">
    <w:name w:val="HTML Typewriter"/>
    <w:qFormat/>
    <w:uiPriority w:val="99"/>
    <w:rPr>
      <w:rFonts w:ascii="宋体" w:hAnsi="宋体" w:eastAsia="宋体" w:cs="宋体"/>
      <w:sz w:val="24"/>
      <w:szCs w:val="24"/>
    </w:rPr>
  </w:style>
  <w:style w:type="character" w:styleId="38">
    <w:name w:val="Hyperlink"/>
    <w:qFormat/>
    <w:uiPriority w:val="99"/>
    <w:rPr>
      <w:rFonts w:cs="Times New Roman"/>
      <w:color w:val="auto"/>
      <w:u w:val="none"/>
    </w:rPr>
  </w:style>
  <w:style w:type="character" w:styleId="39">
    <w:name w:val="annotation reference"/>
    <w:basedOn w:val="33"/>
    <w:semiHidden/>
    <w:unhideWhenUsed/>
    <w:qFormat/>
    <w:uiPriority w:val="99"/>
    <w:rPr>
      <w:sz w:val="21"/>
      <w:szCs w:val="21"/>
    </w:rPr>
  </w:style>
  <w:style w:type="character" w:customStyle="1" w:styleId="40">
    <w:name w:val="标题 1 字符"/>
    <w:basedOn w:val="33"/>
    <w:link w:val="2"/>
    <w:qFormat/>
    <w:uiPriority w:val="99"/>
    <w:rPr>
      <w:rFonts w:ascii="楷体_GB2312" w:hAnsi="Times New Roman" w:eastAsia="楷体_GB2312" w:cs="Times New Roman"/>
      <w:b/>
      <w:kern w:val="0"/>
      <w:sz w:val="28"/>
      <w:szCs w:val="20"/>
    </w:rPr>
  </w:style>
  <w:style w:type="character" w:customStyle="1" w:styleId="41">
    <w:name w:val="标题 2 字符"/>
    <w:basedOn w:val="33"/>
    <w:link w:val="3"/>
    <w:qFormat/>
    <w:uiPriority w:val="99"/>
    <w:rPr>
      <w:rFonts w:ascii="楷体_GB2312" w:hAnsi="Times New Roman" w:eastAsia="楷体_GB2312" w:cs="Times New Roman"/>
      <w:b/>
      <w:bCs/>
      <w:kern w:val="0"/>
      <w:sz w:val="18"/>
      <w:szCs w:val="20"/>
    </w:rPr>
  </w:style>
  <w:style w:type="character" w:customStyle="1" w:styleId="42">
    <w:name w:val="标题 3 字符"/>
    <w:basedOn w:val="33"/>
    <w:link w:val="4"/>
    <w:qFormat/>
    <w:uiPriority w:val="99"/>
    <w:rPr>
      <w:rFonts w:ascii="Times New Roman" w:hAnsi="Times New Roman" w:eastAsia="楷体_GB2312" w:cs="Times New Roman"/>
      <w:b/>
      <w:bCs/>
      <w:kern w:val="0"/>
      <w:sz w:val="15"/>
      <w:szCs w:val="20"/>
    </w:rPr>
  </w:style>
  <w:style w:type="character" w:customStyle="1" w:styleId="43">
    <w:name w:val="标题 4 字符"/>
    <w:basedOn w:val="33"/>
    <w:link w:val="5"/>
    <w:qFormat/>
    <w:uiPriority w:val="99"/>
    <w:rPr>
      <w:rFonts w:ascii="Times New Roman" w:hAnsi="Times New Roman" w:eastAsia="楷体_GB2312" w:cs="Times New Roman"/>
      <w:b/>
      <w:bCs/>
      <w:kern w:val="0"/>
      <w:sz w:val="13"/>
      <w:szCs w:val="20"/>
    </w:rPr>
  </w:style>
  <w:style w:type="character" w:customStyle="1" w:styleId="44">
    <w:name w:val="标题 5 字符"/>
    <w:basedOn w:val="33"/>
    <w:link w:val="6"/>
    <w:qFormat/>
    <w:uiPriority w:val="99"/>
    <w:rPr>
      <w:rFonts w:ascii="楷体_GB2312" w:hAnsi="Times New Roman" w:eastAsia="楷体_GB2312" w:cs="Times New Roman"/>
      <w:bCs/>
      <w:kern w:val="0"/>
      <w:sz w:val="28"/>
      <w:szCs w:val="20"/>
    </w:rPr>
  </w:style>
  <w:style w:type="character" w:customStyle="1" w:styleId="45">
    <w:name w:val="日期 字符"/>
    <w:basedOn w:val="33"/>
    <w:link w:val="17"/>
    <w:qFormat/>
    <w:uiPriority w:val="99"/>
    <w:rPr>
      <w:rFonts w:ascii="Times New Roman" w:hAnsi="Times New Roman" w:eastAsia="黑体" w:cs="Times New Roman"/>
      <w:b/>
      <w:kern w:val="0"/>
      <w:sz w:val="36"/>
      <w:szCs w:val="20"/>
    </w:rPr>
  </w:style>
  <w:style w:type="character" w:customStyle="1" w:styleId="46">
    <w:name w:val="正文文本缩进 字符"/>
    <w:basedOn w:val="33"/>
    <w:link w:val="13"/>
    <w:qFormat/>
    <w:uiPriority w:val="99"/>
    <w:rPr>
      <w:rFonts w:ascii="Times New Roman" w:hAnsi="Times New Roman" w:eastAsia="宋体" w:cs="Times New Roman"/>
      <w:b/>
      <w:kern w:val="0"/>
      <w:sz w:val="30"/>
      <w:szCs w:val="20"/>
    </w:rPr>
  </w:style>
  <w:style w:type="character" w:customStyle="1" w:styleId="47">
    <w:name w:val="页脚 字符"/>
    <w:basedOn w:val="33"/>
    <w:link w:val="20"/>
    <w:qFormat/>
    <w:uiPriority w:val="99"/>
    <w:rPr>
      <w:rFonts w:ascii="Times New Roman" w:hAnsi="Times New Roman" w:eastAsia="宋体" w:cs="Times New Roman"/>
      <w:kern w:val="0"/>
      <w:sz w:val="18"/>
      <w:szCs w:val="20"/>
    </w:rPr>
  </w:style>
  <w:style w:type="character" w:customStyle="1" w:styleId="48">
    <w:name w:val="页眉 字符"/>
    <w:basedOn w:val="33"/>
    <w:link w:val="21"/>
    <w:qFormat/>
    <w:uiPriority w:val="99"/>
    <w:rPr>
      <w:rFonts w:ascii="Times New Roman" w:hAnsi="Times New Roman" w:eastAsia="宋体" w:cs="Times New Roman"/>
      <w:kern w:val="0"/>
      <w:sz w:val="18"/>
      <w:szCs w:val="20"/>
    </w:rPr>
  </w:style>
  <w:style w:type="character" w:customStyle="1" w:styleId="49">
    <w:name w:val="正文文本 字符"/>
    <w:basedOn w:val="33"/>
    <w:link w:val="12"/>
    <w:qFormat/>
    <w:uiPriority w:val="99"/>
    <w:rPr>
      <w:rFonts w:ascii="华文中宋" w:hAnsi="Times New Roman" w:eastAsia="华文中宋" w:cs="Times New Roman"/>
      <w:bCs/>
      <w:kern w:val="0"/>
      <w:sz w:val="28"/>
      <w:szCs w:val="20"/>
    </w:rPr>
  </w:style>
  <w:style w:type="character" w:customStyle="1" w:styleId="50">
    <w:name w:val="正文文本缩进 2 字符"/>
    <w:basedOn w:val="33"/>
    <w:link w:val="18"/>
    <w:qFormat/>
    <w:uiPriority w:val="99"/>
    <w:rPr>
      <w:rFonts w:ascii="楷体_GB2312" w:hAnsi="Times New Roman" w:eastAsia="楷体_GB2312" w:cs="Times New Roman"/>
      <w:b/>
      <w:kern w:val="0"/>
      <w:sz w:val="28"/>
      <w:szCs w:val="20"/>
    </w:rPr>
  </w:style>
  <w:style w:type="character" w:customStyle="1" w:styleId="51">
    <w:name w:val="正文文本缩进 3 字符"/>
    <w:basedOn w:val="33"/>
    <w:link w:val="25"/>
    <w:qFormat/>
    <w:uiPriority w:val="99"/>
    <w:rPr>
      <w:rFonts w:ascii="Times New Roman" w:hAnsi="Times New Roman" w:eastAsia="宋体" w:cs="Times New Roman"/>
      <w:kern w:val="0"/>
      <w:sz w:val="20"/>
      <w:szCs w:val="20"/>
    </w:rPr>
  </w:style>
  <w:style w:type="paragraph" w:customStyle="1" w:styleId="52">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4">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6">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6">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0">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2">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5">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8">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8">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9">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0">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1">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2">
    <w:name w:val="case31"/>
    <w:qFormat/>
    <w:uiPriority w:val="99"/>
    <w:rPr>
      <w:rFonts w:cs="Times New Roman"/>
      <w:spacing w:val="390"/>
      <w:sz w:val="21"/>
      <w:szCs w:val="21"/>
    </w:rPr>
  </w:style>
  <w:style w:type="paragraph" w:customStyle="1" w:styleId="103">
    <w:name w:val="普通文字"/>
    <w:basedOn w:val="1"/>
    <w:next w:val="1"/>
    <w:qFormat/>
    <w:uiPriority w:val="99"/>
    <w:rPr>
      <w:rFonts w:ascii="宋体" w:hAnsi="Times New Roman" w:eastAsia="宋体" w:cs="Times New Roman"/>
      <w:kern w:val="0"/>
      <w:sz w:val="24"/>
      <w:szCs w:val="20"/>
      <w:u w:color="000000"/>
    </w:rPr>
  </w:style>
  <w:style w:type="paragraph" w:customStyle="1" w:styleId="104">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5">
    <w:name w:val="文档结构图 字符"/>
    <w:basedOn w:val="33"/>
    <w:link w:val="10"/>
    <w:semiHidden/>
    <w:qFormat/>
    <w:uiPriority w:val="99"/>
    <w:rPr>
      <w:rFonts w:ascii="Times New Roman" w:hAnsi="Times New Roman" w:eastAsia="宋体" w:cs="Times New Roman"/>
      <w:kern w:val="0"/>
      <w:sz w:val="20"/>
      <w:szCs w:val="20"/>
      <w:shd w:val="clear" w:color="auto" w:fill="000080"/>
    </w:rPr>
  </w:style>
  <w:style w:type="character" w:customStyle="1" w:styleId="106">
    <w:name w:val="正文文本 2 字符"/>
    <w:basedOn w:val="33"/>
    <w:link w:val="28"/>
    <w:qFormat/>
    <w:uiPriority w:val="99"/>
    <w:rPr>
      <w:rFonts w:ascii="Times New Roman" w:hAnsi="Times New Roman" w:eastAsia="宋体" w:cs="Times New Roman"/>
      <w:kern w:val="0"/>
      <w:sz w:val="20"/>
      <w:szCs w:val="20"/>
    </w:rPr>
  </w:style>
  <w:style w:type="paragraph" w:customStyle="1" w:styleId="107">
    <w:name w:val="Char Char Char Char"/>
    <w:basedOn w:val="10"/>
    <w:qFormat/>
    <w:uiPriority w:val="99"/>
    <w:pPr>
      <w:adjustRightInd w:val="0"/>
      <w:snapToGrid w:val="0"/>
      <w:spacing w:line="360" w:lineRule="auto"/>
    </w:pPr>
    <w:rPr>
      <w:rFonts w:ascii="Tahoma" w:hAnsi="Tahoma"/>
      <w:sz w:val="24"/>
      <w:szCs w:val="24"/>
    </w:rPr>
  </w:style>
  <w:style w:type="paragraph" w:customStyle="1" w:styleId="108">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styleId="109">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0">
    <w:name w:val="修订1"/>
    <w:hidden/>
    <w:semiHidden/>
    <w:qFormat/>
    <w:uiPriority w:val="99"/>
    <w:rPr>
      <w:rFonts w:ascii="Times New Roman" w:hAnsi="Times New Roman" w:eastAsia="宋体" w:cs="Times New Roman"/>
      <w:kern w:val="2"/>
      <w:sz w:val="21"/>
      <w:lang w:val="en-US" w:eastAsia="zh-CN" w:bidi="ar-SA"/>
    </w:rPr>
  </w:style>
  <w:style w:type="character" w:customStyle="1" w:styleId="111">
    <w:name w:val="批注框文本 字符"/>
    <w:basedOn w:val="33"/>
    <w:link w:val="19"/>
    <w:semiHidden/>
    <w:qFormat/>
    <w:uiPriority w:val="99"/>
    <w:rPr>
      <w:rFonts w:ascii="Times New Roman" w:hAnsi="Times New Roman" w:eastAsia="宋体" w:cs="Times New Roman"/>
      <w:sz w:val="18"/>
      <w:szCs w:val="18"/>
    </w:rPr>
  </w:style>
  <w:style w:type="character" w:customStyle="1" w:styleId="112">
    <w:name w:val="批注文字 字符"/>
    <w:basedOn w:val="33"/>
    <w:link w:val="11"/>
    <w:semiHidden/>
    <w:qFormat/>
    <w:uiPriority w:val="99"/>
  </w:style>
  <w:style w:type="character" w:customStyle="1" w:styleId="113">
    <w:name w:val="批注主题 字符"/>
    <w:basedOn w:val="112"/>
    <w:link w:val="30"/>
    <w:semiHidden/>
    <w:qFormat/>
    <w:uiPriority w:val="99"/>
    <w:rPr>
      <w:b/>
      <w:bCs/>
    </w:rPr>
  </w:style>
  <w:style w:type="paragraph" w:customStyle="1" w:styleId="114">
    <w:name w:val="列表段落1"/>
    <w:basedOn w:val="1"/>
    <w:qFormat/>
    <w:uiPriority w:val="99"/>
    <w:pPr>
      <w:ind w:firstLine="420" w:firstLineChars="200"/>
    </w:pPr>
    <w:rPr>
      <w:rFonts w:ascii="Times New Roman" w:hAnsi="Times New Roman" w:eastAsia="宋体" w:cs="Times New Roman"/>
      <w:szCs w:val="21"/>
    </w:rPr>
  </w:style>
  <w:style w:type="character" w:customStyle="1" w:styleId="115">
    <w:name w:val="标题 6 字符"/>
    <w:basedOn w:val="33"/>
    <w:link w:val="7"/>
    <w:qFormat/>
    <w:uiPriority w:val="9"/>
    <w:rPr>
      <w:rFonts w:asciiTheme="majorHAnsi" w:hAnsiTheme="majorHAnsi" w:eastAsiaTheme="majorEastAsia" w:cstheme="majorBidi"/>
      <w:b/>
      <w:bCs/>
      <w:kern w:val="2"/>
      <w:sz w:val="24"/>
      <w:szCs w:val="24"/>
    </w:rPr>
  </w:style>
  <w:style w:type="paragraph" w:customStyle="1" w:styleId="116">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Í¼±íÕýÎÄ"/>
    <w:basedOn w:val="1"/>
    <w:next w:val="9"/>
    <w:qFormat/>
    <w:uiPriority w:val="0"/>
    <w:pPr>
      <w:ind w:firstLine="420" w:firstLineChars="200"/>
    </w:pPr>
    <w:rPr>
      <w:rFonts w:ascii="Times New Roman" w:hAnsi="Times New Roman" w:eastAsia="宋体" w:cs="Times New Roman"/>
      <w:sz w:val="24"/>
      <w:szCs w:val="20"/>
    </w:rPr>
  </w:style>
  <w:style w:type="character" w:customStyle="1" w:styleId="119">
    <w:name w:val="未处理的提及1"/>
    <w:basedOn w:val="33"/>
    <w:semiHidden/>
    <w:unhideWhenUsed/>
    <w:qFormat/>
    <w:uiPriority w:val="99"/>
    <w:rPr>
      <w:color w:val="605E5C"/>
      <w:shd w:val="clear" w:color="auto" w:fill="E1DFDD"/>
    </w:rPr>
  </w:style>
  <w:style w:type="paragraph" w:customStyle="1" w:styleId="120">
    <w:name w:val="标题2"/>
    <w:basedOn w:val="3"/>
    <w:next w:val="1"/>
    <w:qFormat/>
    <w:uiPriority w:val="0"/>
    <w:pPr>
      <w:spacing w:line="360" w:lineRule="auto"/>
    </w:pPr>
    <w:rPr>
      <w:rFonts w:ascii="黑体" w:hAnsi="黑体" w:eastAsia="黑体"/>
      <w:b w:val="0"/>
      <w:sz w:val="32"/>
      <w:szCs w:val="32"/>
    </w:rPr>
  </w:style>
  <w:style w:type="paragraph" w:customStyle="1" w:styleId="121">
    <w:name w:val="标题1"/>
    <w:basedOn w:val="2"/>
    <w:next w:val="1"/>
    <w:qFormat/>
    <w:uiPriority w:val="0"/>
    <w:pPr>
      <w:spacing w:line="360" w:lineRule="auto"/>
    </w:pPr>
    <w:rPr>
      <w:rFonts w:ascii="黑体" w:hAnsi="黑体" w:eastAsia="黑体"/>
      <w:b w:val="0"/>
      <w:bCs/>
      <w:szCs w:val="28"/>
    </w:rPr>
  </w:style>
  <w:style w:type="paragraph" w:customStyle="1" w:styleId="122">
    <w:name w:val="标题1-1"/>
    <w:basedOn w:val="2"/>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3">
    <w:name w:val="正文缩进 字符"/>
    <w:link w:val="9"/>
    <w:qFormat/>
    <w:uiPriority w:val="0"/>
    <w:rPr>
      <w:rFonts w:ascii="Times New Roman" w:hAnsi="Times New Roman" w:eastAsia="宋体" w:cs="Times New Roman"/>
      <w:kern w:val="2"/>
      <w:sz w:val="21"/>
    </w:rPr>
  </w:style>
  <w:style w:type="table" w:customStyle="1" w:styleId="124">
    <w:name w:val="网格型浅色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25">
    <w:name w:val="正文缩进1"/>
    <w:basedOn w:val="1"/>
    <w:qFormat/>
    <w:uiPriority w:val="0"/>
    <w:pPr>
      <w:autoSpaceDE w:val="0"/>
      <w:autoSpaceDN w:val="0"/>
      <w:adjustRightInd w:val="0"/>
      <w:ind w:firstLine="420"/>
      <w:jc w:val="left"/>
    </w:pPr>
    <w:rPr>
      <w:rFonts w:ascii="宋体"/>
      <w:sz w:val="24"/>
    </w:rPr>
  </w:style>
  <w:style w:type="paragraph" w:customStyle="1" w:styleId="126">
    <w:name w:val="索引 11"/>
    <w:basedOn w:val="1"/>
    <w:next w:val="1"/>
    <w:qFormat/>
    <w:uiPriority w:val="0"/>
    <w:pPr>
      <w:spacing w:line="360" w:lineRule="auto"/>
    </w:pPr>
    <w:rPr>
      <w:rFonts w:ascii="仿宋_GB2312" w:hAnsi="Times New Roman" w:eastAsia="仿宋_GB2312" w:cs="Times New Roman"/>
      <w:sz w:val="24"/>
      <w:szCs w:val="20"/>
    </w:rPr>
  </w:style>
  <w:style w:type="table" w:customStyle="1" w:styleId="127">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Grid Table Light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29">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30">
    <w:name w:val="日期 字符1"/>
    <w:qFormat/>
    <w:locked/>
    <w:uiPriority w:val="0"/>
    <w:rPr>
      <w:kern w:val="2"/>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2">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3">
    <w:name w:val="纯文本1"/>
    <w:basedOn w:val="1"/>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66F3-A1C8-48FA-B185-9CCCE4BD83A4}">
  <ds:schemaRefs/>
</ds:datastoreItem>
</file>

<file path=docProps/app.xml><?xml version="1.0" encoding="utf-8"?>
<Properties xmlns="http://schemas.openxmlformats.org/officeDocument/2006/extended-properties" xmlns:vt="http://schemas.openxmlformats.org/officeDocument/2006/docPropsVTypes">
  <Template>Normal.dotm</Template>
  <Company>LenovoCop</Company>
  <Pages>41</Pages>
  <Words>14509</Words>
  <Characters>15631</Characters>
  <Lines>137</Lines>
  <Paragraphs>38</Paragraphs>
  <TotalTime>8</TotalTime>
  <ScaleCrop>false</ScaleCrop>
  <LinksUpToDate>false</LinksUpToDate>
  <CharactersWithSpaces>17488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2020-11-17T01:25:00Z</dcterms:created>
  <dc:creator>黄炜</dc:creator>
  <cp:lastModifiedBy>Admin</cp:lastModifiedBy>
  <cp:lastPrinted>2021-09-30T01:06:00Z</cp:lastPrinted>
  <dcterms:modified xsi:type="dcterms:W3CDTF">2022-09-06T00:57:19Z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E18C05BB42F243A09C90B2B7067DA106</vt:lpwstr>
  </property>
</Properties>
</file>