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snapToGrid w:val="0"/>
        <w:spacing w:line="360" w:lineRule="auto"/>
        <w:jc w:val="center"/>
        <w:rPr>
          <w:rFonts w:ascii="黑体" w:hAnsi="黑体" w:eastAsia="黑体" w:cs="黑体"/>
          <w:b/>
          <w:spacing w:val="170"/>
          <w:kern w:val="0"/>
          <w:sz w:val="84"/>
          <w:szCs w:val="84"/>
        </w:rPr>
      </w:pPr>
      <w:r>
        <w:rPr>
          <w:rFonts w:hint="eastAsia" w:ascii="黑体" w:hAnsi="黑体" w:eastAsia="黑体" w:cs="黑体"/>
          <w:b/>
          <w:spacing w:val="170"/>
          <w:kern w:val="0"/>
          <w:sz w:val="84"/>
          <w:szCs w:val="84"/>
        </w:rPr>
        <w:t>政府采购</w:t>
      </w:r>
    </w:p>
    <w:p>
      <w:pPr>
        <w:snapToGrid w:val="0"/>
        <w:spacing w:line="360" w:lineRule="auto"/>
        <w:jc w:val="center"/>
        <w:rPr>
          <w:rFonts w:ascii="黑体" w:hAnsi="黑体" w:eastAsia="黑体" w:cs="黑体"/>
          <w:b/>
          <w:spacing w:val="170"/>
          <w:kern w:val="0"/>
          <w:sz w:val="84"/>
          <w:szCs w:val="84"/>
        </w:rPr>
      </w:pPr>
      <w:r>
        <w:rPr>
          <w:rFonts w:hint="eastAsia" w:ascii="黑体" w:hAnsi="黑体" w:eastAsia="黑体"/>
          <w:b/>
          <w:spacing w:val="170"/>
          <w:sz w:val="84"/>
          <w:szCs w:val="84"/>
        </w:rPr>
        <w:t>文 件</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华文中宋" w:hAnsi="华文中宋" w:eastAsia="华文中宋"/>
          <w:bCs/>
          <w:color w:val="000000" w:themeColor="text1"/>
          <w:sz w:val="30"/>
          <w14:textFill>
            <w14:solidFill>
              <w14:schemeClr w14:val="tx1"/>
            </w14:solidFill>
          </w14:textFill>
        </w:rPr>
      </w:pPr>
    </w:p>
    <w:p>
      <w:pPr>
        <w:jc w:val="left"/>
        <w:rPr>
          <w:rFonts w:ascii="华文中宋" w:hAnsi="华文中宋" w:eastAsia="华文中宋"/>
          <w:bCs/>
          <w:color w:val="000000" w:themeColor="text1"/>
          <w:sz w:val="30"/>
          <w:szCs w:val="30"/>
          <w14:textFill>
            <w14:solidFill>
              <w14:schemeClr w14:val="tx1"/>
            </w14:solidFill>
          </w14:textFill>
        </w:rPr>
      </w:pPr>
    </w:p>
    <w:p>
      <w:pPr>
        <w:spacing w:line="360" w:lineRule="auto"/>
        <w:ind w:firstLine="2700" w:firstLineChars="900"/>
        <w:rPr>
          <w:rFonts w:ascii="黑体" w:hAnsi="华文中宋" w:eastAsia="黑体"/>
          <w:bCs/>
          <w:sz w:val="30"/>
          <w:szCs w:val="30"/>
        </w:rPr>
      </w:pPr>
      <w:r>
        <w:rPr>
          <w:rFonts w:hint="eastAsia" w:ascii="黑体" w:hAnsi="华文中宋" w:eastAsia="黑体"/>
          <w:bCs/>
          <w:sz w:val="30"/>
          <w:szCs w:val="30"/>
        </w:rPr>
        <w:t>采购项目编号：</w:t>
      </w:r>
      <w:r>
        <w:rPr>
          <w:rFonts w:ascii="黑体" w:hAnsi="华文中宋" w:eastAsia="黑体"/>
          <w:bCs/>
          <w:sz w:val="30"/>
          <w:szCs w:val="30"/>
        </w:rPr>
        <w:t>CZZCJC2021006</w:t>
      </w:r>
    </w:p>
    <w:p>
      <w:pPr>
        <w:spacing w:line="360" w:lineRule="auto"/>
        <w:ind w:left="4680" w:leftChars="1300" w:hanging="1950" w:hangingChars="650"/>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采购项目名称：常州旅游商贸高等职业技术学校实训基地门禁系统采购项目</w:t>
      </w:r>
    </w:p>
    <w:p>
      <w:pPr>
        <w:spacing w:line="360" w:lineRule="auto"/>
        <w:ind w:left="4680" w:leftChars="1300" w:hanging="1950" w:hangingChars="650"/>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   购   人：常州旅游商贸高等职业技术学校</w:t>
      </w:r>
    </w:p>
    <w:p>
      <w:pPr>
        <w:spacing w:line="360" w:lineRule="auto"/>
        <w:ind w:firstLine="2700" w:firstLineChars="900"/>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二○二一年六月</w:t>
      </w:r>
      <w:bookmarkStart w:id="0" w:name="报价方须知前附表"/>
      <w:bookmarkEnd w:id="0"/>
      <w:bookmarkStart w:id="1" w:name="_Toc55147045"/>
    </w:p>
    <w:p>
      <w:pPr>
        <w:jc w:val="center"/>
        <w:rPr>
          <w:rFonts w:ascii="黑体" w:hAnsi="华文中宋" w:eastAsia="黑体"/>
          <w:bCs/>
          <w:color w:val="000000" w:themeColor="text1"/>
          <w:sz w:val="30"/>
          <w:szCs w:val="30"/>
          <w14:textFill>
            <w14:solidFill>
              <w14:schemeClr w14:val="tx1"/>
            </w14:solidFill>
          </w14:textFill>
        </w:rPr>
      </w:pPr>
    </w:p>
    <w:p>
      <w:pPr>
        <w:widowControl/>
        <w:jc w:val="left"/>
        <w:rPr>
          <w:rFonts w:ascii="黑体" w:hAnsi="华文中宋" w:eastAsia="黑体"/>
          <w:bCs/>
          <w:color w:val="000000" w:themeColor="text1"/>
          <w:sz w:val="30"/>
          <w:szCs w:val="30"/>
          <w14:textFill>
            <w14:solidFill>
              <w14:schemeClr w14:val="tx1"/>
            </w14:solidFill>
          </w14:textFill>
        </w:rPr>
      </w:pPr>
      <w:r>
        <w:rPr>
          <w:rFonts w:ascii="黑体" w:hAnsi="华文中宋" w:eastAsia="黑体"/>
          <w:bCs/>
          <w:color w:val="000000" w:themeColor="text1"/>
          <w:sz w:val="30"/>
          <w:szCs w:val="30"/>
          <w14:textFill>
            <w14:solidFill>
              <w14:schemeClr w14:val="tx1"/>
            </w14:solidFill>
          </w14:textFill>
        </w:rPr>
        <w:br w:type="page"/>
      </w:r>
    </w:p>
    <w:p>
      <w:pPr>
        <w:rPr>
          <w:rFonts w:ascii="黑体" w:hAnsi="华文中宋" w:eastAsia="黑体"/>
          <w:bCs/>
          <w:color w:val="000000" w:themeColor="text1"/>
          <w:sz w:val="30"/>
          <w:szCs w:val="30"/>
          <w14:textFill>
            <w14:solidFill>
              <w14:schemeClr w14:val="tx1"/>
            </w14:solidFill>
          </w14:textFill>
        </w:rPr>
      </w:pPr>
    </w:p>
    <w:sdt>
      <w:sdtPr>
        <w:rPr>
          <w:rFonts w:ascii="黑体" w:hAnsi="黑体" w:eastAsia="黑体"/>
          <w:b/>
          <w:bCs/>
          <w:sz w:val="44"/>
          <w:szCs w:val="44"/>
        </w:rPr>
        <w:id w:val="-1880626030"/>
      </w:sdtPr>
      <w:sdtEndPr>
        <w:rPr>
          <w:rFonts w:eastAsia="黑体" w:asciiTheme="minorHAnsi" w:hAnsiTheme="minorHAnsi"/>
          <w:b w:val="0"/>
          <w:bCs w:val="0"/>
          <w:sz w:val="30"/>
          <w:szCs w:val="30"/>
        </w:rPr>
      </w:sdtEndPr>
      <w:sdtContent>
        <w:p>
          <w:pPr>
            <w:spacing w:line="360" w:lineRule="auto"/>
            <w:jc w:val="center"/>
            <w:rPr>
              <w:rFonts w:ascii="黑体" w:hAnsi="黑体" w:eastAsia="黑体"/>
              <w:bCs/>
              <w:sz w:val="48"/>
              <w:szCs w:val="48"/>
            </w:rPr>
          </w:pPr>
          <w:r>
            <w:rPr>
              <w:rFonts w:ascii="黑体" w:hAnsi="黑体" w:eastAsia="黑体"/>
              <w:bCs/>
              <w:sz w:val="48"/>
              <w:szCs w:val="48"/>
            </w:rPr>
            <w:t>目</w:t>
          </w:r>
          <w:r>
            <w:rPr>
              <w:rFonts w:hint="eastAsia" w:ascii="黑体" w:hAnsi="黑体" w:eastAsia="黑体"/>
              <w:bCs/>
              <w:sz w:val="48"/>
              <w:szCs w:val="48"/>
            </w:rPr>
            <w:t xml:space="preserve"> </w:t>
          </w:r>
          <w:r>
            <w:rPr>
              <w:rFonts w:ascii="黑体" w:hAnsi="黑体" w:eastAsia="黑体"/>
              <w:bCs/>
              <w:sz w:val="48"/>
              <w:szCs w:val="48"/>
            </w:rPr>
            <w:t>录</w:t>
          </w:r>
        </w:p>
        <w:p>
          <w:pPr>
            <w:rPr>
              <w:lang w:val="zh-CN"/>
            </w:rPr>
          </w:pPr>
        </w:p>
        <w:p>
          <w:pPr>
            <w:pStyle w:val="23"/>
            <w:rPr>
              <w:rFonts w:eastAsiaTheme="minorEastAsia"/>
              <w:sz w:val="21"/>
              <w:szCs w:val="22"/>
            </w:rPr>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"_Toc69219077" </w:instrText>
          </w:r>
          <w:r>
            <w:fldChar w:fldCharType="separate"/>
          </w:r>
          <w:r>
            <w:rPr>
              <w:rStyle w:val="39"/>
              <w:rFonts w:hint="eastAsia"/>
            </w:rPr>
            <w:t>一．磋商邀请函</w:t>
          </w:r>
          <w:r>
            <w:tab/>
          </w:r>
          <w:r>
            <w:fldChar w:fldCharType="begin"/>
          </w:r>
          <w:r>
            <w:instrText xml:space="preserve"> PAGEREF _Toc69219077 \h </w:instrText>
          </w:r>
          <w:r>
            <w:fldChar w:fldCharType="separate"/>
          </w:r>
          <w:r>
            <w:t>1</w:t>
          </w:r>
          <w:r>
            <w:fldChar w:fldCharType="end"/>
          </w:r>
          <w:r>
            <w:fldChar w:fldCharType="end"/>
          </w:r>
        </w:p>
        <w:p>
          <w:pPr>
            <w:pStyle w:val="23"/>
            <w:rPr>
              <w:rFonts w:eastAsiaTheme="minorEastAsia"/>
              <w:sz w:val="21"/>
              <w:szCs w:val="22"/>
            </w:rPr>
          </w:pPr>
          <w:r>
            <w:fldChar w:fldCharType="begin"/>
          </w:r>
          <w:r>
            <w:instrText xml:space="preserve"> HYPERLINK \l "_Toc69219078" </w:instrText>
          </w:r>
          <w:r>
            <w:fldChar w:fldCharType="separate"/>
          </w:r>
          <w:r>
            <w:rPr>
              <w:rStyle w:val="39"/>
              <w:rFonts w:hint="eastAsia"/>
            </w:rPr>
            <w:t>二．磋商须知</w:t>
          </w:r>
          <w:r>
            <w:tab/>
          </w:r>
          <w:r>
            <w:fldChar w:fldCharType="begin"/>
          </w:r>
          <w:r>
            <w:instrText xml:space="preserve"> PAGEREF _Toc69219078 \h </w:instrText>
          </w:r>
          <w:r>
            <w:fldChar w:fldCharType="separate"/>
          </w:r>
          <w:r>
            <w:t>4</w:t>
          </w:r>
          <w:r>
            <w:fldChar w:fldCharType="end"/>
          </w:r>
          <w:r>
            <w:fldChar w:fldCharType="end"/>
          </w:r>
        </w:p>
        <w:p>
          <w:pPr>
            <w:pStyle w:val="23"/>
            <w:rPr>
              <w:rFonts w:eastAsiaTheme="minorEastAsia"/>
              <w:sz w:val="21"/>
              <w:szCs w:val="22"/>
            </w:rPr>
          </w:pPr>
          <w:r>
            <w:fldChar w:fldCharType="begin"/>
          </w:r>
          <w:r>
            <w:instrText xml:space="preserve"> HYPERLINK \l "_Toc69219079" </w:instrText>
          </w:r>
          <w:r>
            <w:fldChar w:fldCharType="separate"/>
          </w:r>
          <w:r>
            <w:rPr>
              <w:rStyle w:val="39"/>
              <w:rFonts w:hint="eastAsia"/>
            </w:rPr>
            <w:t>三．项目技术要求和有关说明</w:t>
          </w:r>
          <w:r>
            <w:tab/>
          </w:r>
          <w:r>
            <w:fldChar w:fldCharType="begin"/>
          </w:r>
          <w:r>
            <w:instrText xml:space="preserve"> PAGEREF _Toc69219079 \h </w:instrText>
          </w:r>
          <w:r>
            <w:fldChar w:fldCharType="separate"/>
          </w:r>
          <w:r>
            <w:t>11</w:t>
          </w:r>
          <w:r>
            <w:fldChar w:fldCharType="end"/>
          </w:r>
          <w:r>
            <w:fldChar w:fldCharType="end"/>
          </w:r>
        </w:p>
        <w:p>
          <w:pPr>
            <w:pStyle w:val="23"/>
            <w:rPr>
              <w:rFonts w:eastAsiaTheme="minorEastAsia"/>
              <w:sz w:val="21"/>
              <w:szCs w:val="22"/>
            </w:rPr>
          </w:pPr>
          <w:r>
            <w:fldChar w:fldCharType="begin"/>
          </w:r>
          <w:r>
            <w:instrText xml:space="preserve"> HYPERLINK \l "_Toc69219080" </w:instrText>
          </w:r>
          <w:r>
            <w:fldChar w:fldCharType="separate"/>
          </w:r>
          <w:r>
            <w:rPr>
              <w:rStyle w:val="39"/>
              <w:rFonts w:hint="eastAsia"/>
            </w:rPr>
            <w:t>四．合同条款及格式</w:t>
          </w:r>
          <w:r>
            <w:tab/>
          </w:r>
          <w:r>
            <w:fldChar w:fldCharType="begin"/>
          </w:r>
          <w:r>
            <w:instrText xml:space="preserve"> PAGEREF _Toc69219080 \h </w:instrText>
          </w:r>
          <w:r>
            <w:fldChar w:fldCharType="separate"/>
          </w:r>
          <w:r>
            <w:t>14</w:t>
          </w:r>
          <w:r>
            <w:fldChar w:fldCharType="end"/>
          </w:r>
          <w:r>
            <w:fldChar w:fldCharType="end"/>
          </w:r>
        </w:p>
        <w:p>
          <w:pPr>
            <w:pStyle w:val="23"/>
            <w:rPr>
              <w:rFonts w:eastAsiaTheme="minorEastAsia"/>
              <w:sz w:val="21"/>
              <w:szCs w:val="22"/>
            </w:rPr>
          </w:pPr>
          <w:r>
            <w:fldChar w:fldCharType="begin"/>
          </w:r>
          <w:r>
            <w:instrText xml:space="preserve"> HYPERLINK \l "_Toc69219081" </w:instrText>
          </w:r>
          <w:r>
            <w:fldChar w:fldCharType="separate"/>
          </w:r>
          <w:r>
            <w:rPr>
              <w:rStyle w:val="39"/>
              <w:rFonts w:hint="eastAsia"/>
            </w:rPr>
            <w:t>五</w:t>
          </w:r>
          <w:r>
            <w:rPr>
              <w:rStyle w:val="39"/>
            </w:rPr>
            <w:t xml:space="preserve">.  </w:t>
          </w:r>
          <w:r>
            <w:rPr>
              <w:rStyle w:val="39"/>
              <w:rFonts w:hint="eastAsia"/>
            </w:rPr>
            <w:t>评分标准</w:t>
          </w:r>
          <w:r>
            <w:tab/>
          </w:r>
          <w:r>
            <w:fldChar w:fldCharType="begin"/>
          </w:r>
          <w:r>
            <w:instrText xml:space="preserve"> PAGEREF _Toc69219081 \h </w:instrText>
          </w:r>
          <w:r>
            <w:fldChar w:fldCharType="separate"/>
          </w:r>
          <w:r>
            <w:t>25</w:t>
          </w:r>
          <w:r>
            <w:fldChar w:fldCharType="end"/>
          </w:r>
          <w:r>
            <w:fldChar w:fldCharType="end"/>
          </w:r>
        </w:p>
        <w:p>
          <w:pPr>
            <w:pStyle w:val="23"/>
            <w:rPr>
              <w:rFonts w:eastAsiaTheme="minorEastAsia"/>
              <w:sz w:val="21"/>
              <w:szCs w:val="22"/>
            </w:rPr>
          </w:pPr>
          <w:r>
            <w:fldChar w:fldCharType="begin"/>
          </w:r>
          <w:r>
            <w:instrText xml:space="preserve"> HYPERLINK \l "_Toc69219082" </w:instrText>
          </w:r>
          <w:r>
            <w:fldChar w:fldCharType="separate"/>
          </w:r>
          <w:r>
            <w:rPr>
              <w:rStyle w:val="39"/>
              <w:rFonts w:hint="eastAsia"/>
            </w:rPr>
            <w:t>六．响应文件格式</w:t>
          </w:r>
          <w:r>
            <w:tab/>
          </w:r>
          <w:r>
            <w:fldChar w:fldCharType="begin"/>
          </w:r>
          <w:r>
            <w:instrText xml:space="preserve"> PAGEREF _Toc69219082 \h </w:instrText>
          </w:r>
          <w:r>
            <w:fldChar w:fldCharType="separate"/>
          </w:r>
          <w:r>
            <w:t>27</w:t>
          </w:r>
          <w:r>
            <w:fldChar w:fldCharType="end"/>
          </w:r>
          <w:r>
            <w:fldChar w:fldCharType="end"/>
          </w:r>
        </w:p>
        <w:p>
          <w:pPr>
            <w:pStyle w:val="23"/>
            <w:rPr>
              <w:rFonts w:eastAsiaTheme="minorEastAsia"/>
              <w:sz w:val="21"/>
              <w:szCs w:val="22"/>
            </w:rPr>
          </w:pPr>
          <w:r>
            <w:fldChar w:fldCharType="begin"/>
          </w:r>
          <w:r>
            <w:instrText xml:space="preserve"> HYPERLINK \l "_Toc69219083" </w:instrText>
          </w:r>
          <w:r>
            <w:fldChar w:fldCharType="separate"/>
          </w:r>
          <w:r>
            <w:rPr>
              <w:rStyle w:val="39"/>
              <w:rFonts w:hint="eastAsia"/>
            </w:rPr>
            <w:t>友</w:t>
          </w:r>
          <w:r>
            <w:rPr>
              <w:rStyle w:val="39"/>
            </w:rPr>
            <w:t xml:space="preserve"> </w:t>
          </w:r>
          <w:r>
            <w:rPr>
              <w:rStyle w:val="39"/>
              <w:rFonts w:hint="eastAsia"/>
            </w:rPr>
            <w:t>情</w:t>
          </w:r>
          <w:r>
            <w:rPr>
              <w:rStyle w:val="39"/>
            </w:rPr>
            <w:t xml:space="preserve"> </w:t>
          </w:r>
          <w:r>
            <w:rPr>
              <w:rStyle w:val="39"/>
              <w:rFonts w:hint="eastAsia"/>
            </w:rPr>
            <w:t>提</w:t>
          </w:r>
          <w:r>
            <w:rPr>
              <w:rStyle w:val="39"/>
            </w:rPr>
            <w:t xml:space="preserve"> </w:t>
          </w:r>
          <w:r>
            <w:rPr>
              <w:rStyle w:val="39"/>
              <w:rFonts w:hint="eastAsia"/>
            </w:rPr>
            <w:t>醒</w:t>
          </w:r>
          <w:r>
            <w:tab/>
          </w:r>
          <w:r>
            <w:fldChar w:fldCharType="begin"/>
          </w:r>
          <w:r>
            <w:instrText xml:space="preserve"> PAGEREF _Toc69219083 \h </w:instrText>
          </w:r>
          <w:r>
            <w:fldChar w:fldCharType="separate"/>
          </w:r>
          <w:r>
            <w:t>50</w:t>
          </w:r>
          <w:r>
            <w:fldChar w:fldCharType="end"/>
          </w:r>
          <w:r>
            <w:fldChar w:fldCharType="end"/>
          </w:r>
        </w:p>
        <w:p>
          <w:pPr>
            <w:spacing w:before="120" w:after="120" w:line="360" w:lineRule="auto"/>
            <w:rPr>
              <w:rFonts w:eastAsia="黑体"/>
              <w:sz w:val="30"/>
              <w:szCs w:val="30"/>
            </w:rPr>
          </w:pPr>
          <w:r>
            <w:rPr>
              <w:rFonts w:eastAsia="黑体" w:cstheme="minorHAnsi"/>
              <w:sz w:val="32"/>
              <w:szCs w:val="32"/>
            </w:rPr>
            <w:fldChar w:fldCharType="end"/>
          </w:r>
        </w:p>
      </w:sdtContent>
    </w:sdt>
    <w:p>
      <w:pPr>
        <w:rPr>
          <w:rFonts w:eastAsia="黑体"/>
          <w:sz w:val="30"/>
          <w:szCs w:val="30"/>
        </w:rPr>
      </w:pPr>
    </w:p>
    <w:p>
      <w:pPr>
        <w:tabs>
          <w:tab w:val="left" w:pos="3780"/>
        </w:tabs>
        <w:rPr>
          <w:rFonts w:eastAsia="黑体"/>
          <w:sz w:val="30"/>
          <w:szCs w:val="30"/>
        </w:rPr>
      </w:pPr>
      <w:r>
        <w:rPr>
          <w:rFonts w:eastAsia="黑体"/>
          <w:sz w:val="30"/>
          <w:szCs w:val="30"/>
        </w:rPr>
        <w:tab/>
      </w:r>
    </w:p>
    <w:p>
      <w:pPr>
        <w:rPr>
          <w:rFonts w:eastAsia="黑体"/>
          <w:sz w:val="30"/>
          <w:szCs w:val="30"/>
        </w:rPr>
      </w:pPr>
    </w:p>
    <w:p>
      <w:pPr>
        <w:rPr>
          <w:rFonts w:eastAsia="黑体"/>
          <w:sz w:val="30"/>
          <w:szCs w:val="30"/>
        </w:rPr>
        <w:sectPr>
          <w:headerReference r:id="rId5" w:type="first"/>
          <w:headerReference r:id="rId3" w:type="default"/>
          <w:headerReference r:id="rId4" w:type="even"/>
          <w:footerReference r:id="rId6" w:type="even"/>
          <w:pgSz w:w="11906" w:h="16838"/>
          <w:pgMar w:top="1100" w:right="851" w:bottom="567" w:left="1134" w:header="426" w:footer="907" w:gutter="0"/>
          <w:pgNumType w:start="0"/>
          <w:cols w:space="425" w:num="1"/>
          <w:titlePg/>
          <w:docGrid w:type="linesAndChars" w:linePitch="312" w:charSpace="0"/>
        </w:sectPr>
      </w:pPr>
    </w:p>
    <w:p>
      <w:pPr>
        <w:pStyle w:val="122"/>
      </w:pPr>
      <w:bookmarkStart w:id="2" w:name="_Toc69219077"/>
      <w:r>
        <w:rPr>
          <w:rFonts w:hint="eastAsia"/>
        </w:rPr>
        <w:t>一．磋商邀请函</w:t>
      </w:r>
      <w:bookmarkEnd w:id="1"/>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rPr>
        <w:t xml:space="preserve">  常州旅游商贸高等职业技术学校实训基地门禁系统   </w:t>
      </w:r>
      <w:r>
        <w:rPr>
          <w:rFonts w:hint="eastAsia" w:ascii="宋体" w:hAnsi="宋体" w:eastAsia="宋体"/>
          <w:sz w:val="24"/>
          <w:szCs w:val="24"/>
        </w:rPr>
        <w:t>采购项目的潜在报价人应在</w:t>
      </w:r>
      <w:r>
        <w:rPr>
          <w:rFonts w:hint="eastAsia" w:ascii="宋体" w:hAnsi="宋体" w:eastAsia="宋体"/>
          <w:sz w:val="24"/>
          <w:szCs w:val="24"/>
          <w:u w:val="single"/>
        </w:rPr>
        <w:t>常州中采招投标有限公司网（</w:t>
      </w:r>
      <w:r>
        <w:rPr>
          <w:rFonts w:ascii="宋体" w:hAnsi="宋体" w:eastAsia="宋体"/>
          <w:sz w:val="24"/>
          <w:szCs w:val="24"/>
          <w:u w:val="single"/>
        </w:rPr>
        <w:t>http://www.czzczb.com/</w:t>
      </w:r>
      <w:r>
        <w:rPr>
          <w:rFonts w:hint="eastAsia" w:ascii="宋体" w:hAnsi="宋体" w:eastAsia="宋体"/>
          <w:sz w:val="24"/>
          <w:szCs w:val="24"/>
          <w:u w:val="single"/>
        </w:rPr>
        <w:t>）</w:t>
      </w:r>
      <w:r>
        <w:rPr>
          <w:rFonts w:hint="eastAsia" w:ascii="宋体" w:hAnsi="宋体" w:eastAsia="宋体"/>
          <w:sz w:val="24"/>
          <w:szCs w:val="24"/>
        </w:rPr>
        <w:t>获取采购文件，并于</w:t>
      </w:r>
      <w:r>
        <w:rPr>
          <w:rFonts w:ascii="宋体" w:hAnsi="宋体" w:eastAsia="宋体"/>
          <w:bCs/>
          <w:sz w:val="24"/>
          <w:szCs w:val="24"/>
          <w:u w:val="single"/>
        </w:rPr>
        <w:t>20</w:t>
      </w:r>
      <w:r>
        <w:rPr>
          <w:rFonts w:hint="eastAsia" w:ascii="宋体" w:hAnsi="宋体" w:eastAsia="宋体"/>
          <w:bCs/>
          <w:sz w:val="24"/>
          <w:szCs w:val="24"/>
          <w:u w:val="single"/>
        </w:rPr>
        <w:t>21</w:t>
      </w:r>
      <w:r>
        <w:rPr>
          <w:rFonts w:ascii="宋体" w:hAnsi="宋体" w:eastAsia="宋体"/>
          <w:bCs/>
          <w:sz w:val="24"/>
          <w:szCs w:val="24"/>
          <w:u w:val="single"/>
        </w:rPr>
        <w:t>年</w:t>
      </w:r>
      <w:r>
        <w:rPr>
          <w:rFonts w:hint="eastAsia" w:ascii="宋体" w:hAnsi="宋体" w:eastAsia="宋体"/>
          <w:bCs/>
          <w:sz w:val="24"/>
          <w:szCs w:val="24"/>
          <w:u w:val="single"/>
        </w:rPr>
        <w:t>6</w:t>
      </w:r>
      <w:r>
        <w:rPr>
          <w:rFonts w:ascii="宋体" w:hAnsi="宋体" w:eastAsia="宋体"/>
          <w:bCs/>
          <w:sz w:val="24"/>
          <w:szCs w:val="24"/>
          <w:u w:val="single"/>
        </w:rPr>
        <w:t>月</w:t>
      </w:r>
      <w:r>
        <w:rPr>
          <w:rFonts w:hint="eastAsia" w:ascii="宋体" w:hAnsi="宋体" w:eastAsia="宋体"/>
          <w:bCs/>
          <w:sz w:val="24"/>
          <w:szCs w:val="24"/>
          <w:u w:val="single"/>
        </w:rPr>
        <w:t>16</w:t>
      </w:r>
      <w:r>
        <w:rPr>
          <w:rFonts w:ascii="宋体" w:hAnsi="宋体" w:eastAsia="宋体"/>
          <w:bCs/>
          <w:sz w:val="24"/>
          <w:szCs w:val="24"/>
          <w:u w:val="single"/>
        </w:rPr>
        <w:t>日</w:t>
      </w:r>
      <w:r>
        <w:rPr>
          <w:rFonts w:hint="eastAsia" w:ascii="宋体" w:hAnsi="宋体" w:eastAsia="宋体"/>
          <w:bCs/>
          <w:sz w:val="24"/>
          <w:szCs w:val="24"/>
          <w:u w:val="single"/>
        </w:rPr>
        <w:t>9</w:t>
      </w:r>
      <w:r>
        <w:rPr>
          <w:rFonts w:ascii="宋体" w:hAnsi="宋体" w:eastAsia="宋体"/>
          <w:bCs/>
          <w:sz w:val="24"/>
          <w:szCs w:val="24"/>
          <w:u w:val="single"/>
        </w:rPr>
        <w:t>点</w:t>
      </w:r>
      <w:r>
        <w:rPr>
          <w:rFonts w:hint="eastAsia" w:ascii="宋体" w:hAnsi="宋体" w:eastAsia="宋体"/>
          <w:bCs/>
          <w:sz w:val="24"/>
          <w:szCs w:val="24"/>
          <w:u w:val="single"/>
        </w:rPr>
        <w:t>30</w:t>
      </w:r>
      <w:r>
        <w:rPr>
          <w:rFonts w:ascii="宋体" w:hAnsi="宋体" w:eastAsia="宋体"/>
          <w:bCs/>
          <w:sz w:val="24"/>
          <w:szCs w:val="24"/>
          <w:u w:val="single"/>
        </w:rPr>
        <w:t>分</w:t>
      </w:r>
      <w:r>
        <w:rPr>
          <w:rFonts w:hint="eastAsia" w:ascii="宋体" w:hAnsi="宋体" w:eastAsia="宋体"/>
          <w:bCs/>
          <w:sz w:val="24"/>
          <w:szCs w:val="24"/>
          <w:u w:val="single"/>
        </w:rPr>
        <w:t>（</w:t>
      </w:r>
      <w:r>
        <w:rPr>
          <w:rFonts w:hint="eastAsia" w:ascii="宋体" w:hAnsi="宋体" w:eastAsia="宋体"/>
          <w:bCs/>
          <w:sz w:val="24"/>
          <w:szCs w:val="24"/>
        </w:rPr>
        <w:t>北京时间）前递交响应文件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bookmarkStart w:id="3" w:name="_Toc35393621"/>
      <w:bookmarkStart w:id="4" w:name="_Toc28359002"/>
      <w:bookmarkStart w:id="5" w:name="_Toc28359079"/>
      <w:bookmarkStart w:id="6" w:name="_Toc35393790"/>
      <w:bookmarkStart w:id="7" w:name="_Hlk24379207"/>
    </w:p>
    <w:p>
      <w:pPr>
        <w:spacing w:line="360" w:lineRule="auto"/>
        <w:ind w:firstLine="480" w:firstLineChars="200"/>
        <w:rPr>
          <w:b/>
          <w:bCs/>
          <w:sz w:val="24"/>
          <w:szCs w:val="24"/>
        </w:rPr>
      </w:pPr>
      <w:r>
        <w:rPr>
          <w:rFonts w:hint="eastAsia"/>
          <w:b/>
          <w:bCs/>
          <w:sz w:val="24"/>
          <w:szCs w:val="24"/>
        </w:rPr>
        <w:t>一、项目基本情况</w:t>
      </w:r>
      <w:bookmarkEnd w:id="3"/>
      <w:bookmarkEnd w:id="4"/>
      <w:bookmarkEnd w:id="5"/>
      <w:bookmarkEnd w:id="6"/>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项目编号：</w:t>
      </w:r>
      <w:r>
        <w:rPr>
          <w:rFonts w:asciiTheme="minorEastAsia" w:hAnsiTheme="minorEastAsia"/>
          <w:sz w:val="24"/>
          <w:szCs w:val="24"/>
        </w:rPr>
        <w:t>CZZCJC2021006</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项目名称：常州旅游商贸高等职业技术学校实训基地门禁系统采购项目</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采购方式：竞争性磋商</w:t>
      </w:r>
    </w:p>
    <w:bookmarkEnd w:id="7"/>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预算金额：19万元</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最高限价：19万元</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资金来源：第三方协议资助</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采购需求：本项目是常州旅游商贸高等职业技术学校实训基地门禁系统采购项目，详见采购文件项目技术要求部分。</w:t>
      </w:r>
    </w:p>
    <w:p>
      <w:pPr>
        <w:snapToGrid w:val="0"/>
        <w:spacing w:line="360" w:lineRule="auto"/>
        <w:ind w:firstLine="480" w:firstLineChars="200"/>
        <w:rPr>
          <w:rFonts w:asciiTheme="minorEastAsia" w:hAnsiTheme="minorEastAsia"/>
          <w:sz w:val="24"/>
          <w:szCs w:val="24"/>
          <w:u w:val="single"/>
        </w:rPr>
      </w:pPr>
      <w:r>
        <w:rPr>
          <w:rFonts w:hint="eastAsia" w:asciiTheme="minorEastAsia" w:hAnsiTheme="minorEastAsia"/>
          <w:sz w:val="24"/>
          <w:szCs w:val="24"/>
        </w:rPr>
        <w:t>合同履行期限：自合同签订之日起至</w:t>
      </w:r>
      <w:r>
        <w:rPr>
          <w:rFonts w:asciiTheme="minorEastAsia" w:hAnsiTheme="minorEastAsia"/>
          <w:sz w:val="24"/>
          <w:szCs w:val="24"/>
        </w:rPr>
        <w:t>20</w:t>
      </w:r>
      <w:r>
        <w:rPr>
          <w:rFonts w:hint="eastAsia" w:asciiTheme="minorEastAsia" w:hAnsiTheme="minorEastAsia"/>
          <w:sz w:val="24"/>
          <w:szCs w:val="24"/>
        </w:rPr>
        <w:t>21</w:t>
      </w:r>
      <w:r>
        <w:rPr>
          <w:rFonts w:asciiTheme="minorEastAsia" w:hAnsiTheme="minorEastAsia"/>
          <w:sz w:val="24"/>
          <w:szCs w:val="24"/>
        </w:rPr>
        <w:t>年</w:t>
      </w:r>
      <w:r>
        <w:rPr>
          <w:rFonts w:hint="eastAsia" w:asciiTheme="minorEastAsia" w:hAnsiTheme="minorEastAsia"/>
          <w:sz w:val="24"/>
          <w:szCs w:val="24"/>
        </w:rPr>
        <w:t>8</w:t>
      </w:r>
      <w:r>
        <w:rPr>
          <w:rFonts w:asciiTheme="minorEastAsia" w:hAnsiTheme="minorEastAsia"/>
          <w:sz w:val="24"/>
          <w:szCs w:val="24"/>
        </w:rPr>
        <w:t>月</w:t>
      </w:r>
      <w:r>
        <w:rPr>
          <w:rFonts w:hint="eastAsia" w:asciiTheme="minorEastAsia" w:hAnsiTheme="minorEastAsia"/>
          <w:sz w:val="24"/>
          <w:szCs w:val="24"/>
        </w:rPr>
        <w:t>31</w:t>
      </w:r>
      <w:r>
        <w:rPr>
          <w:rFonts w:asciiTheme="minorEastAsia" w:hAnsiTheme="minorEastAsia"/>
          <w:sz w:val="24"/>
          <w:szCs w:val="24"/>
        </w:rPr>
        <w:t>日</w:t>
      </w:r>
      <w:r>
        <w:rPr>
          <w:rFonts w:hint="eastAsia" w:asciiTheme="minorEastAsia" w:hAnsiTheme="minorEastAsia"/>
          <w:sz w:val="24"/>
          <w:szCs w:val="24"/>
        </w:rPr>
        <w:t>前</w:t>
      </w:r>
      <w:r>
        <w:rPr>
          <w:rFonts w:asciiTheme="minorEastAsia" w:hAnsiTheme="minorEastAsia"/>
          <w:sz w:val="24"/>
          <w:szCs w:val="24"/>
        </w:rPr>
        <w:t>安装到位。</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不接受</w:t>
      </w:r>
      <w:r>
        <w:rPr>
          <w:rFonts w:asciiTheme="minorEastAsia" w:hAnsiTheme="minorEastAsia"/>
          <w:sz w:val="24"/>
          <w:szCs w:val="24"/>
          <w:u w:val="single"/>
        </w:rPr>
        <w:t xml:space="preserve">   </w:t>
      </w:r>
      <w:r>
        <w:rPr>
          <w:rFonts w:hint="eastAsia" w:asciiTheme="minorEastAsia" w:hAnsiTheme="minorEastAsia"/>
          <w:sz w:val="24"/>
          <w:szCs w:val="24"/>
        </w:rPr>
        <w:t>联合体报价。</w:t>
      </w:r>
    </w:p>
    <w:p>
      <w:pPr>
        <w:spacing w:line="360" w:lineRule="auto"/>
        <w:ind w:firstLine="480" w:firstLineChars="200"/>
        <w:rPr>
          <w:b/>
          <w:bCs/>
          <w:sz w:val="24"/>
          <w:szCs w:val="24"/>
        </w:rPr>
      </w:pPr>
      <w:bookmarkStart w:id="8" w:name="_Toc35393622"/>
      <w:bookmarkStart w:id="9" w:name="_Toc28359080"/>
      <w:bookmarkStart w:id="10" w:name="_Toc28359003"/>
      <w:bookmarkStart w:id="11" w:name="_Toc35393791"/>
      <w:r>
        <w:rPr>
          <w:rFonts w:hint="eastAsia"/>
          <w:b/>
          <w:bCs/>
          <w:sz w:val="24"/>
          <w:szCs w:val="24"/>
        </w:rPr>
        <w:t>二、申请人的资格要求</w:t>
      </w:r>
      <w:bookmarkEnd w:id="8"/>
      <w:bookmarkEnd w:id="9"/>
      <w:bookmarkEnd w:id="10"/>
      <w:bookmarkEnd w:id="11"/>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1.满足《中华人民共和国政府采购法》第二十二条规定；</w:t>
      </w:r>
    </w:p>
    <w:p>
      <w:pPr>
        <w:snapToGrid w:val="0"/>
        <w:spacing w:line="360" w:lineRule="auto"/>
        <w:ind w:firstLine="480" w:firstLineChars="200"/>
        <w:rPr>
          <w:rFonts w:asciiTheme="minorEastAsia" w:hAnsiTheme="minorEastAsia"/>
          <w:sz w:val="24"/>
          <w:szCs w:val="24"/>
        </w:rPr>
      </w:pPr>
      <w:bookmarkStart w:id="12" w:name="_Toc28359004"/>
      <w:bookmarkStart w:id="13" w:name="_Toc28359081"/>
      <w:r>
        <w:rPr>
          <w:rFonts w:hint="eastAsia" w:asciiTheme="minorEastAsia" w:hAnsiTheme="minorEastAsia"/>
          <w:sz w:val="24"/>
          <w:szCs w:val="24"/>
        </w:rPr>
        <w:t>2.落实政府采购政策需满足的资格要求：无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3.本项目的特定资格要求：</w:t>
      </w:r>
      <w:bookmarkStart w:id="14" w:name="_Toc35393623"/>
      <w:bookmarkStart w:id="15" w:name="_Toc35393792"/>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（1）未被“信用中国”网站（www.creditchina.gov.cn）或“中国政府采购网”网站（www.ccgp.gov.cn）列入失信被执行人、重大税收违法案件当事人名单、政府采购严重失信行为记录名单；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（3）采购人的其他特定资格要求：无</w:t>
      </w:r>
      <w:r>
        <w:rPr>
          <w:rFonts w:asciiTheme="minorEastAsia" w:hAnsiTheme="minorEastAsia"/>
          <w:sz w:val="24"/>
          <w:szCs w:val="24"/>
        </w:rPr>
        <w:t xml:space="preserve"> </w:t>
      </w:r>
    </w:p>
    <w:p>
      <w:pPr>
        <w:spacing w:line="360" w:lineRule="auto"/>
        <w:ind w:firstLine="480" w:firstLineChars="200"/>
        <w:rPr>
          <w:b/>
          <w:bCs/>
          <w:sz w:val="24"/>
          <w:szCs w:val="24"/>
        </w:rPr>
      </w:pPr>
      <w:r>
        <w:rPr>
          <w:rFonts w:hint="eastAsia"/>
          <w:b/>
          <w:bCs/>
          <w:sz w:val="24"/>
          <w:szCs w:val="24"/>
        </w:rPr>
        <w:t>三、获取采购文件</w:t>
      </w:r>
      <w:bookmarkEnd w:id="12"/>
      <w:bookmarkEnd w:id="13"/>
      <w:bookmarkEnd w:id="14"/>
      <w:bookmarkEnd w:id="15"/>
    </w:p>
    <w:p>
      <w:pPr>
        <w:spacing w:line="360" w:lineRule="auto"/>
        <w:ind w:firstLine="480" w:firstLineChars="200"/>
        <w:rPr>
          <w:rFonts w:ascii="宋体" w:hAnsi="宋体" w:eastAsia="宋体"/>
          <w:bCs/>
          <w:sz w:val="24"/>
          <w:szCs w:val="24"/>
        </w:rPr>
      </w:pPr>
      <w:bookmarkStart w:id="16" w:name="_Toc28359005"/>
      <w:bookmarkStart w:id="17" w:name="_Toc28359082"/>
      <w:bookmarkStart w:id="18" w:name="_Toc35393793"/>
      <w:bookmarkStart w:id="19" w:name="_Toc35393624"/>
      <w:r>
        <w:rPr>
          <w:rFonts w:hint="eastAsia" w:ascii="宋体" w:hAnsi="宋体" w:eastAsia="宋体"/>
          <w:bCs/>
          <w:sz w:val="24"/>
          <w:szCs w:val="24"/>
        </w:rPr>
        <w:t>1．时间：2021年6月1日至2021年6月8日，正常工作日上午8:30至11:30，下午13:00至17:00（北京时间，周末、法定节假日除外）。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2．地点：常州市新北区汉江西路1</w:t>
      </w:r>
      <w:r>
        <w:rPr>
          <w:rFonts w:ascii="宋体" w:hAnsi="宋体" w:eastAsia="宋体"/>
          <w:bCs/>
          <w:sz w:val="24"/>
          <w:szCs w:val="24"/>
        </w:rPr>
        <w:t>18</w:t>
      </w:r>
      <w:r>
        <w:rPr>
          <w:rFonts w:hint="eastAsia" w:ascii="宋体" w:hAnsi="宋体" w:eastAsia="宋体"/>
          <w:bCs/>
          <w:sz w:val="24"/>
          <w:szCs w:val="24"/>
        </w:rPr>
        <w:t>号1号楼3楼 常州中采招投标有限公司。</w:t>
      </w:r>
    </w:p>
    <w:p>
      <w:pPr>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（2）投标人提供有效企业法人营业执照复印件加盖公章。</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（3）政府采购供应商信用承诺书（</w:t>
      </w:r>
      <w:r>
        <w:rPr>
          <w:rFonts w:hint="eastAsia" w:ascii="宋体" w:hAnsi="宋体" w:eastAsia="宋体"/>
          <w:b/>
          <w:bCs/>
          <w:sz w:val="24"/>
          <w:szCs w:val="24"/>
        </w:rPr>
        <w:t>格式见附件，法定代表人签字并加盖公章</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（1）现场领购：提供领购资料至常州市新北区汉江西路1</w:t>
      </w:r>
      <w:r>
        <w:rPr>
          <w:rFonts w:ascii="宋体" w:hAnsi="宋体" w:eastAsia="宋体"/>
          <w:bCs/>
          <w:sz w:val="24"/>
          <w:szCs w:val="24"/>
        </w:rPr>
        <w:t>18</w:t>
      </w:r>
      <w:r>
        <w:rPr>
          <w:rFonts w:hint="eastAsia" w:ascii="宋体" w:hAnsi="宋体" w:eastAsia="宋体"/>
          <w:bCs/>
          <w:sz w:val="24"/>
          <w:szCs w:val="24"/>
        </w:rPr>
        <w:t>号1号楼3楼常州中采招投标有限公司办理。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（2）网络领购：若无法现金交纳，请联系赵女士，电 话：0519-86661066。交纳成功后，将符合要求的领购资料扫描件和报名费交纳凭证一并发送至邮箱：</w:t>
      </w:r>
      <w:r>
        <w:rPr>
          <w:rFonts w:ascii="宋体" w:hAnsi="宋体" w:eastAsia="宋体"/>
          <w:bCs/>
          <w:sz w:val="24"/>
          <w:szCs w:val="24"/>
        </w:rPr>
        <w:t>czzczb@126.com</w:t>
      </w:r>
      <w:r>
        <w:rPr>
          <w:rFonts w:hint="eastAsia" w:ascii="宋体" w:hAnsi="宋体" w:eastAsia="宋体"/>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 xml:space="preserve"> 售价：人民币叁佰元整(现金交纳或以公司指定方式支付)，招标文件售后一概不退。</w:t>
      </w:r>
    </w:p>
    <w:p>
      <w:pPr>
        <w:spacing w:line="360" w:lineRule="auto"/>
        <w:ind w:firstLine="480" w:firstLineChars="200"/>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pPr>
        <w:snapToGrid w:val="0"/>
        <w:spacing w:line="360" w:lineRule="auto"/>
        <w:ind w:firstLine="480" w:firstLineChars="200"/>
        <w:rPr>
          <w:rFonts w:ascii="黑体" w:hAnsi="黑体" w:eastAsia="黑体"/>
          <w:sz w:val="24"/>
          <w:szCs w:val="24"/>
        </w:rPr>
      </w:pPr>
      <w:r>
        <w:rPr>
          <w:rFonts w:hint="eastAsia" w:ascii="宋体" w:hAnsi="宋体" w:eastAsia="宋体"/>
          <w:sz w:val="24"/>
          <w:szCs w:val="24"/>
        </w:rPr>
        <w:t>截止时间：</w:t>
      </w:r>
      <w:r>
        <w:rPr>
          <w:rFonts w:ascii="宋体" w:hAnsi="宋体" w:eastAsia="宋体"/>
          <w:bCs/>
          <w:sz w:val="24"/>
          <w:szCs w:val="24"/>
          <w:u w:val="single"/>
        </w:rPr>
        <w:t>20</w:t>
      </w:r>
      <w:r>
        <w:rPr>
          <w:rFonts w:hint="eastAsia" w:ascii="宋体" w:hAnsi="宋体" w:eastAsia="宋体"/>
          <w:bCs/>
          <w:sz w:val="24"/>
          <w:szCs w:val="24"/>
          <w:u w:val="single"/>
        </w:rPr>
        <w:t>21</w:t>
      </w:r>
      <w:r>
        <w:rPr>
          <w:rFonts w:ascii="宋体" w:hAnsi="宋体" w:eastAsia="宋体"/>
          <w:bCs/>
          <w:sz w:val="24"/>
          <w:szCs w:val="24"/>
          <w:u w:val="single"/>
        </w:rPr>
        <w:t>年</w:t>
      </w:r>
      <w:r>
        <w:rPr>
          <w:rFonts w:hint="eastAsia" w:ascii="宋体" w:hAnsi="宋体" w:eastAsia="宋体"/>
          <w:bCs/>
          <w:sz w:val="24"/>
          <w:szCs w:val="24"/>
          <w:u w:val="single"/>
        </w:rPr>
        <w:t>6</w:t>
      </w:r>
      <w:r>
        <w:rPr>
          <w:rFonts w:ascii="宋体" w:hAnsi="宋体" w:eastAsia="宋体"/>
          <w:bCs/>
          <w:sz w:val="24"/>
          <w:szCs w:val="24"/>
          <w:u w:val="single"/>
        </w:rPr>
        <w:t>月</w:t>
      </w:r>
      <w:r>
        <w:rPr>
          <w:rFonts w:hint="eastAsia" w:ascii="宋体" w:hAnsi="宋体" w:eastAsia="宋体"/>
          <w:bCs/>
          <w:sz w:val="24"/>
          <w:szCs w:val="24"/>
          <w:u w:val="single"/>
        </w:rPr>
        <w:t>16</w:t>
      </w:r>
      <w:r>
        <w:rPr>
          <w:rFonts w:ascii="宋体" w:hAnsi="宋体" w:eastAsia="宋体"/>
          <w:bCs/>
          <w:sz w:val="24"/>
          <w:szCs w:val="24"/>
          <w:u w:val="single"/>
        </w:rPr>
        <w:t>日</w:t>
      </w:r>
      <w:r>
        <w:rPr>
          <w:rFonts w:hint="eastAsia" w:ascii="宋体" w:hAnsi="宋体" w:eastAsia="宋体"/>
          <w:bCs/>
          <w:sz w:val="24"/>
          <w:szCs w:val="24"/>
          <w:u w:val="single"/>
        </w:rPr>
        <w:t>9</w:t>
      </w:r>
      <w:r>
        <w:rPr>
          <w:rFonts w:ascii="宋体" w:hAnsi="宋体" w:eastAsia="宋体"/>
          <w:bCs/>
          <w:sz w:val="24"/>
          <w:szCs w:val="24"/>
          <w:u w:val="single"/>
        </w:rPr>
        <w:t>点</w:t>
      </w:r>
      <w:r>
        <w:rPr>
          <w:rFonts w:hint="eastAsia" w:ascii="宋体" w:hAnsi="宋体" w:eastAsia="宋体"/>
          <w:bCs/>
          <w:sz w:val="24"/>
          <w:szCs w:val="24"/>
          <w:u w:val="single"/>
        </w:rPr>
        <w:t>30</w:t>
      </w:r>
      <w:r>
        <w:rPr>
          <w:rFonts w:ascii="宋体" w:hAnsi="宋体" w:eastAsia="宋体"/>
          <w:bCs/>
          <w:sz w:val="24"/>
          <w:szCs w:val="24"/>
          <w:u w:val="single"/>
        </w:rPr>
        <w:t>分</w:t>
      </w:r>
      <w:r>
        <w:rPr>
          <w:rFonts w:hint="eastAsia" w:ascii="宋体" w:hAnsi="宋体" w:eastAsia="宋体"/>
          <w:bCs/>
          <w:sz w:val="24"/>
          <w:szCs w:val="24"/>
        </w:rPr>
        <w:t>（北京时间）</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地点：</w:t>
      </w:r>
      <w:r>
        <w:rPr>
          <w:rFonts w:hint="eastAsia" w:ascii="宋体" w:hAnsi="宋体" w:eastAsia="宋体"/>
          <w:bCs/>
          <w:sz w:val="24"/>
          <w:szCs w:val="24"/>
        </w:rPr>
        <w:t>常州中采招投标有限公司</w:t>
      </w:r>
      <w:r>
        <w:rPr>
          <w:rFonts w:hint="eastAsia" w:ascii="宋体" w:hAnsi="宋体" w:eastAsia="宋体"/>
          <w:bCs/>
          <w:sz w:val="24"/>
          <w:szCs w:val="24"/>
          <w:u w:val="single"/>
        </w:rPr>
        <w:t xml:space="preserve">  302  </w:t>
      </w:r>
      <w:r>
        <w:rPr>
          <w:rFonts w:hint="eastAsia" w:ascii="宋体" w:hAnsi="宋体" w:eastAsia="宋体"/>
          <w:bCs/>
          <w:sz w:val="24"/>
          <w:szCs w:val="24"/>
        </w:rPr>
        <w:t>开标室。</w:t>
      </w:r>
    </w:p>
    <w:p>
      <w:pPr>
        <w:spacing w:line="360" w:lineRule="auto"/>
        <w:ind w:firstLine="480" w:firstLineChars="200"/>
        <w:rPr>
          <w:b/>
          <w:bCs/>
          <w:sz w:val="24"/>
          <w:szCs w:val="24"/>
        </w:rPr>
      </w:pPr>
      <w:bookmarkStart w:id="20" w:name="_Toc28359084"/>
      <w:bookmarkStart w:id="21" w:name="_Toc35393794"/>
      <w:bookmarkStart w:id="22" w:name="_Toc35393625"/>
      <w:bookmarkStart w:id="23" w:name="_Toc28359007"/>
      <w:r>
        <w:rPr>
          <w:rFonts w:hint="eastAsia"/>
          <w:b/>
          <w:bCs/>
          <w:sz w:val="24"/>
          <w:szCs w:val="24"/>
        </w:rPr>
        <w:t>五、开启</w:t>
      </w:r>
    </w:p>
    <w:p>
      <w:pPr>
        <w:spacing w:line="360" w:lineRule="auto"/>
        <w:ind w:firstLine="480" w:firstLineChars="200"/>
        <w:rPr>
          <w:bCs/>
          <w:sz w:val="24"/>
          <w:szCs w:val="24"/>
        </w:rPr>
      </w:pPr>
      <w:r>
        <w:rPr>
          <w:rFonts w:hint="eastAsia"/>
          <w:bCs/>
          <w:sz w:val="24"/>
          <w:szCs w:val="24"/>
        </w:rPr>
        <w:t>截止时间</w:t>
      </w:r>
      <w:r>
        <w:rPr>
          <w:rFonts w:hint="eastAsia" w:ascii="宋体" w:hAnsi="宋体" w:eastAsia="宋体"/>
          <w:bCs/>
          <w:sz w:val="24"/>
          <w:szCs w:val="24"/>
        </w:rPr>
        <w:t>：</w:t>
      </w:r>
      <w:r>
        <w:rPr>
          <w:rFonts w:hint="eastAsia" w:ascii="宋体" w:hAnsi="宋体" w:eastAsia="宋体"/>
          <w:bCs/>
          <w:sz w:val="24"/>
          <w:szCs w:val="24"/>
          <w:u w:val="single"/>
        </w:rPr>
        <w:t>2021</w:t>
      </w:r>
      <w:r>
        <w:rPr>
          <w:rFonts w:hint="eastAsia"/>
          <w:bCs/>
          <w:sz w:val="24"/>
          <w:szCs w:val="24"/>
          <w:u w:val="single"/>
        </w:rPr>
        <w:t>年6月16日9点30分</w:t>
      </w:r>
      <w:r>
        <w:rPr>
          <w:rFonts w:hint="eastAsia"/>
          <w:bCs/>
          <w:sz w:val="24"/>
          <w:szCs w:val="24"/>
        </w:rPr>
        <w:t>（北京时间）</w:t>
      </w:r>
    </w:p>
    <w:p>
      <w:pPr>
        <w:spacing w:line="360" w:lineRule="auto"/>
        <w:ind w:firstLine="480" w:firstLineChars="200"/>
        <w:rPr>
          <w:bCs/>
          <w:sz w:val="24"/>
          <w:szCs w:val="24"/>
        </w:rPr>
      </w:pPr>
      <w:r>
        <w:rPr>
          <w:rFonts w:hint="eastAsia"/>
          <w:bCs/>
          <w:sz w:val="24"/>
          <w:szCs w:val="24"/>
        </w:rPr>
        <w:t>地点：常州中采招投标有限公司</w:t>
      </w:r>
      <w:r>
        <w:rPr>
          <w:rFonts w:hint="eastAsia"/>
          <w:bCs/>
          <w:sz w:val="24"/>
          <w:szCs w:val="24"/>
          <w:u w:val="single"/>
        </w:rPr>
        <w:t xml:space="preserve"> </w:t>
      </w:r>
      <w:r>
        <w:rPr>
          <w:rFonts w:hint="eastAsia" w:ascii="宋体" w:hAnsi="宋体" w:eastAsia="宋体"/>
          <w:bCs/>
          <w:sz w:val="24"/>
          <w:szCs w:val="24"/>
          <w:u w:val="single"/>
        </w:rPr>
        <w:t xml:space="preserve"> 302 </w:t>
      </w:r>
      <w:r>
        <w:rPr>
          <w:rFonts w:hint="eastAsia"/>
          <w:bCs/>
          <w:sz w:val="24"/>
          <w:szCs w:val="24"/>
          <w:u w:val="single"/>
        </w:rPr>
        <w:t xml:space="preserve"> </w:t>
      </w:r>
      <w:r>
        <w:rPr>
          <w:rFonts w:hint="eastAsia"/>
          <w:bCs/>
          <w:sz w:val="24"/>
          <w:szCs w:val="24"/>
        </w:rPr>
        <w:t>开标室。</w:t>
      </w:r>
    </w:p>
    <w:p>
      <w:pPr>
        <w:spacing w:line="360" w:lineRule="auto"/>
        <w:ind w:firstLine="480" w:firstLineChars="200"/>
        <w:rPr>
          <w:b/>
          <w:bCs/>
          <w:sz w:val="24"/>
          <w:szCs w:val="24"/>
        </w:rPr>
      </w:pPr>
      <w:r>
        <w:rPr>
          <w:rFonts w:hint="eastAsia"/>
          <w:b/>
          <w:bCs/>
          <w:sz w:val="24"/>
          <w:szCs w:val="24"/>
        </w:rPr>
        <w:t>六、公告期限</w:t>
      </w:r>
      <w:bookmarkEnd w:id="20"/>
      <w:bookmarkEnd w:id="21"/>
      <w:bookmarkEnd w:id="22"/>
      <w:bookmarkEnd w:id="23"/>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自本公告发布之日起3个工作日。</w:t>
      </w:r>
    </w:p>
    <w:p>
      <w:pPr>
        <w:spacing w:line="360" w:lineRule="auto"/>
        <w:ind w:firstLine="480" w:firstLineChars="200"/>
        <w:rPr>
          <w:b/>
          <w:bCs/>
          <w:sz w:val="24"/>
          <w:szCs w:val="24"/>
        </w:rPr>
      </w:pPr>
      <w:bookmarkStart w:id="24" w:name="_Toc35393626"/>
      <w:bookmarkStart w:id="25" w:name="_Toc35393795"/>
      <w:r>
        <w:rPr>
          <w:rFonts w:hint="eastAsia"/>
          <w:b/>
          <w:bCs/>
          <w:sz w:val="24"/>
          <w:szCs w:val="24"/>
        </w:rPr>
        <w:t>七、其他补充事宜</w:t>
      </w:r>
      <w:bookmarkEnd w:id="24"/>
      <w:bookmarkEnd w:id="25"/>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现场踏勘：供应商自行踏勘现场。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疫情防控措施</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（1）对于参与开评标活动的投标人、采购人授权代表，应如实填报《疫情期间参与政府采购活动开评标人员健康信息登记表》（</w:t>
      </w:r>
      <w:r>
        <w:rPr>
          <w:rFonts w:hint="eastAsia" w:asciiTheme="minorEastAsia" w:hAnsiTheme="minorEastAsia"/>
          <w:b/>
          <w:sz w:val="24"/>
          <w:szCs w:val="24"/>
        </w:rPr>
        <w:t>格式见附件</w:t>
      </w:r>
      <w:r>
        <w:rPr>
          <w:rFonts w:hint="eastAsia" w:asciiTheme="minorEastAsia" w:hAnsiTheme="minorEastAsia"/>
          <w:sz w:val="24"/>
          <w:szCs w:val="24"/>
        </w:rPr>
        <w:t>）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（4）因防控工作需要，给采购当事人带来诸多不便，还望多多理解和予以配合。</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格式见附件)，否则不得享受相关中小企业扶持政策。</w:t>
      </w:r>
    </w:p>
    <w:p>
      <w:pPr>
        <w:spacing w:line="360" w:lineRule="auto"/>
        <w:ind w:firstLine="480" w:firstLineChars="200"/>
        <w:rPr>
          <w:b/>
          <w:bCs/>
          <w:sz w:val="24"/>
          <w:szCs w:val="24"/>
        </w:rPr>
      </w:pPr>
      <w:bookmarkStart w:id="26" w:name="_Toc28359085"/>
      <w:bookmarkStart w:id="27" w:name="_Toc35393627"/>
      <w:bookmarkStart w:id="28" w:name="_Toc35393796"/>
      <w:bookmarkStart w:id="29" w:name="_Toc28359008"/>
      <w:r>
        <w:rPr>
          <w:rFonts w:hint="eastAsia"/>
          <w:b/>
          <w:bCs/>
          <w:sz w:val="24"/>
          <w:szCs w:val="24"/>
        </w:rPr>
        <w:t>八、对本次采购提出询问，请按以下方式联系。</w:t>
      </w:r>
      <w:bookmarkEnd w:id="26"/>
      <w:bookmarkEnd w:id="27"/>
      <w:bookmarkEnd w:id="28"/>
      <w:bookmarkEnd w:id="29"/>
      <w:bookmarkStart w:id="30" w:name="_Toc35393786"/>
      <w:bookmarkStart w:id="31" w:name="_Toc28358998"/>
      <w:bookmarkStart w:id="32" w:name="_Toc35393617"/>
      <w:bookmarkStart w:id="33" w:name="_Toc28359075"/>
    </w:p>
    <w:bookmarkEnd w:id="30"/>
    <w:bookmarkEnd w:id="31"/>
    <w:bookmarkEnd w:id="32"/>
    <w:bookmarkEnd w:id="33"/>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 采购人信息</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名    称：常州旅游商贸高等职业技术学校</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地    址：常州市新北区红河路88号</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联系方式：吴老师0519-</w:t>
      </w:r>
      <w:r>
        <w:t xml:space="preserve"> </w:t>
      </w:r>
      <w:r>
        <w:rPr>
          <w:rFonts w:cs="宋体" w:asciiTheme="minorEastAsia" w:hAnsiTheme="minorEastAsia"/>
          <w:sz w:val="24"/>
          <w:szCs w:val="24"/>
        </w:rPr>
        <w:t>85922071</w:t>
      </w:r>
    </w:p>
    <w:p>
      <w:pPr>
        <w:widowControl/>
        <w:snapToGrid w:val="0"/>
        <w:spacing w:line="360" w:lineRule="auto"/>
        <w:ind w:firstLine="480" w:firstLineChars="200"/>
        <w:jc w:val="left"/>
        <w:rPr>
          <w:rFonts w:cs="宋体" w:asciiTheme="minorEastAsia" w:hAnsiTheme="minorEastAsia"/>
          <w:sz w:val="24"/>
          <w:szCs w:val="24"/>
        </w:rPr>
      </w:pPr>
      <w:bookmarkStart w:id="34" w:name="_Toc28358999"/>
      <w:bookmarkStart w:id="35" w:name="_Toc28359076"/>
      <w:bookmarkStart w:id="36" w:name="_Toc35393787"/>
      <w:bookmarkStart w:id="37" w:name="_Toc35393618"/>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4"/>
      <w:bookmarkEnd w:id="35"/>
      <w:bookmarkEnd w:id="36"/>
      <w:bookmarkEnd w:id="37"/>
      <w:bookmarkStart w:id="38" w:name="_Toc35393788"/>
      <w:bookmarkStart w:id="39" w:name="_Toc28359077"/>
      <w:bookmarkStart w:id="40" w:name="_Toc28359000"/>
      <w:bookmarkStart w:id="41" w:name="_Toc35393619"/>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址：常州市新北区汉江西路118号1号楼3楼</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8"/>
      <w:bookmarkEnd w:id="39"/>
      <w:bookmarkEnd w:id="40"/>
      <w:bookmarkEnd w:id="41"/>
      <w:bookmarkStart w:id="42" w:name="_Toc55147046"/>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项目联系人：刘女士</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电      话：</w:t>
      </w:r>
      <w:r>
        <w:rPr>
          <w:rFonts w:cs="宋体" w:asciiTheme="minorEastAsia" w:hAnsiTheme="minorEastAsia"/>
          <w:sz w:val="24"/>
          <w:szCs w:val="24"/>
        </w:rPr>
        <w:t>0519-8666106</w:t>
      </w:r>
      <w:r>
        <w:rPr>
          <w:rFonts w:hint="eastAsia" w:cs="宋体" w:asciiTheme="minorEastAsia" w:hAnsiTheme="minorEastAsia"/>
          <w:sz w:val="24"/>
          <w:szCs w:val="24"/>
        </w:rPr>
        <w:t>7</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jc w:val="left"/>
        <w:rPr>
          <w:rFonts w:cs="宋体" w:asciiTheme="minorEastAsia" w:hAnsiTheme="minorEastAsia"/>
          <w:sz w:val="24"/>
          <w:szCs w:val="24"/>
        </w:rPr>
      </w:pPr>
    </w:p>
    <w:p>
      <w:pPr>
        <w:pStyle w:val="122"/>
      </w:pPr>
      <w:bookmarkStart w:id="43" w:name="_Toc69219078"/>
      <w:r>
        <w:rPr>
          <w:rFonts w:hint="eastAsia"/>
        </w:rPr>
        <w:t>二．磋商须知</w:t>
      </w:r>
      <w:bookmarkEnd w:id="42"/>
      <w:bookmarkEnd w:id="43"/>
    </w:p>
    <w:p>
      <w:pPr>
        <w:spacing w:line="360" w:lineRule="auto"/>
        <w:ind w:firstLine="480"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0"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采购文件包括本文件目录所列全部内容，报价人应仔细阅读，并在响应文件中充分响应采购文件的所有要求。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采购文件中的“法定代表人”是指报价人的营业执照或相关部门的登记证明文件中的“法定代表人”或“负责人”。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报价人应在获取采购文件及有关资料后，按要求制作</w:t>
      </w:r>
      <w:r>
        <w:rPr>
          <w:rFonts w:hint="eastAsia" w:ascii="宋体" w:hAnsi="宋体"/>
          <w:sz w:val="24"/>
        </w:rPr>
        <w:t>投标文件</w:t>
      </w:r>
      <w:r>
        <w:rPr>
          <w:rFonts w:hint="eastAsia" w:ascii="宋体" w:hAnsi="宋体"/>
          <w:bCs/>
          <w:color w:val="000000"/>
          <w:sz w:val="24"/>
          <w:szCs w:val="24"/>
        </w:rPr>
        <w:t>，对采购文件各项内容做出实质性响应，否则报价无效。</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0"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0"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报价人在收到采购文件后，如有疑问需要询问和澄清，应在响应文件提交截止时间的15日前以书面形式向采购人提出，如无疑问,视作报价人完全响应采购文件的条款和要求。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采购人有权对已发出的采购文件进行必要的澄清或修改，可视具体情况延长响应文件提交截止时间，并以更正公告形式通知所有报价人。</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采购文件的修改和补充文件将作为采购文件的组成部分，并对报价人具有约束力。</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更正公告以常州中采招投标有限公司网（</w:t>
      </w:r>
      <w:r>
        <w:rPr>
          <w:rFonts w:ascii="宋体" w:hAnsi="宋体"/>
          <w:bCs/>
          <w:color w:val="000000" w:themeColor="text1"/>
          <w:sz w:val="24"/>
          <w:szCs w:val="24"/>
          <w14:textFill>
            <w14:solidFill>
              <w14:schemeClr w14:val="tx1"/>
            </w14:solidFill>
          </w14:textFill>
        </w:rPr>
        <w:t>http://www.czzczb.com/</w:t>
      </w:r>
      <w:r>
        <w:rPr>
          <w:rFonts w:hint="eastAsia" w:ascii="宋体" w:hAnsi="宋体"/>
          <w:bCs/>
          <w:color w:val="000000" w:themeColor="text1"/>
          <w:sz w:val="24"/>
          <w:szCs w:val="24"/>
          <w14:textFill>
            <w14:solidFill>
              <w14:schemeClr w14:val="tx1"/>
            </w14:solidFill>
          </w14:textFill>
        </w:rPr>
        <w:t>）所发布的为准。</w:t>
      </w:r>
    </w:p>
    <w:p>
      <w:pPr>
        <w:spacing w:line="360" w:lineRule="auto"/>
        <w:ind w:firstLine="480" w:firstLineChars="200"/>
        <w:rPr>
          <w:b/>
          <w:bCs/>
          <w:sz w:val="24"/>
          <w:szCs w:val="24"/>
        </w:rPr>
      </w:pPr>
      <w:r>
        <w:rPr>
          <w:rFonts w:hint="eastAsia"/>
          <w:b/>
          <w:bCs/>
          <w:sz w:val="24"/>
          <w:szCs w:val="24"/>
        </w:rPr>
        <w:t>五、响应文件的组成</w:t>
      </w:r>
    </w:p>
    <w:p>
      <w:pPr>
        <w:numPr>
          <w:ilvl w:val="0"/>
          <w:numId w:val="2"/>
        </w:numPr>
        <w:tabs>
          <w:tab w:val="left" w:pos="525"/>
          <w:tab w:val="left" w:pos="945"/>
        </w:tabs>
        <w:spacing w:line="360" w:lineRule="auto"/>
        <w:ind w:left="0"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投标人情况说明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投标人简介（含投标人规模、银行资信、技术能力及装备水平等）、人员情况、典型项目介绍。</w:t>
      </w:r>
    </w:p>
    <w:p>
      <w:pPr>
        <w:numPr>
          <w:ilvl w:val="0"/>
          <w:numId w:val="2"/>
        </w:numPr>
        <w:tabs>
          <w:tab w:val="left" w:pos="525"/>
          <w:tab w:val="left" w:pos="945"/>
          <w:tab w:val="clear" w:pos="630"/>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响应函（格式见附件）</w:t>
      </w:r>
    </w:p>
    <w:p>
      <w:pPr>
        <w:numPr>
          <w:ilvl w:val="0"/>
          <w:numId w:val="2"/>
        </w:numPr>
        <w:tabs>
          <w:tab w:val="left" w:pos="525"/>
          <w:tab w:val="left" w:pos="945"/>
          <w:tab w:val="clear" w:pos="630"/>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资格、资信证明文件：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（3）具有独立承担民事责任能力的报价人营业执照或相关部门的登记证明文件复印件；</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（4）报价人近三个月中任意一个月份(不含报价当月)为其法定代表人授权代表缴纳社保的证明（由相关主管部门出具，</w:t>
      </w:r>
      <w:r>
        <w:rPr>
          <w:rFonts w:hint="eastAsia" w:ascii="宋体" w:hAnsi="宋体"/>
          <w:b/>
          <w:bCs/>
          <w:color w:val="000000" w:themeColor="text1"/>
          <w:sz w:val="24"/>
          <w:szCs w:val="24"/>
          <w14:textFill>
            <w14:solidFill>
              <w14:schemeClr w14:val="tx1"/>
            </w14:solidFill>
          </w14:textFill>
        </w:rPr>
        <w:t>新成立公司除外、法定代表人亲自参加报价的除外</w:t>
      </w:r>
      <w:r>
        <w:rPr>
          <w:rFonts w:hint="eastAsia" w:ascii="宋体" w:hAnsi="宋体"/>
          <w:bCs/>
          <w:color w:val="000000" w:themeColor="text1"/>
          <w:sz w:val="24"/>
          <w:szCs w:val="24"/>
          <w14:textFill>
            <w14:solidFill>
              <w14:schemeClr w14:val="tx1"/>
            </w14:solidFill>
          </w14:textFill>
        </w:rPr>
        <w:t>）；</w:t>
      </w:r>
    </w:p>
    <w:p>
      <w:pPr>
        <w:tabs>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（5）报价人近三个月中任意一个月份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的财务状况报告（资产负债表和利润表）或由会计师事务所出具的近两年中任意一个年度的审计报告和所附已审财务报告</w:t>
      </w:r>
      <w:r>
        <w:rPr>
          <w:rFonts w:hint="eastAsia" w:ascii="宋体" w:hAnsi="宋体"/>
          <w:b/>
          <w:sz w:val="24"/>
        </w:rPr>
        <w:t>（复印件，成立不满一年不需提供）</w:t>
      </w:r>
      <w:r>
        <w:rPr>
          <w:rFonts w:hint="eastAsia" w:ascii="宋体" w:hAnsi="宋体"/>
          <w:bCs/>
          <w:color w:val="000000" w:themeColor="text1"/>
          <w:sz w:val="24"/>
          <w:szCs w:val="24"/>
          <w14:textFill>
            <w14:solidFill>
              <w14:schemeClr w14:val="tx1"/>
            </w14:solidFill>
          </w14:textFill>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（6）报价人近三个月中任意一个月份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的依法缴纳税收的相关材料（提供相关主管部门证明或银行代扣证明）；</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（7）报价人近三个月中任意一个月份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的依法缴纳社会保障资金的相关材料（提供相关主管部门证明或银行代扣证明）；</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（8）</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（9）参加政府采购活动前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（10）采购人要求的特定资质证明（</w:t>
      </w:r>
      <w:r>
        <w:rPr>
          <w:rFonts w:hint="eastAsia" w:ascii="宋体" w:hAnsi="宋体"/>
          <w:b/>
          <w:bCs/>
          <w:color w:val="000000" w:themeColor="text1"/>
          <w:sz w:val="24"/>
          <w:szCs w:val="24"/>
          <w14:textFill>
            <w14:solidFill>
              <w14:schemeClr w14:val="tx1"/>
            </w14:solidFill>
          </w14:textFill>
        </w:rPr>
        <w:t>详见“磋商邀请函”-“申请人的资格要求”）</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 w:val="clear" w:pos="630"/>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 w:val="clear" w:pos="630"/>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 w:val="clear" w:pos="630"/>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技术参数偏离表（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 w:val="clear" w:pos="630"/>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 w:val="clear" w:pos="630"/>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上述2-6项报价人必须按要求全部提供</w:t>
      </w:r>
      <w:r>
        <w:rPr>
          <w:rFonts w:hint="eastAsia" w:ascii="宋体" w:hAnsi="宋体"/>
          <w:b/>
          <w:bCs/>
          <w:color w:val="000000" w:themeColor="text1"/>
          <w:sz w:val="24"/>
          <w:szCs w:val="24"/>
          <w14:textFill>
            <w14:solidFill>
              <w14:schemeClr w14:val="tx1"/>
            </w14:solidFill>
          </w14:textFill>
        </w:rPr>
        <w:t>（如投标人组成联合体投标，参加联合体的各方均需提供）</w:t>
      </w:r>
      <w:r>
        <w:rPr>
          <w:rFonts w:hint="eastAsia" w:ascii="宋体" w:hAnsi="宋体"/>
          <w:bCs/>
          <w:color w:val="000000" w:themeColor="text1"/>
          <w:sz w:val="24"/>
          <w:szCs w:val="24"/>
          <w14:textFill>
            <w14:solidFill>
              <w14:schemeClr w14:val="tx1"/>
            </w14:solidFill>
          </w14:textFill>
        </w:rPr>
        <w:t>，否则响应文件无效。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如上述资格证明文件遇年检、换证，则必须提供法定年检、换证单位出具的有效证明复印件。如上述资格证明文件第</w:t>
      </w:r>
      <w:r>
        <w:rPr>
          <w:rFonts w:hint="eastAsia" w:ascii="宋体" w:hAnsi="宋体" w:cs="Tahoma"/>
          <w:color w:val="000000" w:themeColor="text1"/>
          <w:sz w:val="24"/>
          <w:szCs w:val="24"/>
          <w14:textFill>
            <w14:solidFill>
              <w14:schemeClr w14:val="tx1"/>
            </w14:solidFill>
          </w14:textFill>
        </w:rPr>
        <w:t>（4）（5）（6）（7）</w:t>
      </w:r>
      <w:r>
        <w:rPr>
          <w:rFonts w:hint="eastAsia" w:ascii="Tahoma" w:hAnsi="Tahoma" w:cs="Tahoma"/>
          <w:color w:val="000000" w:themeColor="text1"/>
          <w:sz w:val="24"/>
          <w:szCs w:val="24"/>
          <w14:textFill>
            <w14:solidFill>
              <w14:schemeClr w14:val="tx1"/>
            </w14:solidFill>
          </w14:textFill>
        </w:rPr>
        <w:t>四项遇有国家相关政策规定可不具备的，必须提供相关政策规定或相关单位出具的有效证明复印件。</w:t>
      </w:r>
      <w:r>
        <w:rPr>
          <w:rFonts w:hint="eastAsia" w:ascii="宋体" w:hAnsi="宋体"/>
          <w:bCs/>
          <w:color w:val="000000" w:themeColor="text1"/>
          <w:sz w:val="24"/>
          <w:szCs w:val="24"/>
          <w14:textFill>
            <w14:solidFill>
              <w14:schemeClr w14:val="tx1"/>
            </w14:solidFill>
          </w14:textFill>
        </w:rPr>
        <w:t>报价人法定代表人或法定代表人授权代表为外籍、港、澳、台地区人士的，其身份证明须提供有效的护照或港澳同胞来往内地通行证、台湾同胞来往大陆通行证，或其它可在中国大陆有效居留的许可证明。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 xml:space="preserve">1. </w:t>
      </w:r>
      <w:r>
        <w:rPr>
          <w:rFonts w:hint="eastAsia" w:ascii="宋体" w:hAnsi="宋体"/>
          <w:b/>
          <w:sz w:val="24"/>
        </w:rPr>
        <w:t>响应文件共一式叁份，“正本”壹份、“副本”贰份、“U盘”壹份</w:t>
      </w:r>
      <w:r>
        <w:rPr>
          <w:rFonts w:hint="eastAsia" w:ascii="宋体" w:hAnsi="宋体"/>
          <w:sz w:val="24"/>
        </w:rPr>
        <w:t>（电子文件中含全套正本磋商响应文件，未提供视为无效投标，U盘应单独密封，未提供视为无效投标）。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响应文件密封口须加盖报价人公章、法定代表人或授权委托人签字或盖章，封皮上写明采购编号、采购项目名称、报价人名称。所有响应文件都必须密封盖章。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如果报价人未按上述要求密封及加写标记，其响应文件将被拒收。采购代理机构对响应文件的误投和提前启封概不负责，对由此造成提前开封的响应文件，采购代理机构有权拒绝。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文件由报价人按要求如实填写，须有报价人（签章）、法定代表人或法定代表人授权代表签章，方为有效，未尽事宜可自行补充。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报价人报价一律以人民币为投标结算货币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0"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报价</w:t>
      </w:r>
      <w:r>
        <w:rPr>
          <w:rFonts w:hint="eastAsia" w:ascii="宋体" w:hAnsi="宋体"/>
          <w:bCs/>
          <w:color w:val="000000" w:themeColor="text1"/>
          <w:sz w:val="24"/>
          <w:szCs w:val="24"/>
          <w14:textFill>
            <w14:solidFill>
              <w14:schemeClr w14:val="tx1"/>
            </w14:solidFill>
          </w14:textFill>
        </w:rPr>
        <w:t>人有下列情况之一者，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文件未加盖报价人公章的；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代表人资格证明书或授权委托书未提供的、无报价人公章的、无法定代表人或委托代理人签字或盖章的、非原件的；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rPr>
          <w:rFonts w:hint="eastAsia"/>
        </w:rPr>
        <w:fldChar w:fldCharType="begin"/>
      </w:r>
      <w:r>
        <w:instrText xml:space="preserve"> HYPERLINK "http://www.creditchina.gov.cn" </w:instrText>
      </w:r>
      <w:r>
        <w:rPr>
          <w:rFonts w:hint="eastAsia"/>
        </w:rPr>
        <w:fldChar w:fldCharType="separate"/>
      </w:r>
      <w:r>
        <w:rPr>
          <w:rFonts w:hint="eastAsia" w:ascii="宋体" w:hAnsi="宋体"/>
          <w:bCs/>
          <w:color w:val="000000" w:themeColor="text1"/>
          <w:sz w:val="24"/>
          <w:szCs w:val="24"/>
          <w14:textFill>
            <w14:solidFill>
              <w14:schemeClr w14:val="tx1"/>
            </w14:solidFill>
          </w14:textFill>
        </w:rPr>
        <w:t>www.creditchina.gov.cn</w:t>
      </w:r>
      <w:r>
        <w:rPr>
          <w:rFonts w:hint="eastAsia"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）、中国政府采购网(www.ccgp.gov.cn)列入失信被执行人、重大税收违法案件当事人名单、</w:t>
      </w:r>
      <w:r>
        <w:rPr>
          <w:rFonts w:hint="eastAsia" w:ascii="宋体" w:hAnsi="宋体"/>
          <w:color w:val="000000" w:themeColor="text1"/>
          <w:sz w:val="24"/>
          <w:szCs w:val="24"/>
          <w14:textFill>
            <w14:solidFill>
              <w14:schemeClr w14:val="tx1"/>
            </w14:solidFill>
          </w14:textFill>
        </w:rPr>
        <w:t>政府采购严重违法失信行为记录名单的；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不同报价人委托同一单位或者个人办理报价事宜的；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不同报价人的单位负责人为同一人或者存在直接控股、管理关系的；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10.不同报价人的响应文件由同一单位或者同一个人编制的；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11.不同报价人响应文件内容存在非正常一致、项目组成员出现同一人、响应文件中错误（或异常）一致或雷同、报价呈规律性差异的；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12.不同报价人的报价资料相互混装、不同报价人的委托代理人、项目负责人以及其他相关人员有在同一个单位缴纳社会保险、同一响应文件中单位名称落款与公章不是同一单位的；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19.法律法规和采购文件规定的其它无效情形。</w:t>
      </w:r>
    </w:p>
    <w:p>
      <w:pPr>
        <w:spacing w:line="360" w:lineRule="auto"/>
        <w:ind w:firstLine="480" w:firstLineChars="200"/>
        <w:rPr>
          <w:b/>
          <w:bCs/>
          <w:sz w:val="24"/>
          <w:szCs w:val="24"/>
        </w:rPr>
      </w:pPr>
      <w:r>
        <w:rPr>
          <w:rFonts w:hint="eastAsia"/>
          <w:b/>
          <w:bCs/>
          <w:sz w:val="24"/>
          <w:szCs w:val="24"/>
        </w:rPr>
        <w:t>八、磋商、评审</w:t>
      </w:r>
    </w:p>
    <w:p>
      <w:pPr>
        <w:tabs>
          <w:tab w:val="left" w:pos="630"/>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磋商、评审工作由</w:t>
      </w:r>
      <w:r>
        <w:rPr>
          <w:rFonts w:hint="eastAsia" w:ascii="宋体" w:hAnsi="宋体"/>
          <w:sz w:val="24"/>
        </w:rPr>
        <w:t>采购代理机构</w:t>
      </w:r>
      <w:r>
        <w:rPr>
          <w:rFonts w:hint="eastAsia" w:ascii="宋体" w:hAnsi="宋体"/>
          <w:bCs/>
          <w:color w:val="000000"/>
          <w:sz w:val="24"/>
          <w:szCs w:val="24"/>
        </w:rPr>
        <w:t>负责组织。</w:t>
      </w:r>
    </w:p>
    <w:p>
      <w:pPr>
        <w:tabs>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具体磋商、评审事务由依法组建的磋商小组负责。如有争议最终由磋商小组认定。</w:t>
      </w:r>
    </w:p>
    <w:p>
      <w:pPr>
        <w:numPr>
          <w:ilvl w:val="1"/>
          <w:numId w:val="3"/>
        </w:numPr>
        <w:tabs>
          <w:tab w:val="left" w:pos="525"/>
          <w:tab w:val="left" w:pos="63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szCs w:val="24"/>
        </w:rPr>
        <w:t>响应文件的审查</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报价</w:t>
      </w:r>
      <w:r>
        <w:rPr>
          <w:rFonts w:hint="eastAsia" w:ascii="宋体" w:hAnsi="宋体"/>
          <w:bCs/>
          <w:color w:val="000000"/>
          <w:sz w:val="24"/>
          <w:szCs w:val="24"/>
        </w:rPr>
        <w:t>一览表</w:t>
      </w:r>
      <w:r>
        <w:rPr>
          <w:rFonts w:ascii="宋体" w:hAnsi="宋体"/>
          <w:bCs/>
          <w:color w:val="000000"/>
          <w:sz w:val="24"/>
          <w:szCs w:val="24"/>
        </w:rPr>
        <w:t>内容与明细表内容不一致的，以报价</w:t>
      </w:r>
      <w:r>
        <w:rPr>
          <w:rFonts w:hint="eastAsia" w:ascii="宋体" w:hAnsi="宋体"/>
          <w:bCs/>
          <w:color w:val="000000"/>
          <w:sz w:val="24"/>
          <w:szCs w:val="24"/>
        </w:rPr>
        <w:t>一览表</w:t>
      </w:r>
      <w:r>
        <w:rPr>
          <w:rFonts w:ascii="宋体" w:hAnsi="宋体"/>
          <w:bCs/>
          <w:color w:val="000000"/>
          <w:sz w:val="24"/>
          <w:szCs w:val="24"/>
        </w:rPr>
        <w:t>为准</w:t>
      </w:r>
      <w:r>
        <w:rPr>
          <w:rFonts w:hint="eastAsia" w:ascii="宋体" w:hAnsi="宋体"/>
          <w:bCs/>
          <w:color w:val="000000"/>
          <w:sz w:val="24"/>
          <w:szCs w:val="24"/>
        </w:rPr>
        <w:t>。</w:t>
      </w:r>
    </w:p>
    <w:p>
      <w:pPr>
        <w:tabs>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（2）正本与副本不符，以正本为准。</w:t>
      </w:r>
    </w:p>
    <w:p>
      <w:pPr>
        <w:numPr>
          <w:ilvl w:val="1"/>
          <w:numId w:val="3"/>
        </w:numPr>
        <w:tabs>
          <w:tab w:val="left" w:pos="525"/>
          <w:tab w:val="left" w:pos="84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rPr>
        <w:t>磋商、</w:t>
      </w:r>
      <w:r>
        <w:rPr>
          <w:rFonts w:ascii="宋体" w:hAnsi="宋体"/>
          <w:bCs/>
          <w:color w:val="000000"/>
          <w:sz w:val="24"/>
        </w:rPr>
        <w:t>评</w:t>
      </w:r>
      <w:r>
        <w:rPr>
          <w:rFonts w:hint="eastAsia" w:ascii="宋体" w:hAnsi="宋体"/>
          <w:bCs/>
          <w:color w:val="000000"/>
          <w:sz w:val="24"/>
        </w:rPr>
        <w:t>审</w:t>
      </w:r>
      <w:r>
        <w:rPr>
          <w:rFonts w:ascii="宋体" w:hAnsi="宋体"/>
          <w:bCs/>
          <w:color w:val="000000"/>
          <w:sz w:val="24"/>
        </w:rPr>
        <w:t>程序</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（1）</w:t>
      </w: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4"/>
        </w:numPr>
        <w:tabs>
          <w:tab w:val="left" w:pos="210"/>
          <w:tab w:val="left" w:pos="945"/>
          <w:tab w:val="left" w:pos="1365"/>
          <w:tab w:val="clear" w:pos="570"/>
        </w:tabs>
        <w:spacing w:line="360" w:lineRule="auto"/>
        <w:ind w:left="0" w:firstLine="480" w:firstLineChars="200"/>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磋商</w:t>
      </w:r>
      <w:r>
        <w:rPr>
          <w:rFonts w:ascii="宋体" w:hAnsi="宋体"/>
          <w:bCs/>
          <w:color w:val="000000"/>
          <w:sz w:val="24"/>
        </w:rPr>
        <w:t>保证金等进行审查</w:t>
      </w:r>
      <w:r>
        <w:rPr>
          <w:rFonts w:hint="eastAsia" w:ascii="宋体" w:hAnsi="宋体"/>
          <w:bCs/>
          <w:color w:val="000000"/>
          <w:sz w:val="24"/>
        </w:rPr>
        <w:t>；</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）查询报价供应商在报价截止时间之前，是否被列入</w:t>
      </w:r>
      <w:r>
        <w:rPr>
          <w:rFonts w:hint="eastAsia" w:ascii="宋体" w:hAnsi="宋体"/>
          <w:color w:val="000000"/>
          <w:sz w:val="24"/>
          <w:szCs w:val="24"/>
        </w:rPr>
        <w:t>失信被执行人、重大税收违法案件当事人名单、政府采购严重违法失信行为记录名单，</w:t>
      </w:r>
      <w:r>
        <w:rPr>
          <w:rFonts w:hint="eastAsia" w:ascii="宋体" w:hAnsi="宋体"/>
          <w:bCs/>
          <w:color w:val="000000"/>
          <w:sz w:val="24"/>
        </w:rPr>
        <w:t>以确定报价供应商是否具备报价资格。</w:t>
      </w:r>
    </w:p>
    <w:p>
      <w:pPr>
        <w:numPr>
          <w:ilvl w:val="0"/>
          <w:numId w:val="4"/>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（2）</w:t>
      </w:r>
      <w:r>
        <w:rPr>
          <w:rFonts w:ascii="宋体" w:hAnsi="宋体"/>
          <w:bCs/>
          <w:color w:val="000000"/>
          <w:sz w:val="24"/>
        </w:rPr>
        <w:t>澄清有关问题。对响应文件中含义不明确、同类问题表述不一致或者有明显文字和计算错误的内容，磋商小组可以书面形式（应当由磋商小组专家签字）要求报价人作出必要的澄清、说明或者纠正。报价人的澄清、说明或者补正应当采用书面形式，由其授权的代表签字</w:t>
      </w:r>
      <w:r>
        <w:rPr>
          <w:rFonts w:hint="eastAsia" w:ascii="宋体" w:hAnsi="宋体"/>
          <w:bCs/>
          <w:color w:val="000000"/>
          <w:sz w:val="24"/>
          <w:szCs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（3）磋商小组讨论、确定磋商程序和磋商内容。</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（4）磋商小组集中与单一供应商分别进行磋商。磋商轮次由磋商小组视情况决定。</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（5）</w:t>
      </w: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3. 评审方法</w:t>
      </w:r>
    </w:p>
    <w:p>
      <w:pPr>
        <w:tabs>
          <w:tab w:val="left" w:pos="900"/>
        </w:tabs>
        <w:spacing w:line="360" w:lineRule="auto"/>
        <w:ind w:firstLine="477" w:firstLineChars="199"/>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w:t>
      </w:r>
    </w:p>
    <w:p>
      <w:pPr>
        <w:tabs>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单位。若评审</w:t>
      </w:r>
      <w:r>
        <w:rPr>
          <w:rFonts w:ascii="宋体" w:hAnsi="宋体"/>
          <w:bCs/>
          <w:color w:val="000000"/>
          <w:sz w:val="24"/>
          <w:szCs w:val="24"/>
        </w:rPr>
        <w:t>得分相同</w:t>
      </w:r>
      <w:r>
        <w:rPr>
          <w:rFonts w:hint="eastAsia" w:ascii="宋体" w:hAnsi="宋体"/>
          <w:bCs/>
          <w:color w:val="000000"/>
          <w:sz w:val="24"/>
          <w:szCs w:val="24"/>
        </w:rPr>
        <w:t>的</w:t>
      </w:r>
      <w:r>
        <w:rPr>
          <w:rFonts w:ascii="宋体" w:hAnsi="宋体"/>
          <w:bCs/>
          <w:color w:val="000000"/>
          <w:sz w:val="24"/>
          <w:szCs w:val="24"/>
        </w:rPr>
        <w:t>，按</w:t>
      </w:r>
      <w:r>
        <w:rPr>
          <w:rFonts w:hint="eastAsia" w:ascii="宋体" w:hAnsi="宋体"/>
          <w:bCs/>
          <w:color w:val="000000"/>
          <w:sz w:val="24"/>
          <w:szCs w:val="24"/>
        </w:rPr>
        <w:t>最后</w:t>
      </w:r>
      <w:r>
        <w:rPr>
          <w:rFonts w:ascii="宋体" w:hAnsi="宋体"/>
          <w:bCs/>
          <w:color w:val="000000"/>
          <w:sz w:val="24"/>
          <w:szCs w:val="24"/>
        </w:rPr>
        <w:t>报价由低到高顺序排列</w:t>
      </w:r>
      <w:r>
        <w:rPr>
          <w:rFonts w:hint="eastAsia" w:ascii="宋体" w:hAnsi="宋体"/>
          <w:bCs/>
          <w:color w:val="000000"/>
          <w:sz w:val="24"/>
          <w:szCs w:val="24"/>
        </w:rPr>
        <w:t>；评审</w:t>
      </w:r>
      <w:r>
        <w:rPr>
          <w:rFonts w:ascii="宋体" w:hAnsi="宋体"/>
          <w:bCs/>
          <w:color w:val="000000"/>
          <w:sz w:val="24"/>
          <w:szCs w:val="24"/>
        </w:rPr>
        <w:t>得分且</w:t>
      </w:r>
      <w:r>
        <w:rPr>
          <w:rFonts w:hint="eastAsia" w:ascii="宋体" w:hAnsi="宋体"/>
          <w:bCs/>
          <w:color w:val="000000"/>
          <w:sz w:val="24"/>
          <w:szCs w:val="24"/>
        </w:rPr>
        <w:t>最后</w:t>
      </w:r>
      <w:r>
        <w:rPr>
          <w:rFonts w:ascii="宋体" w:hAnsi="宋体"/>
          <w:bCs/>
          <w:color w:val="000000"/>
          <w:sz w:val="24"/>
          <w:szCs w:val="24"/>
        </w:rPr>
        <w:t>报价相同</w:t>
      </w:r>
      <w:r>
        <w:rPr>
          <w:rFonts w:hint="eastAsia" w:ascii="宋体" w:hAnsi="宋体"/>
          <w:bCs/>
          <w:color w:val="000000"/>
          <w:sz w:val="24"/>
          <w:szCs w:val="24"/>
        </w:rPr>
        <w:t>的</w:t>
      </w:r>
      <w:r>
        <w:rPr>
          <w:rFonts w:ascii="宋体" w:hAnsi="宋体"/>
          <w:bCs/>
          <w:color w:val="000000"/>
          <w:sz w:val="24"/>
          <w:szCs w:val="24"/>
        </w:rPr>
        <w:t>，</w:t>
      </w:r>
      <w:r>
        <w:rPr>
          <w:rFonts w:hint="eastAsia" w:ascii="宋体" w:hAnsi="宋体"/>
          <w:bCs/>
          <w:color w:val="000000"/>
          <w:sz w:val="24"/>
          <w:szCs w:val="24"/>
        </w:rPr>
        <w:t>按</w:t>
      </w:r>
      <w:r>
        <w:rPr>
          <w:rFonts w:ascii="宋体" w:hAnsi="宋体"/>
          <w:bCs/>
          <w:color w:val="000000"/>
          <w:sz w:val="24"/>
          <w:szCs w:val="24"/>
        </w:rPr>
        <w:t>技术指标优劣顺序排列</w:t>
      </w:r>
      <w:r>
        <w:rPr>
          <w:rFonts w:hint="eastAsia" w:ascii="宋体" w:hAnsi="宋体"/>
          <w:bCs/>
          <w:color w:val="000000"/>
          <w:sz w:val="24"/>
          <w:szCs w:val="24"/>
        </w:rPr>
        <w:t>。</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4. 评分标准</w:t>
      </w:r>
    </w:p>
    <w:p>
      <w:pPr>
        <w:tabs>
          <w:tab w:val="left" w:pos="945"/>
        </w:tabs>
        <w:spacing w:line="360" w:lineRule="auto"/>
        <w:ind w:firstLine="480" w:firstLineChars="200"/>
        <w:rPr>
          <w:rFonts w:ascii="宋体" w:hAnsi="宋体"/>
          <w:bCs/>
          <w:sz w:val="24"/>
        </w:rPr>
      </w:pPr>
      <w:r>
        <w:rPr>
          <w:rFonts w:hint="eastAsia" w:ascii="宋体" w:hAnsi="宋体"/>
          <w:bCs/>
          <w:sz w:val="24"/>
        </w:rPr>
        <w:t>详见第五章 评分标准。</w:t>
      </w:r>
    </w:p>
    <w:p>
      <w:pPr>
        <w:spacing w:line="360" w:lineRule="auto"/>
        <w:ind w:firstLine="480"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磋商小组根据采购文件规定的评审方法和评分标准进行评审，按采购文件的要求依法确定成交供应商。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2. 采购代理机构</w:t>
      </w:r>
      <w:r>
        <w:rPr>
          <w:rFonts w:hint="eastAsia" w:ascii="宋体" w:hAnsi="宋体"/>
          <w:bCs/>
          <w:color w:val="000000"/>
          <w:sz w:val="24"/>
          <w:szCs w:val="24"/>
        </w:rPr>
        <w:t>将评审结果通知所有参加报价的未成交供应商，并在常州中采招投标有限公司网（</w:t>
      </w:r>
      <w:r>
        <w:rPr>
          <w:rFonts w:ascii="宋体" w:hAnsi="宋体"/>
          <w:bCs/>
          <w:color w:val="000000"/>
          <w:sz w:val="24"/>
          <w:szCs w:val="24"/>
        </w:rPr>
        <w:t>http://www.czzczb.com/</w:t>
      </w:r>
      <w:r>
        <w:rPr>
          <w:rFonts w:hint="eastAsia" w:ascii="宋体" w:hAnsi="宋体"/>
          <w:bCs/>
          <w:color w:val="000000"/>
          <w:sz w:val="24"/>
          <w:szCs w:val="24"/>
        </w:rPr>
        <w:t>）发布成交公告。</w:t>
      </w:r>
      <w:r>
        <w:rPr>
          <w:rFonts w:hint="eastAsia" w:ascii="宋体" w:hAnsi="宋体"/>
          <w:sz w:val="24"/>
        </w:rPr>
        <w:t>采购代理机构</w:t>
      </w:r>
      <w:r>
        <w:rPr>
          <w:rFonts w:hint="eastAsia" w:ascii="宋体" w:hAnsi="宋体"/>
          <w:bCs/>
          <w:color w:val="000000"/>
          <w:sz w:val="24"/>
          <w:szCs w:val="24"/>
        </w:rPr>
        <w:t>和磋商小组对未成交原因不做解释。如有质疑，应在</w:t>
      </w:r>
      <w:r>
        <w:rPr>
          <w:rFonts w:ascii="宋体" w:hAnsi="宋体"/>
          <w:bCs/>
          <w:color w:val="000000"/>
          <w:sz w:val="24"/>
          <w:szCs w:val="24"/>
        </w:rPr>
        <w:t>法定质疑期限</w:t>
      </w:r>
      <w:r>
        <w:rPr>
          <w:rFonts w:hint="eastAsia" w:ascii="宋体" w:hAnsi="宋体"/>
          <w:bCs/>
          <w:color w:val="000000"/>
          <w:sz w:val="24"/>
          <w:szCs w:val="24"/>
        </w:rPr>
        <w:t>内，即</w:t>
      </w:r>
      <w:r>
        <w:rPr>
          <w:rFonts w:hint="eastAsia" w:ascii="宋体" w:hAnsi="宋体"/>
          <w:color w:val="000000"/>
          <w:sz w:val="24"/>
          <w:szCs w:val="24"/>
        </w:rPr>
        <w:t>成交公告</w:t>
      </w:r>
      <w:r>
        <w:rPr>
          <w:rFonts w:hint="eastAsia" w:ascii="宋体" w:hAnsi="宋体" w:cs="宋体"/>
          <w:bCs/>
          <w:color w:val="000000"/>
          <w:kern w:val="0"/>
          <w:sz w:val="24"/>
        </w:rPr>
        <w:t>期限届满之日</w:t>
      </w:r>
      <w:r>
        <w:rPr>
          <w:rFonts w:hint="eastAsia" w:ascii="宋体" w:hAnsi="宋体"/>
          <w:color w:val="000000"/>
          <w:sz w:val="24"/>
          <w:szCs w:val="24"/>
        </w:rPr>
        <w:t>起</w:t>
      </w:r>
      <w:r>
        <w:rPr>
          <w:rFonts w:ascii="宋体" w:hAnsi="宋体"/>
          <w:color w:val="000000"/>
          <w:sz w:val="24"/>
          <w:szCs w:val="24"/>
        </w:rPr>
        <w:t>7</w:t>
      </w:r>
      <w:r>
        <w:rPr>
          <w:rFonts w:hint="eastAsia" w:ascii="宋体" w:hAnsi="宋体"/>
          <w:color w:val="000000"/>
          <w:sz w:val="24"/>
          <w:szCs w:val="24"/>
        </w:rPr>
        <w:t>个工作日</w:t>
      </w:r>
      <w:r>
        <w:rPr>
          <w:rFonts w:hint="eastAsia" w:ascii="宋体" w:hAnsi="宋体"/>
          <w:bCs/>
          <w:color w:val="000000"/>
          <w:sz w:val="24"/>
          <w:szCs w:val="24"/>
        </w:rPr>
        <w:t>内，以书面形式（原件）送达</w:t>
      </w:r>
      <w:r>
        <w:rPr>
          <w:rFonts w:hint="eastAsia" w:ascii="宋体" w:hAnsi="宋体"/>
          <w:sz w:val="24"/>
        </w:rPr>
        <w:t>采购代理机构</w:t>
      </w:r>
      <w:r>
        <w:rPr>
          <w:rFonts w:hint="eastAsia" w:ascii="宋体" w:hAnsi="宋体"/>
          <w:bCs/>
          <w:color w:val="000000"/>
          <w:sz w:val="24"/>
          <w:szCs w:val="24"/>
        </w:rPr>
        <w:t>，</w:t>
      </w:r>
      <w:r>
        <w:rPr>
          <w:rFonts w:hint="eastAsia" w:ascii="宋体" w:hAnsi="宋体"/>
          <w:bCs/>
          <w:sz w:val="24"/>
          <w:szCs w:val="24"/>
        </w:rPr>
        <w:t>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rPr>
        <w:t>采购代理机构</w:t>
      </w:r>
      <w:r>
        <w:rPr>
          <w:rFonts w:hint="eastAsia" w:ascii="宋体" w:hAnsi="宋体"/>
          <w:bCs/>
          <w:color w:val="000000"/>
          <w:sz w:val="24"/>
          <w:szCs w:val="24"/>
        </w:rPr>
        <w:t>将在收到符合上述要求的书面质疑后七个工作日内，对质疑内容做出答复。报价人在</w:t>
      </w:r>
      <w:r>
        <w:rPr>
          <w:rFonts w:ascii="宋体" w:hAnsi="宋体"/>
          <w:bCs/>
          <w:color w:val="000000"/>
          <w:sz w:val="24"/>
          <w:szCs w:val="24"/>
        </w:rPr>
        <w:t>法定质疑期限</w:t>
      </w:r>
      <w:r>
        <w:rPr>
          <w:rFonts w:hint="eastAsia" w:ascii="宋体" w:hAnsi="宋体"/>
          <w:bCs/>
          <w:color w:val="000000"/>
          <w:sz w:val="24"/>
          <w:szCs w:val="24"/>
        </w:rPr>
        <w:t>外送达的质疑函或</w:t>
      </w:r>
      <w:r>
        <w:rPr>
          <w:rFonts w:ascii="宋体" w:hAnsi="宋体"/>
          <w:bCs/>
          <w:color w:val="000000"/>
          <w:sz w:val="24"/>
          <w:szCs w:val="24"/>
        </w:rPr>
        <w:t>法定质疑期限</w:t>
      </w:r>
      <w:r>
        <w:rPr>
          <w:rFonts w:hint="eastAsia" w:ascii="宋体" w:hAnsi="宋体"/>
          <w:bCs/>
          <w:color w:val="000000"/>
          <w:sz w:val="24"/>
          <w:szCs w:val="24"/>
        </w:rPr>
        <w:t>内送达的</w:t>
      </w:r>
      <w:r>
        <w:rPr>
          <w:rFonts w:ascii="宋体" w:hAnsi="宋体"/>
          <w:bCs/>
          <w:color w:val="000000"/>
          <w:sz w:val="24"/>
          <w:szCs w:val="24"/>
        </w:rPr>
        <w:t>质疑函</w:t>
      </w:r>
      <w:r>
        <w:rPr>
          <w:rFonts w:hint="eastAsia" w:ascii="宋体" w:hAnsi="宋体"/>
          <w:bCs/>
          <w:color w:val="000000"/>
          <w:sz w:val="24"/>
          <w:szCs w:val="24"/>
        </w:rPr>
        <w:t>不符合上述要求</w:t>
      </w:r>
      <w:r>
        <w:rPr>
          <w:rFonts w:ascii="宋体" w:hAnsi="宋体"/>
          <w:bCs/>
          <w:color w:val="000000"/>
          <w:sz w:val="24"/>
          <w:szCs w:val="24"/>
        </w:rPr>
        <w:t>的</w:t>
      </w:r>
      <w:r>
        <w:rPr>
          <w:rFonts w:hint="eastAsia" w:ascii="宋体" w:hAnsi="宋体"/>
          <w:bCs/>
          <w:color w:val="000000"/>
          <w:sz w:val="24"/>
          <w:szCs w:val="24"/>
        </w:rPr>
        <w:t>均</w:t>
      </w:r>
      <w:r>
        <w:rPr>
          <w:rFonts w:ascii="宋体" w:hAnsi="宋体"/>
          <w:bCs/>
          <w:color w:val="000000"/>
          <w:sz w:val="24"/>
          <w:szCs w:val="24"/>
        </w:rPr>
        <w:t>为无效质疑</w:t>
      </w:r>
      <w:r>
        <w:rPr>
          <w:rFonts w:hint="eastAsia" w:ascii="宋体" w:hAnsi="宋体"/>
          <w:bCs/>
          <w:color w:val="000000"/>
          <w:sz w:val="24"/>
          <w:szCs w:val="24"/>
        </w:rPr>
        <w:t>，</w:t>
      </w:r>
      <w:r>
        <w:rPr>
          <w:rFonts w:hint="eastAsia" w:ascii="宋体" w:hAnsi="宋体"/>
          <w:sz w:val="24"/>
        </w:rPr>
        <w:t>采购代理机构</w:t>
      </w:r>
      <w:r>
        <w:rPr>
          <w:rFonts w:hint="eastAsia" w:ascii="宋体" w:hAnsi="宋体"/>
          <w:bCs/>
          <w:color w:val="000000"/>
          <w:sz w:val="24"/>
          <w:szCs w:val="24"/>
        </w:rPr>
        <w:t>对无效质疑不予受理。如质疑</w:t>
      </w:r>
      <w:r>
        <w:rPr>
          <w:rFonts w:ascii="宋体" w:hAnsi="宋体"/>
          <w:bCs/>
          <w:color w:val="000000"/>
          <w:sz w:val="24"/>
          <w:szCs w:val="24"/>
        </w:rPr>
        <w:t>查无实据</w:t>
      </w:r>
      <w:r>
        <w:rPr>
          <w:rFonts w:hint="eastAsia" w:ascii="宋体" w:hAnsi="宋体"/>
          <w:bCs/>
          <w:color w:val="000000"/>
          <w:sz w:val="24"/>
          <w:szCs w:val="24"/>
        </w:rPr>
        <w:t>或报价人</w:t>
      </w:r>
      <w:r>
        <w:rPr>
          <w:rFonts w:ascii="宋体" w:hAnsi="宋体"/>
          <w:bCs/>
          <w:color w:val="000000"/>
          <w:sz w:val="24"/>
          <w:szCs w:val="24"/>
        </w:rPr>
        <w:t>捏造事实</w:t>
      </w:r>
      <w:r>
        <w:rPr>
          <w:rFonts w:hint="eastAsia" w:ascii="宋体" w:hAnsi="宋体"/>
          <w:bCs/>
          <w:color w:val="000000"/>
          <w:sz w:val="24"/>
          <w:szCs w:val="24"/>
        </w:rPr>
        <w:t>，</w:t>
      </w:r>
      <w:r>
        <w:rPr>
          <w:rFonts w:ascii="宋体" w:hAnsi="宋体"/>
          <w:bCs/>
          <w:color w:val="000000"/>
          <w:sz w:val="24"/>
          <w:szCs w:val="24"/>
        </w:rPr>
        <w:t>提供虚假材料进行恶意举报</w:t>
      </w:r>
      <w:r>
        <w:rPr>
          <w:rFonts w:hint="eastAsia" w:ascii="宋体" w:hAnsi="宋体"/>
          <w:bCs/>
          <w:color w:val="000000"/>
          <w:sz w:val="24"/>
          <w:szCs w:val="24"/>
        </w:rPr>
        <w:t>，</w:t>
      </w:r>
      <w:r>
        <w:rPr>
          <w:rFonts w:ascii="宋体" w:hAnsi="宋体"/>
          <w:bCs/>
          <w:color w:val="000000"/>
          <w:sz w:val="24"/>
          <w:szCs w:val="24"/>
        </w:rPr>
        <w:t>不配合或采用不正当手段干扰政府采购质疑的</w:t>
      </w:r>
      <w:r>
        <w:rPr>
          <w:rFonts w:hint="eastAsia" w:ascii="宋体" w:hAnsi="宋体"/>
          <w:bCs/>
          <w:color w:val="000000"/>
          <w:sz w:val="24"/>
          <w:szCs w:val="24"/>
        </w:rPr>
        <w:t>，将记入报价人在江苏省和常州市的政府采购“供应商</w:t>
      </w:r>
      <w:r>
        <w:rPr>
          <w:rFonts w:ascii="宋体" w:hAnsi="宋体"/>
          <w:bCs/>
          <w:color w:val="000000"/>
          <w:sz w:val="24"/>
          <w:szCs w:val="24"/>
        </w:rPr>
        <w:t>诚信</w:t>
      </w:r>
      <w:r>
        <w:rPr>
          <w:rFonts w:hint="eastAsia" w:ascii="宋体" w:hAnsi="宋体"/>
          <w:bCs/>
          <w:color w:val="000000"/>
          <w:sz w:val="24"/>
          <w:szCs w:val="24"/>
        </w:rPr>
        <w:t>记录”，并按相关规定处理。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0"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在竞争性磋商采购中，出现下列情况之一的，本次采购活动终止：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因情况变化，不再符合规定的竞争性磋商采购方式适用情形的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除《</w:t>
      </w:r>
      <w:r>
        <w:rPr>
          <w:rFonts w:ascii="宋体" w:hAnsi="宋体"/>
          <w:bCs/>
          <w:color w:val="000000"/>
          <w:sz w:val="24"/>
          <w:szCs w:val="24"/>
        </w:rPr>
        <w:t>政府采购</w:t>
      </w:r>
      <w:r>
        <w:rPr>
          <w:rFonts w:hint="eastAsia" w:ascii="宋体" w:hAnsi="宋体"/>
          <w:bCs/>
          <w:color w:val="000000"/>
          <w:sz w:val="24"/>
          <w:szCs w:val="24"/>
        </w:rPr>
        <w:t>竞争性磋商</w:t>
      </w:r>
      <w:r>
        <w:rPr>
          <w:rFonts w:ascii="宋体" w:hAnsi="宋体"/>
          <w:bCs/>
          <w:color w:val="000000"/>
          <w:sz w:val="24"/>
          <w:szCs w:val="24"/>
        </w:rPr>
        <w:t>采购方式管理</w:t>
      </w:r>
      <w:r>
        <w:rPr>
          <w:rFonts w:hint="eastAsia" w:ascii="宋体" w:hAnsi="宋体"/>
          <w:bCs/>
          <w:color w:val="000000"/>
          <w:sz w:val="24"/>
          <w:szCs w:val="24"/>
        </w:rPr>
        <w:t>暂行</w:t>
      </w:r>
      <w:r>
        <w:rPr>
          <w:rFonts w:ascii="宋体" w:hAnsi="宋体"/>
          <w:bCs/>
          <w:color w:val="000000"/>
          <w:sz w:val="24"/>
          <w:szCs w:val="24"/>
        </w:rPr>
        <w:t>办法</w:t>
      </w:r>
      <w:r>
        <w:rPr>
          <w:rFonts w:hint="eastAsia" w:ascii="宋体" w:hAnsi="宋体"/>
          <w:bCs/>
          <w:color w:val="000000"/>
          <w:sz w:val="24"/>
          <w:szCs w:val="24"/>
        </w:rPr>
        <w:t>》</w:t>
      </w:r>
      <w:r>
        <w:rPr>
          <w:rFonts w:ascii="宋体" w:hAnsi="宋体"/>
          <w:bCs/>
          <w:color w:val="000000"/>
          <w:sz w:val="24"/>
          <w:szCs w:val="24"/>
        </w:rPr>
        <w:t>第二十</w:t>
      </w:r>
      <w:r>
        <w:rPr>
          <w:rFonts w:hint="eastAsia" w:ascii="宋体" w:hAnsi="宋体"/>
          <w:bCs/>
          <w:color w:val="000000"/>
          <w:sz w:val="24"/>
          <w:szCs w:val="24"/>
        </w:rPr>
        <w:t>一</w:t>
      </w:r>
      <w:r>
        <w:rPr>
          <w:rFonts w:ascii="宋体" w:hAnsi="宋体"/>
          <w:bCs/>
          <w:color w:val="000000"/>
          <w:sz w:val="24"/>
          <w:szCs w:val="24"/>
        </w:rPr>
        <w:t>条第</w:t>
      </w:r>
      <w:r>
        <w:rPr>
          <w:rFonts w:hint="eastAsia" w:ascii="宋体" w:hAnsi="宋体"/>
          <w:bCs/>
          <w:color w:val="000000"/>
          <w:sz w:val="24"/>
          <w:szCs w:val="24"/>
        </w:rPr>
        <w:t>三</w:t>
      </w:r>
      <w:r>
        <w:rPr>
          <w:rFonts w:ascii="宋体" w:hAnsi="宋体"/>
          <w:bCs/>
          <w:color w:val="000000"/>
          <w:sz w:val="24"/>
          <w:szCs w:val="24"/>
        </w:rPr>
        <w:t>款</w:t>
      </w:r>
      <w:r>
        <w:rPr>
          <w:rFonts w:hint="eastAsia" w:ascii="宋体" w:hAnsi="宋体"/>
          <w:bCs/>
          <w:color w:val="000000"/>
          <w:sz w:val="24"/>
          <w:szCs w:val="24"/>
        </w:rPr>
        <w:t>和《财政部关于政府采购竞争性磋商采购方式管理暂行办法有关问题的补充通知》</w:t>
      </w:r>
      <w:r>
        <w:rPr>
          <w:rFonts w:ascii="宋体" w:hAnsi="宋体"/>
          <w:bCs/>
          <w:color w:val="000000"/>
          <w:sz w:val="24"/>
          <w:szCs w:val="24"/>
        </w:rPr>
        <w:t>规定的情形外</w:t>
      </w:r>
      <w:r>
        <w:rPr>
          <w:rFonts w:hint="eastAsia" w:ascii="宋体" w:hAnsi="宋体"/>
          <w:bCs/>
          <w:color w:val="000000"/>
          <w:sz w:val="24"/>
          <w:szCs w:val="24"/>
        </w:rPr>
        <w:t>，</w:t>
      </w:r>
      <w:r>
        <w:rPr>
          <w:rFonts w:ascii="宋体" w:hAnsi="宋体"/>
          <w:bCs/>
          <w:color w:val="000000"/>
          <w:sz w:val="24"/>
          <w:szCs w:val="24"/>
        </w:rPr>
        <w:t>在采购过程中符合要求的供应商或者报价未超过采购预算的供应商</w:t>
      </w:r>
      <w:r>
        <w:rPr>
          <w:rFonts w:hint="eastAsia" w:ascii="宋体" w:hAnsi="宋体"/>
          <w:bCs/>
          <w:color w:val="000000"/>
          <w:sz w:val="24"/>
          <w:szCs w:val="24"/>
        </w:rPr>
        <w:t>数量</w:t>
      </w:r>
      <w:r>
        <w:rPr>
          <w:rFonts w:ascii="宋体" w:hAnsi="宋体"/>
          <w:bCs/>
          <w:color w:val="000000"/>
          <w:sz w:val="24"/>
          <w:szCs w:val="24"/>
        </w:rPr>
        <w:t>不符合法律法规要求的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4. 在采购活动中因重大变故，采购任务取消的。</w:t>
      </w:r>
    </w:p>
    <w:p>
      <w:pPr>
        <w:spacing w:line="360" w:lineRule="auto"/>
        <w:ind w:firstLine="480" w:firstLineChars="200"/>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请政府采购管理部门作出相应处理。</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3. 成交供应商向采购人</w:t>
      </w:r>
      <w:r>
        <w:rPr>
          <w:rFonts w:hint="eastAsia" w:ascii="宋体" w:hAnsi="宋体" w:eastAsia="宋体"/>
          <w:bCs/>
          <w:sz w:val="24"/>
          <w:szCs w:val="24"/>
        </w:rPr>
        <w:t>交</w:t>
      </w:r>
      <w:r>
        <w:rPr>
          <w:rFonts w:hint="eastAsia" w:ascii="宋体" w:hAnsi="宋体"/>
          <w:bCs/>
          <w:sz w:val="24"/>
          <w:szCs w:val="24"/>
        </w:rPr>
        <w:t>纳的履约保证金不超过政府采购合同金额</w:t>
      </w:r>
      <w:r>
        <w:rPr>
          <w:rFonts w:hint="eastAsia" w:ascii="宋体" w:hAnsi="宋体" w:eastAsia="宋体"/>
          <w:bCs/>
          <w:sz w:val="24"/>
          <w:szCs w:val="24"/>
        </w:rPr>
        <w:t>的</w:t>
      </w:r>
      <w:r>
        <w:rPr>
          <w:rFonts w:ascii="宋体" w:hAnsi="宋体" w:eastAsia="宋体"/>
          <w:bCs/>
          <w:sz w:val="24"/>
          <w:szCs w:val="24"/>
        </w:rPr>
        <w:t>10%</w:t>
      </w:r>
      <w:r>
        <w:rPr>
          <w:rFonts w:hint="eastAsia" w:ascii="宋体" w:hAnsi="宋体"/>
          <w:bCs/>
          <w:sz w:val="24"/>
          <w:szCs w:val="24"/>
        </w:rPr>
        <w:t>。</w:t>
      </w:r>
      <w:r>
        <w:rPr>
          <w:rFonts w:hint="eastAsia" w:ascii="宋体" w:hAnsi="宋体"/>
          <w:bCs/>
          <w:sz w:val="24"/>
        </w:rPr>
        <w:t>收取履约保证金的，采购人应当与</w:t>
      </w:r>
      <w:r>
        <w:rPr>
          <w:rFonts w:hint="eastAsia" w:ascii="宋体" w:hAnsi="宋体"/>
          <w:bCs/>
          <w:sz w:val="24"/>
          <w:szCs w:val="24"/>
        </w:rPr>
        <w:t>成交</w:t>
      </w:r>
      <w:r>
        <w:rPr>
          <w:rFonts w:hint="eastAsia" w:ascii="宋体" w:hAnsi="宋体"/>
          <w:bCs/>
          <w:sz w:val="24"/>
        </w:rPr>
        <w:t>供应商在采购合同中约定履约保证金退还的方式、时间、条件和不予退还的情形，明确逾期退还履约保证金的违约责任。</w:t>
      </w:r>
    </w:p>
    <w:p>
      <w:pPr>
        <w:spacing w:line="360" w:lineRule="auto"/>
        <w:ind w:firstLine="480"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未按照采购文件确定的事项签订政府采购合同，或者与采购人另行订立背离合同实质性内容的协议的；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color w:val="000000"/>
          <w:sz w:val="24"/>
          <w:szCs w:val="24"/>
        </w:rPr>
        <w:t xml:space="preserve">3. </w:t>
      </w:r>
      <w:r>
        <w:rPr>
          <w:rFonts w:hint="eastAsia" w:ascii="宋体" w:hAnsi="宋体"/>
          <w:bCs/>
          <w:color w:val="000000"/>
          <w:sz w:val="24"/>
          <w:szCs w:val="24"/>
        </w:rPr>
        <w:t>拒绝履行合同义务的。</w:t>
      </w:r>
    </w:p>
    <w:p>
      <w:pPr>
        <w:spacing w:line="360" w:lineRule="auto"/>
        <w:ind w:firstLine="480" w:firstLineChars="200"/>
        <w:rPr>
          <w:b/>
          <w:bCs/>
          <w:sz w:val="24"/>
          <w:szCs w:val="24"/>
        </w:rPr>
      </w:pPr>
      <w:r>
        <w:rPr>
          <w:rFonts w:hint="eastAsia"/>
          <w:b/>
          <w:bCs/>
          <w:sz w:val="24"/>
          <w:szCs w:val="24"/>
        </w:rPr>
        <w:t>十三、成交服务费</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drawing>
          <wp:anchor distT="0" distB="0" distL="114300" distR="114300" simplePos="0" relativeHeight="251658240" behindDoc="0" locked="0" layoutInCell="1" allowOverlap="1">
            <wp:simplePos x="0" y="0"/>
            <wp:positionH relativeFrom="column">
              <wp:posOffset>630555</wp:posOffset>
            </wp:positionH>
            <wp:positionV relativeFrom="paragraph">
              <wp:posOffset>361315</wp:posOffset>
            </wp:positionV>
            <wp:extent cx="4924425" cy="2798445"/>
            <wp:effectExtent l="0" t="0" r="9525" b="1905"/>
            <wp:wrapTopAndBottom/>
            <wp:docPr id="24" name="图片 2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图示&#10;&#10;描述已自动生成"/>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924425" cy="2798445"/>
                    </a:xfrm>
                    <a:prstGeom prst="rect">
                      <a:avLst/>
                    </a:prstGeom>
                  </pic:spPr>
                </pic:pic>
              </a:graphicData>
            </a:graphic>
          </wp:anchor>
        </w:drawing>
      </w:r>
      <w:r>
        <w:rPr>
          <w:rFonts w:hint="eastAsia" w:ascii="宋体" w:hAnsi="宋体"/>
          <w:bCs/>
          <w:sz w:val="24"/>
          <w:szCs w:val="24"/>
        </w:rPr>
        <w:t>1. 采购代理服务费收费标准为：</w:t>
      </w:r>
    </w:p>
    <w:p>
      <w:pPr>
        <w:tabs>
          <w:tab w:val="left" w:pos="510"/>
          <w:tab w:val="left" w:pos="735"/>
          <w:tab w:val="left" w:pos="945"/>
          <w:tab w:val="left" w:pos="1155"/>
        </w:tabs>
        <w:spacing w:line="360" w:lineRule="auto"/>
        <w:ind w:firstLine="480" w:firstLineChars="200"/>
        <w:rPr>
          <w:rFonts w:ascii="宋体" w:hAnsi="宋体" w:eastAsia="宋体"/>
          <w:bCs/>
          <w:sz w:val="24"/>
          <w:szCs w:val="24"/>
        </w:rPr>
      </w:pPr>
      <w:r>
        <w:rPr>
          <w:rFonts w:hint="eastAsia" w:ascii="宋体" w:hAnsi="宋体" w:eastAsia="宋体"/>
          <w:b/>
          <w:bCs/>
          <w:sz w:val="24"/>
        </w:rPr>
        <w:t>备注：</w:t>
      </w:r>
      <w:r>
        <w:rPr>
          <w:rFonts w:hint="eastAsia" w:ascii="宋体" w:hAnsi="宋体" w:eastAsia="宋体"/>
          <w:sz w:val="24"/>
        </w:rPr>
        <w:t>收费比例按差额定率累进法计算，采购</w:t>
      </w:r>
      <w:r>
        <w:rPr>
          <w:rFonts w:ascii="宋体" w:hAnsi="宋体" w:eastAsia="宋体"/>
          <w:sz w:val="24"/>
        </w:rPr>
        <w:t>代理服务</w:t>
      </w:r>
      <w:r>
        <w:rPr>
          <w:rFonts w:hint="eastAsia" w:ascii="宋体" w:hAnsi="宋体" w:eastAsia="宋体"/>
          <w:sz w:val="24"/>
        </w:rPr>
        <w:t>费</w:t>
      </w:r>
      <w:r>
        <w:rPr>
          <w:rFonts w:ascii="宋体" w:hAnsi="宋体" w:eastAsia="宋体"/>
          <w:sz w:val="24"/>
        </w:rPr>
        <w:t>收费按上述计算方法不足人民币3000元的，按人民币3000元收取</w:t>
      </w:r>
      <w:r>
        <w:rPr>
          <w:rFonts w:hint="eastAsia" w:ascii="宋体" w:hAnsi="宋体" w:eastAsia="宋体"/>
          <w:sz w:val="24"/>
        </w:rPr>
        <w:t>。专家评审费按有关规定收取。</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w:t>
      </w:r>
      <w:r>
        <w:rPr>
          <w:rFonts w:hint="eastAsia" w:ascii="宋体" w:hAnsi="宋体" w:eastAsia="宋体"/>
          <w:bCs/>
          <w:sz w:val="24"/>
          <w:szCs w:val="24"/>
        </w:rPr>
        <w:t>交</w:t>
      </w:r>
      <w:r>
        <w:rPr>
          <w:rFonts w:hint="eastAsia" w:ascii="宋体" w:hAnsi="宋体"/>
          <w:bCs/>
          <w:sz w:val="24"/>
          <w:szCs w:val="24"/>
        </w:rPr>
        <w:t>纳采购代理服务费。</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735"/>
          <w:tab w:val="left" w:pos="945"/>
          <w:tab w:val="left" w:pos="1155"/>
        </w:tabs>
        <w:spacing w:line="360" w:lineRule="auto"/>
        <w:ind w:left="851" w:firstLine="240" w:firstLineChars="100"/>
        <w:rPr>
          <w:rFonts w:ascii="宋体" w:hAnsi="宋体"/>
          <w:bCs/>
          <w:sz w:val="24"/>
          <w:szCs w:val="24"/>
        </w:rPr>
      </w:pPr>
      <w:r>
        <w:rPr>
          <w:rFonts w:hint="eastAsia" w:ascii="宋体" w:hAnsi="宋体"/>
          <w:bCs/>
          <w:sz w:val="24"/>
          <w:szCs w:val="24"/>
        </w:rPr>
        <w:t>单位名称：常州中采招投标有限公司</w:t>
      </w:r>
    </w:p>
    <w:p>
      <w:pPr>
        <w:tabs>
          <w:tab w:val="left" w:pos="735"/>
          <w:tab w:val="left" w:pos="945"/>
          <w:tab w:val="left" w:pos="1155"/>
        </w:tabs>
        <w:spacing w:line="360" w:lineRule="auto"/>
        <w:ind w:left="851" w:firstLine="240" w:firstLineChars="1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left="851" w:firstLine="240" w:firstLineChars="100"/>
        <w:rPr>
          <w:rFonts w:ascii="宋体" w:hAnsi="宋体"/>
          <w:bCs/>
          <w:sz w:val="24"/>
          <w:szCs w:val="24"/>
        </w:rPr>
      </w:pPr>
      <w:r>
        <w:rPr>
          <w:rFonts w:hint="eastAsia" w:ascii="宋体" w:hAnsi="宋体"/>
          <w:bCs/>
          <w:sz w:val="24"/>
          <w:szCs w:val="24"/>
        </w:rPr>
        <w:t>开户行：建行常州惠民支行</w:t>
      </w:r>
    </w:p>
    <w:p>
      <w:pPr>
        <w:tabs>
          <w:tab w:val="left" w:pos="735"/>
          <w:tab w:val="left" w:pos="945"/>
          <w:tab w:val="left" w:pos="1155"/>
        </w:tabs>
        <w:spacing w:line="360" w:lineRule="auto"/>
        <w:ind w:firstLine="480" w:firstLineChars="200"/>
        <w:rPr>
          <w:b/>
          <w:bCs/>
          <w:sz w:val="24"/>
          <w:szCs w:val="24"/>
        </w:rPr>
      </w:pPr>
      <w:r>
        <w:rPr>
          <w:rFonts w:hint="eastAsia"/>
          <w:b/>
          <w:bCs/>
          <w:sz w:val="24"/>
          <w:szCs w:val="24"/>
        </w:rPr>
        <w:t>十四、政府采购政策功能</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根据《政府采购促进中小企业发展管理办法》(财库〔2020〕46号)的规定，中小企业在评审时享受扶持政策。</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1. 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2. 采购人、采购代理机构对于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 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pacing w:line="360" w:lineRule="auto"/>
        <w:ind w:firstLine="480" w:firstLineChars="200"/>
        <w:jc w:val="left"/>
        <w:rPr>
          <w:rFonts w:ascii="宋体" w:hAnsi="宋体"/>
          <w:bCs/>
          <w:sz w:val="24"/>
          <w:szCs w:val="24"/>
        </w:rPr>
      </w:pPr>
      <w:r>
        <w:rPr>
          <w:rFonts w:hint="eastAsia" w:ascii="宋体" w:hAnsi="宋体"/>
          <w:bCs/>
          <w:sz w:val="24"/>
          <w:szCs w:val="24"/>
        </w:rPr>
        <w:t>4. 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pStyle w:val="122"/>
      </w:pPr>
      <w:bookmarkStart w:id="44" w:name="_Toc69219079"/>
      <w:bookmarkStart w:id="45" w:name="_Toc55147047"/>
      <w:r>
        <w:rPr>
          <w:rFonts w:hint="eastAsia"/>
        </w:rPr>
        <w:t>三．项目技术要求和有关说明</w:t>
      </w:r>
      <w:bookmarkEnd w:id="44"/>
      <w:bookmarkEnd w:id="45"/>
    </w:p>
    <w:p>
      <w:pPr>
        <w:adjustRightInd w:val="0"/>
        <w:snapToGrid w:val="0"/>
        <w:spacing w:line="360" w:lineRule="auto"/>
        <w:ind w:firstLine="480"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一、项目概况</w:t>
      </w:r>
    </w:p>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为满足校园管理需要，对原有门禁系统进行升级改造，更换原有门禁系统的读卡器、控制器和相关线路改造，改造后能在现有平台进行统一授权管理，同时能实现分部门分级管理。</w:t>
      </w:r>
    </w:p>
    <w:p>
      <w:pPr>
        <w:adjustRightInd w:val="0"/>
        <w:snapToGrid w:val="0"/>
        <w:spacing w:line="360" w:lineRule="auto"/>
        <w:ind w:firstLine="480"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二、采购清单</w:t>
      </w:r>
    </w:p>
    <w:tbl>
      <w:tblPr>
        <w:tblStyle w:val="3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00"/>
        <w:gridCol w:w="630"/>
        <w:gridCol w:w="70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序号</w:t>
            </w:r>
          </w:p>
        </w:tc>
        <w:tc>
          <w:tcPr>
            <w:tcW w:w="1200"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产品名称</w:t>
            </w:r>
          </w:p>
        </w:tc>
        <w:tc>
          <w:tcPr>
            <w:tcW w:w="630"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数量</w:t>
            </w:r>
          </w:p>
        </w:tc>
        <w:tc>
          <w:tcPr>
            <w:tcW w:w="705"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单位</w:t>
            </w:r>
          </w:p>
        </w:tc>
        <w:tc>
          <w:tcPr>
            <w:tcW w:w="5550"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200" w:type="dxa"/>
            <w:vAlign w:val="center"/>
          </w:tcPr>
          <w:p>
            <w:pPr>
              <w:jc w:val="center"/>
              <w:rPr>
                <w:rFonts w:asciiTheme="minorEastAsia" w:hAnsiTheme="minorEastAsia"/>
                <w:sz w:val="24"/>
                <w:szCs w:val="24"/>
              </w:rPr>
            </w:pPr>
            <w:r>
              <w:rPr>
                <w:rFonts w:hint="eastAsia" w:asciiTheme="minorEastAsia" w:hAnsiTheme="minorEastAsia"/>
                <w:sz w:val="24"/>
                <w:szCs w:val="24"/>
              </w:rPr>
              <w:t>门禁软件</w:t>
            </w:r>
          </w:p>
        </w:tc>
        <w:tc>
          <w:tcPr>
            <w:tcW w:w="630"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705" w:type="dxa"/>
            <w:vAlign w:val="center"/>
          </w:tcPr>
          <w:p>
            <w:pPr>
              <w:jc w:val="center"/>
              <w:rPr>
                <w:rFonts w:asciiTheme="minorEastAsia" w:hAnsiTheme="minorEastAsia"/>
                <w:sz w:val="24"/>
                <w:szCs w:val="24"/>
              </w:rPr>
            </w:pPr>
            <w:r>
              <w:rPr>
                <w:rFonts w:hint="eastAsia" w:asciiTheme="minorEastAsia" w:hAnsiTheme="minorEastAsia"/>
                <w:sz w:val="24"/>
                <w:szCs w:val="24"/>
              </w:rPr>
              <w:t>套</w:t>
            </w:r>
          </w:p>
        </w:tc>
        <w:tc>
          <w:tcPr>
            <w:tcW w:w="5550" w:type="dxa"/>
            <w:vAlign w:val="center"/>
          </w:tcPr>
          <w:p>
            <w:pPr>
              <w:numPr>
                <w:ilvl w:val="0"/>
                <w:numId w:val="5"/>
              </w:numPr>
              <w:spacing w:line="360" w:lineRule="exact"/>
              <w:jc w:val="left"/>
              <w:rPr>
                <w:rFonts w:cs="微软雅黑" w:asciiTheme="minorEastAsia" w:hAnsiTheme="minorEastAsia"/>
                <w:sz w:val="24"/>
                <w:szCs w:val="24"/>
              </w:rPr>
            </w:pPr>
            <w:r>
              <w:rPr>
                <w:rFonts w:hint="eastAsia" w:cs="宋体" w:asciiTheme="minorEastAsia" w:hAnsiTheme="minorEastAsia"/>
                <w:sz w:val="24"/>
                <w:szCs w:val="24"/>
              </w:rPr>
              <w:t>▲</w:t>
            </w:r>
            <w:r>
              <w:rPr>
                <w:rFonts w:hint="eastAsia" w:cs="微软雅黑" w:asciiTheme="minorEastAsia" w:hAnsiTheme="minorEastAsia"/>
                <w:sz w:val="24"/>
                <w:szCs w:val="24"/>
              </w:rPr>
              <w:t>分系管理，校内各系部门能管理本部门的门禁系统，且各系只能管理本部门，能对本部门下属门禁进行管理授权；</w:t>
            </w:r>
          </w:p>
          <w:p>
            <w:pPr>
              <w:numPr>
                <w:ilvl w:val="0"/>
                <w:numId w:val="5"/>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6级管理——共分为紧急、总控、楼控、服务员、学生和系统管理员6个管理层次；</w:t>
            </w:r>
          </w:p>
          <w:p>
            <w:pPr>
              <w:numPr>
                <w:ilvl w:val="0"/>
                <w:numId w:val="5"/>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各种不同权限和类型的卡片，即使在网络中断的情况下也能对正常开锁或对门锁进行初始化设置；</w:t>
            </w:r>
          </w:p>
          <w:p>
            <w:pPr>
              <w:numPr>
                <w:ilvl w:val="0"/>
                <w:numId w:val="5"/>
              </w:numPr>
              <w:spacing w:line="360" w:lineRule="exact"/>
              <w:jc w:val="left"/>
              <w:rPr>
                <w:rFonts w:cs="微软雅黑" w:asciiTheme="minorEastAsia" w:hAnsiTheme="minorEastAsia"/>
                <w:sz w:val="24"/>
                <w:szCs w:val="24"/>
              </w:rPr>
            </w:pPr>
            <w:r>
              <w:rPr>
                <w:rFonts w:hint="eastAsia" w:cs="宋体" w:asciiTheme="minorEastAsia" w:hAnsiTheme="minorEastAsia"/>
                <w:sz w:val="24"/>
                <w:szCs w:val="24"/>
              </w:rPr>
              <w:t>▲</w:t>
            </w:r>
            <w:r>
              <w:rPr>
                <w:rFonts w:hint="eastAsia" w:cs="微软雅黑" w:asciiTheme="minorEastAsia" w:hAnsiTheme="minorEastAsia"/>
                <w:sz w:val="24"/>
                <w:szCs w:val="24"/>
              </w:rPr>
              <w:t>限时功能——任意一张开锁卡均可设定有时间限制，超时则开锁功能无效；</w:t>
            </w:r>
          </w:p>
          <w:p>
            <w:pPr>
              <w:numPr>
                <w:ilvl w:val="0"/>
                <w:numId w:val="5"/>
              </w:numPr>
              <w:spacing w:line="360" w:lineRule="exact"/>
              <w:jc w:val="left"/>
              <w:rPr>
                <w:rFonts w:cs="微软雅黑" w:asciiTheme="minorEastAsia" w:hAnsiTheme="minorEastAsia"/>
                <w:sz w:val="24"/>
                <w:szCs w:val="24"/>
              </w:rPr>
            </w:pPr>
            <w:r>
              <w:rPr>
                <w:rFonts w:hint="eastAsia" w:cs="宋体" w:asciiTheme="minorEastAsia" w:hAnsiTheme="minorEastAsia"/>
                <w:sz w:val="24"/>
                <w:szCs w:val="24"/>
              </w:rPr>
              <w:t>▲</w:t>
            </w:r>
            <w:r>
              <w:rPr>
                <w:rFonts w:hint="eastAsia" w:cs="微软雅黑" w:asciiTheme="minorEastAsia" w:hAnsiTheme="minorEastAsia"/>
                <w:sz w:val="24"/>
                <w:szCs w:val="24"/>
              </w:rPr>
              <w:t>定时功能——任意一张开锁卡均可设定为在某一天内某一时间段有效而在其他时间段无效的卡片；</w:t>
            </w:r>
          </w:p>
          <w:p>
            <w:pPr>
              <w:numPr>
                <w:ilvl w:val="0"/>
                <w:numId w:val="5"/>
              </w:numPr>
              <w:spacing w:line="360" w:lineRule="exact"/>
              <w:jc w:val="left"/>
              <w:rPr>
                <w:rFonts w:cs="微软雅黑" w:asciiTheme="minorEastAsia" w:hAnsiTheme="minorEastAsia"/>
                <w:sz w:val="24"/>
                <w:szCs w:val="24"/>
              </w:rPr>
            </w:pPr>
            <w:r>
              <w:rPr>
                <w:rFonts w:hint="eastAsia" w:cs="宋体" w:asciiTheme="minorEastAsia" w:hAnsiTheme="minorEastAsia"/>
                <w:sz w:val="24"/>
                <w:szCs w:val="24"/>
              </w:rPr>
              <w:t>▲</w:t>
            </w:r>
            <w:r>
              <w:rPr>
                <w:rFonts w:hint="eastAsia" w:cs="微软雅黑" w:asciiTheme="minorEastAsia" w:hAnsiTheme="minorEastAsia"/>
                <w:sz w:val="24"/>
                <w:szCs w:val="24"/>
              </w:rPr>
              <w:t>通道功能——任意一把门锁均可设置为通道锁：房间通道、层通道、楼通道、总通道。</w:t>
            </w:r>
          </w:p>
          <w:p>
            <w:pPr>
              <w:numPr>
                <w:ilvl w:val="0"/>
                <w:numId w:val="5"/>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远程授权和注销功能：</w:t>
            </w:r>
          </w:p>
          <w:p>
            <w:pPr>
              <w:numPr>
                <w:ilvl w:val="0"/>
                <w:numId w:val="5"/>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授权——将原来无权开锁的卡片经系统授权后变为有权门锁的卡片；</w:t>
            </w:r>
          </w:p>
          <w:p>
            <w:pPr>
              <w:numPr>
                <w:ilvl w:val="0"/>
                <w:numId w:val="5"/>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注销——将原来有权开锁的卡片经系统注销后变为无权开锁的卡片，与授权功能相反。</w:t>
            </w:r>
          </w:p>
          <w:p>
            <w:pPr>
              <w:numPr>
                <w:ilvl w:val="0"/>
                <w:numId w:val="5"/>
              </w:numPr>
              <w:spacing w:line="360" w:lineRule="exact"/>
              <w:jc w:val="left"/>
              <w:rPr>
                <w:rFonts w:cs="微软雅黑" w:asciiTheme="minorEastAsia" w:hAnsiTheme="minorEastAsia"/>
                <w:sz w:val="24"/>
                <w:szCs w:val="24"/>
              </w:rPr>
            </w:pPr>
            <w:r>
              <w:rPr>
                <w:rFonts w:hint="eastAsia" w:cs="宋体" w:asciiTheme="minorEastAsia" w:hAnsiTheme="minorEastAsia"/>
                <w:sz w:val="24"/>
                <w:szCs w:val="24"/>
              </w:rPr>
              <w:t>▲</w:t>
            </w:r>
            <w:r>
              <w:rPr>
                <w:rFonts w:hint="eastAsia" w:cs="微软雅黑" w:asciiTheme="minorEastAsia" w:hAnsiTheme="minorEastAsia"/>
                <w:sz w:val="24"/>
                <w:szCs w:val="24"/>
              </w:rPr>
              <w:t>远程开锁和闭锁——管理软件可对系统内的全部或部分门锁进行远程开锁和闭锁操作；</w:t>
            </w:r>
          </w:p>
          <w:p>
            <w:pPr>
              <w:numPr>
                <w:ilvl w:val="0"/>
                <w:numId w:val="5"/>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联网门锁与管理电脑（或服务器）实时进行通信，通讯间隔时间不超过2秒钟；</w:t>
            </w:r>
          </w:p>
          <w:p>
            <w:pPr>
              <w:numPr>
                <w:ilvl w:val="0"/>
                <w:numId w:val="5"/>
              </w:numPr>
              <w:spacing w:line="360" w:lineRule="exact"/>
              <w:jc w:val="left"/>
              <w:rPr>
                <w:rFonts w:asciiTheme="minorEastAsia" w:hAnsiTheme="minorEastAsia"/>
                <w:sz w:val="24"/>
                <w:szCs w:val="24"/>
              </w:rPr>
            </w:pPr>
            <w:r>
              <w:rPr>
                <w:rFonts w:hint="eastAsia" w:cs="微软雅黑" w:asciiTheme="minorEastAsia" w:hAnsiTheme="minorEastAsia"/>
                <w:sz w:val="24"/>
                <w:szCs w:val="24"/>
              </w:rPr>
              <w:t>统管理软件实时监控门锁状态——开锁记录、门的开关状态等；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200" w:type="dxa"/>
            <w:vAlign w:val="center"/>
          </w:tcPr>
          <w:p>
            <w:pPr>
              <w:jc w:val="center"/>
              <w:rPr>
                <w:rFonts w:asciiTheme="minorEastAsia" w:hAnsiTheme="minorEastAsia"/>
                <w:sz w:val="24"/>
                <w:szCs w:val="24"/>
              </w:rPr>
            </w:pPr>
            <w:r>
              <w:rPr>
                <w:rFonts w:hint="eastAsia" w:asciiTheme="minorEastAsia" w:hAnsiTheme="minorEastAsia"/>
                <w:sz w:val="24"/>
                <w:szCs w:val="24"/>
              </w:rPr>
              <w:t>门禁控制器</w:t>
            </w:r>
          </w:p>
        </w:tc>
        <w:tc>
          <w:tcPr>
            <w:tcW w:w="630" w:type="dxa"/>
            <w:vAlign w:val="center"/>
          </w:tcPr>
          <w:p>
            <w:pPr>
              <w:jc w:val="center"/>
              <w:rPr>
                <w:rFonts w:asciiTheme="minorEastAsia" w:hAnsiTheme="minorEastAsia"/>
                <w:sz w:val="24"/>
                <w:szCs w:val="24"/>
              </w:rPr>
            </w:pPr>
            <w:r>
              <w:rPr>
                <w:rFonts w:hint="eastAsia" w:asciiTheme="minorEastAsia" w:hAnsiTheme="minorEastAsia"/>
                <w:sz w:val="24"/>
                <w:szCs w:val="24"/>
              </w:rPr>
              <w:t>42</w:t>
            </w:r>
          </w:p>
        </w:tc>
        <w:tc>
          <w:tcPr>
            <w:tcW w:w="705" w:type="dxa"/>
            <w:vAlign w:val="center"/>
          </w:tcPr>
          <w:p>
            <w:pPr>
              <w:jc w:val="center"/>
              <w:rPr>
                <w:rFonts w:asciiTheme="minorEastAsia" w:hAnsiTheme="minorEastAsia"/>
                <w:sz w:val="24"/>
                <w:szCs w:val="24"/>
              </w:rPr>
            </w:pPr>
            <w:r>
              <w:rPr>
                <w:rFonts w:hint="eastAsia" w:asciiTheme="minorEastAsia" w:hAnsiTheme="minorEastAsia"/>
                <w:sz w:val="24"/>
                <w:szCs w:val="24"/>
              </w:rPr>
              <w:t>台</w:t>
            </w:r>
          </w:p>
        </w:tc>
        <w:tc>
          <w:tcPr>
            <w:tcW w:w="5550" w:type="dxa"/>
            <w:vAlign w:val="center"/>
          </w:tcPr>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环境温度： -25℃～60℃；</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工作湿度：最大90%RH不凝露</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控制板工作电压：</w:t>
            </w:r>
            <w:r>
              <w:rPr>
                <w:rFonts w:hint="eastAsia" w:cs="微软雅黑" w:asciiTheme="minorEastAsia" w:hAnsiTheme="minorEastAsia"/>
                <w:sz w:val="24"/>
                <w:szCs w:val="24"/>
              </w:rPr>
              <w:tab/>
            </w:r>
            <w:r>
              <w:rPr>
                <w:rFonts w:hint="eastAsia" w:cs="微软雅黑" w:asciiTheme="minorEastAsia" w:hAnsiTheme="minorEastAsia"/>
                <w:sz w:val="24"/>
                <w:szCs w:val="24"/>
              </w:rPr>
              <w:t>DC12V(DC12～15V)；</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控制板工作电流：</w:t>
            </w:r>
            <w:r>
              <w:rPr>
                <w:rFonts w:hint="eastAsia" w:cs="微软雅黑" w:asciiTheme="minorEastAsia" w:hAnsiTheme="minorEastAsia"/>
                <w:sz w:val="24"/>
                <w:szCs w:val="24"/>
              </w:rPr>
              <w:tab/>
            </w:r>
            <w:r>
              <w:rPr>
                <w:rFonts w:hint="eastAsia" w:cs="微软雅黑" w:asciiTheme="minorEastAsia" w:hAnsiTheme="minorEastAsia"/>
                <w:sz w:val="24"/>
                <w:szCs w:val="24"/>
              </w:rPr>
              <w:t>＜100mA；</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以太网：</w:t>
            </w:r>
            <w:r>
              <w:rPr>
                <w:rFonts w:hint="eastAsia" w:cs="微软雅黑" w:asciiTheme="minorEastAsia" w:hAnsiTheme="minorEastAsia"/>
                <w:sz w:val="24"/>
                <w:szCs w:val="24"/>
              </w:rPr>
              <w:tab/>
            </w:r>
            <w:r>
              <w:rPr>
                <w:rFonts w:hint="eastAsia" w:cs="微软雅黑" w:asciiTheme="minorEastAsia" w:hAnsiTheme="minorEastAsia"/>
                <w:sz w:val="24"/>
                <w:szCs w:val="24"/>
              </w:rPr>
              <w:t>1路以太网10base-t标准，带产品识别码，支持广域网链接；</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RS485（防冲突）</w:t>
            </w:r>
            <w:r>
              <w:rPr>
                <w:rFonts w:hint="eastAsia" w:cs="微软雅黑" w:asciiTheme="minorEastAsia" w:hAnsiTheme="minorEastAsia"/>
                <w:sz w:val="24"/>
                <w:szCs w:val="24"/>
              </w:rPr>
              <w:tab/>
            </w:r>
            <w:r>
              <w:rPr>
                <w:rFonts w:hint="eastAsia" w:cs="微软雅黑" w:asciiTheme="minorEastAsia" w:hAnsiTheme="minorEastAsia"/>
                <w:sz w:val="24"/>
                <w:szCs w:val="24"/>
              </w:rPr>
              <w:t>1路 19200BPS，放冲突设计；</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IC卡读卡器BWM528</w:t>
            </w:r>
            <w:r>
              <w:rPr>
                <w:rFonts w:hint="eastAsia" w:cs="微软雅黑" w:asciiTheme="minorEastAsia" w:hAnsiTheme="minorEastAsia"/>
                <w:sz w:val="24"/>
                <w:szCs w:val="24"/>
              </w:rPr>
              <w:tab/>
            </w:r>
            <w:r>
              <w:rPr>
                <w:rFonts w:hint="eastAsia" w:cs="微软雅黑" w:asciiTheme="minorEastAsia" w:hAnsiTheme="minorEastAsia"/>
                <w:sz w:val="24"/>
                <w:szCs w:val="24"/>
              </w:rPr>
              <w:t>最多管理4台；RS485（防冲突）设计</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出入控制</w:t>
            </w:r>
            <w:r>
              <w:rPr>
                <w:rFonts w:hint="eastAsia" w:cs="微软雅黑" w:asciiTheme="minorEastAsia" w:hAnsiTheme="minorEastAsia"/>
                <w:sz w:val="24"/>
                <w:szCs w:val="24"/>
              </w:rPr>
              <w:tab/>
            </w:r>
            <w:r>
              <w:rPr>
                <w:rFonts w:hint="eastAsia" w:cs="微软雅黑" w:asciiTheme="minorEastAsia" w:hAnsiTheme="minorEastAsia"/>
                <w:sz w:val="24"/>
                <w:szCs w:val="24"/>
              </w:rPr>
              <w:t>2门，5A/门（双门双向/双门单向）</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开门按键</w:t>
            </w:r>
            <w:r>
              <w:rPr>
                <w:rFonts w:hint="eastAsia" w:cs="微软雅黑" w:asciiTheme="minorEastAsia" w:hAnsiTheme="minorEastAsia"/>
                <w:sz w:val="24"/>
                <w:szCs w:val="24"/>
              </w:rPr>
              <w:tab/>
            </w:r>
            <w:r>
              <w:rPr>
                <w:rFonts w:hint="eastAsia" w:cs="微软雅黑" w:asciiTheme="minorEastAsia" w:hAnsiTheme="minorEastAsia"/>
                <w:sz w:val="24"/>
                <w:szCs w:val="24"/>
              </w:rPr>
              <w:t>2路开关信号检测（光耦隔离）</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遥控（可选配）</w:t>
            </w:r>
            <w:r>
              <w:rPr>
                <w:rFonts w:hint="eastAsia" w:cs="微软雅黑" w:asciiTheme="minorEastAsia" w:hAnsiTheme="minorEastAsia"/>
                <w:sz w:val="24"/>
                <w:szCs w:val="24"/>
              </w:rPr>
              <w:tab/>
            </w:r>
            <w:r>
              <w:rPr>
                <w:rFonts w:hint="eastAsia" w:cs="微软雅黑" w:asciiTheme="minorEastAsia" w:hAnsiTheme="minorEastAsia"/>
                <w:sz w:val="24"/>
                <w:szCs w:val="24"/>
              </w:rPr>
              <w:t>2路电平信号检测（无线遥控模块）</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IC卡容量：65535张卡/门（带时限数据）</w:t>
            </w:r>
          </w:p>
          <w:p>
            <w:pPr>
              <w:numPr>
                <w:ilvl w:val="0"/>
                <w:numId w:val="6"/>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开门事件</w:t>
            </w:r>
            <w:r>
              <w:rPr>
                <w:rFonts w:hint="eastAsia" w:cs="微软雅黑" w:asciiTheme="minorEastAsia" w:hAnsiTheme="minorEastAsia"/>
                <w:sz w:val="24"/>
                <w:szCs w:val="24"/>
              </w:rPr>
              <w:tab/>
            </w:r>
            <w:r>
              <w:rPr>
                <w:rFonts w:hint="eastAsia" w:cs="微软雅黑" w:asciiTheme="minorEastAsia" w:hAnsiTheme="minorEastAsia"/>
                <w:sz w:val="24"/>
                <w:szCs w:val="24"/>
              </w:rPr>
              <w:t>360448条</w:t>
            </w:r>
          </w:p>
          <w:p>
            <w:pPr>
              <w:numPr>
                <w:ilvl w:val="0"/>
                <w:numId w:val="6"/>
              </w:numPr>
              <w:spacing w:line="360" w:lineRule="exact"/>
              <w:jc w:val="left"/>
              <w:rPr>
                <w:rFonts w:asciiTheme="minorEastAsia" w:hAnsiTheme="minorEastAsia"/>
                <w:sz w:val="24"/>
                <w:szCs w:val="24"/>
              </w:rPr>
            </w:pPr>
            <w:r>
              <w:rPr>
                <w:rFonts w:hint="eastAsia" w:cs="微软雅黑" w:asciiTheme="minorEastAsia" w:hAnsiTheme="minorEastAsia"/>
                <w:sz w:val="24"/>
                <w:szCs w:val="24"/>
              </w:rPr>
              <w:t>数据保存时间</w:t>
            </w:r>
            <w:r>
              <w:rPr>
                <w:rFonts w:hint="eastAsia" w:cs="微软雅黑" w:asciiTheme="minorEastAsia" w:hAnsiTheme="minorEastAsia"/>
                <w:sz w:val="24"/>
                <w:szCs w:val="24"/>
              </w:rPr>
              <w:tab/>
            </w:r>
            <w:r>
              <w:rPr>
                <w:rFonts w:hint="eastAsia" w:cs="微软雅黑" w:asciiTheme="minorEastAsia" w:hAnsiTheme="minorEastAsia"/>
                <w:sz w:val="24"/>
                <w:szCs w:val="24"/>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200" w:type="dxa"/>
            <w:vAlign w:val="center"/>
          </w:tcPr>
          <w:p>
            <w:pPr>
              <w:jc w:val="center"/>
              <w:rPr>
                <w:rFonts w:asciiTheme="minorEastAsia" w:hAnsiTheme="minorEastAsia"/>
                <w:sz w:val="24"/>
                <w:szCs w:val="24"/>
              </w:rPr>
            </w:pPr>
            <w:r>
              <w:rPr>
                <w:rFonts w:hint="eastAsia" w:asciiTheme="minorEastAsia" w:hAnsiTheme="minorEastAsia"/>
                <w:sz w:val="24"/>
                <w:szCs w:val="24"/>
              </w:rPr>
              <w:t>门禁读卡器</w:t>
            </w:r>
          </w:p>
        </w:tc>
        <w:tc>
          <w:tcPr>
            <w:tcW w:w="630" w:type="dxa"/>
            <w:vAlign w:val="center"/>
          </w:tcPr>
          <w:p>
            <w:pPr>
              <w:jc w:val="center"/>
              <w:rPr>
                <w:rFonts w:asciiTheme="minorEastAsia" w:hAnsiTheme="minorEastAsia"/>
                <w:sz w:val="24"/>
                <w:szCs w:val="24"/>
              </w:rPr>
            </w:pPr>
            <w:r>
              <w:rPr>
                <w:rFonts w:hint="eastAsia" w:asciiTheme="minorEastAsia" w:hAnsiTheme="minorEastAsia"/>
                <w:sz w:val="24"/>
                <w:szCs w:val="24"/>
              </w:rPr>
              <w:t>83</w:t>
            </w:r>
          </w:p>
        </w:tc>
        <w:tc>
          <w:tcPr>
            <w:tcW w:w="705" w:type="dxa"/>
            <w:vAlign w:val="center"/>
          </w:tcPr>
          <w:p>
            <w:pPr>
              <w:jc w:val="center"/>
              <w:rPr>
                <w:rFonts w:asciiTheme="minorEastAsia" w:hAnsiTheme="minorEastAsia"/>
                <w:sz w:val="24"/>
                <w:szCs w:val="24"/>
              </w:rPr>
            </w:pPr>
            <w:r>
              <w:rPr>
                <w:rFonts w:hint="eastAsia" w:asciiTheme="minorEastAsia" w:hAnsiTheme="minorEastAsia"/>
                <w:sz w:val="24"/>
                <w:szCs w:val="24"/>
              </w:rPr>
              <w:t>台</w:t>
            </w:r>
          </w:p>
        </w:tc>
        <w:tc>
          <w:tcPr>
            <w:tcW w:w="5550" w:type="dxa"/>
            <w:vAlign w:val="center"/>
          </w:tcPr>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输入电压：</w:t>
            </w:r>
            <w:r>
              <w:rPr>
                <w:rFonts w:hint="eastAsia" w:cs="微软雅黑" w:asciiTheme="minorEastAsia" w:hAnsiTheme="minorEastAsia"/>
                <w:sz w:val="24"/>
                <w:szCs w:val="24"/>
              </w:rPr>
              <w:tab/>
            </w:r>
            <w:r>
              <w:rPr>
                <w:rFonts w:hint="eastAsia" w:cs="微软雅黑" w:asciiTheme="minorEastAsia" w:hAnsiTheme="minorEastAsia"/>
                <w:sz w:val="24"/>
                <w:szCs w:val="24"/>
              </w:rPr>
              <w:t>DC12V(DC12～15V)；</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工作电流</w:t>
            </w:r>
            <w:r>
              <w:rPr>
                <w:rFonts w:hint="eastAsia" w:cs="微软雅黑" w:asciiTheme="minorEastAsia" w:hAnsiTheme="minorEastAsia"/>
                <w:sz w:val="24"/>
                <w:szCs w:val="24"/>
              </w:rPr>
              <w:tab/>
            </w:r>
            <w:r>
              <w:rPr>
                <w:rFonts w:hint="eastAsia" w:cs="微软雅黑" w:asciiTheme="minorEastAsia" w:hAnsiTheme="minorEastAsia"/>
                <w:sz w:val="24"/>
                <w:szCs w:val="24"/>
              </w:rPr>
              <w:t>：＜80mA；待机电流＜30mA</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环境温度</w:t>
            </w:r>
            <w:r>
              <w:rPr>
                <w:rFonts w:hint="eastAsia" w:cs="微软雅黑" w:asciiTheme="minorEastAsia" w:hAnsiTheme="minorEastAsia"/>
                <w:sz w:val="24"/>
                <w:szCs w:val="24"/>
              </w:rPr>
              <w:tab/>
            </w:r>
            <w:r>
              <w:rPr>
                <w:rFonts w:hint="eastAsia" w:cs="微软雅黑" w:asciiTheme="minorEastAsia" w:hAnsiTheme="minorEastAsia"/>
                <w:sz w:val="24"/>
                <w:szCs w:val="24"/>
              </w:rPr>
              <w:t>：-25℃～60℃；</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相对湿度</w:t>
            </w:r>
            <w:r>
              <w:rPr>
                <w:rFonts w:hint="eastAsia" w:cs="微软雅黑" w:asciiTheme="minorEastAsia" w:hAnsiTheme="minorEastAsia"/>
                <w:sz w:val="24"/>
                <w:szCs w:val="24"/>
              </w:rPr>
              <w:tab/>
            </w:r>
            <w:r>
              <w:rPr>
                <w:rFonts w:hint="eastAsia" w:cs="微软雅黑" w:asciiTheme="minorEastAsia" w:hAnsiTheme="minorEastAsia"/>
                <w:sz w:val="24"/>
                <w:szCs w:val="24"/>
              </w:rPr>
              <w:t>：最大90%RH不凝露</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报警提示</w:t>
            </w:r>
            <w:r>
              <w:rPr>
                <w:rFonts w:hint="eastAsia" w:cs="微软雅黑" w:asciiTheme="minorEastAsia" w:hAnsiTheme="minorEastAsia"/>
                <w:sz w:val="24"/>
                <w:szCs w:val="24"/>
              </w:rPr>
              <w:tab/>
            </w:r>
            <w:r>
              <w:rPr>
                <w:rFonts w:hint="eastAsia" w:cs="微软雅黑" w:asciiTheme="minorEastAsia" w:hAnsiTheme="minorEastAsia"/>
                <w:sz w:val="24"/>
                <w:szCs w:val="24"/>
              </w:rPr>
              <w:t>：蜂鸣器、LED灯</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通讯接口</w:t>
            </w:r>
            <w:r>
              <w:rPr>
                <w:rFonts w:hint="eastAsia" w:cs="微软雅黑" w:asciiTheme="minorEastAsia" w:hAnsiTheme="minorEastAsia"/>
                <w:sz w:val="24"/>
                <w:szCs w:val="24"/>
              </w:rPr>
              <w:tab/>
            </w:r>
            <w:r>
              <w:rPr>
                <w:rFonts w:hint="eastAsia" w:cs="微软雅黑" w:asciiTheme="minorEastAsia" w:hAnsiTheme="minorEastAsia"/>
                <w:sz w:val="24"/>
                <w:szCs w:val="24"/>
              </w:rPr>
              <w:t>：RS485（19200BPS，N，8，1）</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支持标准及卡片：ISO1443 A/支持非接触CPU卡；</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读卡距离</w:t>
            </w:r>
            <w:r>
              <w:rPr>
                <w:rFonts w:hint="eastAsia" w:cs="微软雅黑" w:asciiTheme="minorEastAsia" w:hAnsiTheme="minorEastAsia"/>
                <w:sz w:val="24"/>
                <w:szCs w:val="24"/>
              </w:rPr>
              <w:tab/>
            </w:r>
            <w:r>
              <w:rPr>
                <w:rFonts w:hint="eastAsia" w:cs="微软雅黑" w:asciiTheme="minorEastAsia" w:hAnsiTheme="minorEastAsia"/>
                <w:sz w:val="24"/>
                <w:szCs w:val="24"/>
              </w:rPr>
              <w:t>10～100mm（根据卡片类型、操作方式、应用环境，读卡距离不同，特别注意安装附近有金属材料干扰对读卡距离的影响）</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读卡时间</w:t>
            </w:r>
            <w:r>
              <w:rPr>
                <w:rFonts w:hint="eastAsia" w:cs="微软雅黑" w:asciiTheme="minorEastAsia" w:hAnsiTheme="minorEastAsia"/>
                <w:sz w:val="24"/>
                <w:szCs w:val="24"/>
              </w:rPr>
              <w:tab/>
            </w:r>
            <w:r>
              <w:rPr>
                <w:rFonts w:hint="eastAsia" w:cs="微软雅黑" w:asciiTheme="minorEastAsia" w:hAnsiTheme="minorEastAsia"/>
                <w:sz w:val="24"/>
                <w:szCs w:val="24"/>
              </w:rPr>
              <w:t>：&lt;300毫秒</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外形尺寸：</w:t>
            </w:r>
            <w:r>
              <w:rPr>
                <w:rFonts w:hint="eastAsia" w:cs="微软雅黑" w:asciiTheme="minorEastAsia" w:hAnsiTheme="minorEastAsia"/>
                <w:sz w:val="24"/>
                <w:szCs w:val="24"/>
              </w:rPr>
              <w:tab/>
            </w:r>
            <w:r>
              <w:rPr>
                <w:rFonts w:hint="eastAsia" w:cs="微软雅黑" w:asciiTheme="minorEastAsia" w:hAnsiTheme="minorEastAsia"/>
                <w:sz w:val="24"/>
                <w:szCs w:val="24"/>
              </w:rPr>
              <w:t>115*75*16 mm；</w:t>
            </w:r>
          </w:p>
          <w:p>
            <w:pPr>
              <w:numPr>
                <w:ilvl w:val="0"/>
                <w:numId w:val="7"/>
              </w:numPr>
              <w:spacing w:line="360" w:lineRule="exact"/>
              <w:jc w:val="left"/>
              <w:rPr>
                <w:rFonts w:cs="微软雅黑" w:asciiTheme="minorEastAsia" w:hAnsiTheme="minorEastAsia"/>
                <w:sz w:val="24"/>
                <w:szCs w:val="24"/>
              </w:rPr>
            </w:pPr>
            <w:r>
              <w:rPr>
                <w:rFonts w:hint="eastAsia" w:cs="微软雅黑" w:asciiTheme="minorEastAsia" w:hAnsiTheme="minorEastAsia"/>
                <w:sz w:val="24"/>
                <w:szCs w:val="24"/>
              </w:rPr>
              <w:t>重量</w:t>
            </w:r>
            <w:r>
              <w:rPr>
                <w:rFonts w:hint="eastAsia" w:cs="微软雅黑" w:asciiTheme="minorEastAsia" w:hAnsiTheme="minorEastAsia"/>
                <w:sz w:val="24"/>
                <w:szCs w:val="24"/>
              </w:rPr>
              <w:tab/>
            </w:r>
            <w:r>
              <w:rPr>
                <w:rFonts w:hint="eastAsia" w:cs="微软雅黑" w:asciiTheme="minorEastAsia" w:hAnsiTheme="minorEastAsia"/>
                <w:sz w:val="24"/>
                <w:szCs w:val="24"/>
              </w:rPr>
              <w:t>：150g；</w:t>
            </w:r>
          </w:p>
          <w:p>
            <w:pPr>
              <w:numPr>
                <w:ilvl w:val="0"/>
                <w:numId w:val="7"/>
              </w:numPr>
              <w:spacing w:line="360" w:lineRule="exact"/>
              <w:jc w:val="left"/>
              <w:rPr>
                <w:rFonts w:asciiTheme="minorEastAsia" w:hAnsiTheme="minorEastAsia"/>
                <w:sz w:val="24"/>
                <w:szCs w:val="24"/>
              </w:rPr>
            </w:pPr>
            <w:r>
              <w:rPr>
                <w:rFonts w:hint="eastAsia" w:cs="微软雅黑" w:asciiTheme="minorEastAsia" w:hAnsiTheme="minorEastAsia"/>
                <w:sz w:val="24"/>
                <w:szCs w:val="24"/>
              </w:rPr>
              <w:t>材质</w:t>
            </w:r>
            <w:r>
              <w:rPr>
                <w:rFonts w:hint="eastAsia" w:cs="微软雅黑" w:asciiTheme="minorEastAsia" w:hAnsiTheme="minorEastAsia"/>
                <w:sz w:val="24"/>
                <w:szCs w:val="24"/>
              </w:rPr>
              <w:tab/>
            </w:r>
            <w:r>
              <w:rPr>
                <w:rFonts w:hint="eastAsia" w:cs="微软雅黑" w:asciiTheme="minorEastAsia" w:hAnsiTheme="minorEastAsia"/>
                <w:sz w:val="24"/>
                <w:szCs w:val="24"/>
              </w:rPr>
              <w:t>PVC和喷塑材质；</w:t>
            </w:r>
          </w:p>
        </w:tc>
      </w:tr>
    </w:tbl>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注：</w:t>
      </w:r>
    </w:p>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eastAsia="宋体"/>
          <w:b/>
          <w:bCs/>
          <w:color w:val="000000" w:themeColor="text1"/>
          <w:sz w:val="24"/>
          <w:szCs w:val="24"/>
          <w:u w:val="single"/>
          <w14:textFill>
            <w14:solidFill>
              <w14:schemeClr w14:val="tx1"/>
            </w14:solidFill>
          </w14:textFill>
        </w:rPr>
        <w:t>上述打“▲”项内容为实质性要求和关键指标，不得负偏离，否则作无效响应。</w:t>
      </w:r>
    </w:p>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2.投标单位应提前对现场进行踏勘，投标产品需对接学校现有的一卡通平台（应提供原一卡通公司配合对接书面认可盖章承诺书</w:t>
      </w:r>
      <w:r>
        <w:rPr>
          <w:rFonts w:hint="eastAsia" w:ascii="宋体" w:hAnsi="宋体" w:eastAsia="宋体"/>
          <w:bCs/>
          <w:sz w:val="24"/>
          <w:szCs w:val="24"/>
        </w:rPr>
        <w:t>），同时还需无缝对接现有邦威门禁系统（学校 10 号楼、成长中心、餐厅），不更换校园卡、卡片不需要二次加密，在</w:t>
      </w:r>
      <w:r>
        <w:rPr>
          <w:rFonts w:hint="eastAsia" w:ascii="宋体" w:hAnsi="宋体" w:eastAsia="宋体"/>
          <w:bCs/>
          <w:color w:val="000000" w:themeColor="text1"/>
          <w:sz w:val="24"/>
          <w:szCs w:val="24"/>
          <w14:textFill>
            <w14:solidFill>
              <w14:schemeClr w14:val="tx1"/>
            </w14:solidFill>
          </w14:textFill>
        </w:rPr>
        <w:t>原有管理平台能进行统一授权和管理，报价应包含相关费用，学校不再支付因第三方配合、对接所产生的任何费用。</w:t>
      </w:r>
    </w:p>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3.保证学校的信息安全，不能泄露姓名、人脸等相关信息。</w:t>
      </w:r>
    </w:p>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4.产品不能有侵犯任何第三方知识产权等侵权行为。</w:t>
      </w:r>
    </w:p>
    <w:p>
      <w:pPr>
        <w:adjustRightInd w:val="0"/>
        <w:snapToGrid w:val="0"/>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sz w:val="24"/>
          <w:szCs w:val="24"/>
        </w:rPr>
        <w:t>5.产品需要提供公安部检测报告。</w:t>
      </w:r>
    </w:p>
    <w:p>
      <w:pPr>
        <w:spacing w:line="360" w:lineRule="auto"/>
        <w:ind w:firstLine="480"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三、项目要求</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1、供货期：自合同签订之日起至2021年8月31日前安装到位并验收合格。</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2、安装服务及要求</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（1）成交供应商必须在签订合同后5日内将详细施工方案（包含但不限于详细的平面设计图及设备安装图）报采购人审核后方能组织施工。</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（2）安装施工现场必须要有一名专业人员在场，以指导施工进行，并协同学校做好施工检测与验收；</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（3）安装时产生的任何垃圾、废料由成交供应商负责清理至校外。</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 xml:space="preserve">（4）安装施工前先同采购人沟通，确认施工安装时间后，在规定的时间到现场进行安装。成交供应商确保正常工作，若发生损坏，引起火灾、或安装不当造成人员受伤等负责事故，成交供应商赔偿相应的直接损失和间接损失。 </w:t>
      </w:r>
    </w:p>
    <w:p>
      <w:pPr>
        <w:spacing w:line="360" w:lineRule="auto"/>
        <w:ind w:firstLine="480"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四、服务要求</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1、保修年限、范围、保修条件</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（1）所售设备提供两年原厂免费质保。使用期内出现故障，必须在2小时到达现场，排查故障。</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（2）质保期外的维护，人为损坏的只收取相应的成本费（含人工费），维修期间影响使用的由成交供应商提供临时提供备用设备。</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2、提供设备的安装调试并培训相关人员后交付使用。</w:t>
      </w:r>
    </w:p>
    <w:p>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3、成交供应商定期（半年一次）对所提供设备进行免费调试及升级。</w:t>
      </w:r>
    </w:p>
    <w:p>
      <w:pPr>
        <w:spacing w:line="360" w:lineRule="auto"/>
        <w:ind w:firstLine="480"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五、支付方式</w:t>
      </w:r>
    </w:p>
    <w:p>
      <w:pPr>
        <w:snapToGrid w:val="0"/>
        <w:spacing w:line="560" w:lineRule="exact"/>
        <w:ind w:firstLine="480" w:firstLineChars="200"/>
        <w:rPr>
          <w:rFonts w:ascii="宋体" w:hAnsi="宋体"/>
          <w:sz w:val="24"/>
        </w:rPr>
      </w:pPr>
      <w:r>
        <w:rPr>
          <w:rFonts w:hint="eastAsia" w:ascii="宋体" w:hAnsi="宋体"/>
          <w:sz w:val="24"/>
        </w:rPr>
        <w:t>合同签订之日起，按照项目实施完成进行付款。每个项目安装调试完成后，由甲、乙、丙三方出具《项目验收报告》，丙方收到乙方开具的发票后，在30个工作日内支付该系统合同价格的95%；质保期满后，经甲方确认无重大质量问题，在30个工作日内支付该系统合同价格的5%。</w:t>
      </w:r>
    </w:p>
    <w:p>
      <w:pPr>
        <w:widowControl/>
        <w:jc w:val="left"/>
        <w:rPr>
          <w:rFonts w:ascii="黑体" w:eastAsia="黑体"/>
          <w:bCs/>
          <w:color w:val="000000" w:themeColor="text1"/>
          <w:sz w:val="28"/>
          <w:szCs w:val="28"/>
          <w14:textFill>
            <w14:solidFill>
              <w14:schemeClr w14:val="tx1"/>
            </w14:solidFill>
          </w14:textFill>
        </w:rPr>
      </w:pPr>
      <w:r>
        <w:rPr>
          <w:rFonts w:ascii="黑体" w:eastAsia="黑体"/>
          <w:bCs/>
          <w:color w:val="000000" w:themeColor="text1"/>
          <w:sz w:val="28"/>
          <w:szCs w:val="28"/>
          <w14:textFill>
            <w14:solidFill>
              <w14:schemeClr w14:val="tx1"/>
            </w14:solidFill>
          </w14:textFill>
        </w:rPr>
        <w:br w:type="page"/>
      </w:r>
    </w:p>
    <w:p>
      <w:pPr>
        <w:pStyle w:val="122"/>
      </w:pPr>
      <w:bookmarkStart w:id="46" w:name="_Toc55147048"/>
      <w:bookmarkStart w:id="47" w:name="_Toc69219080"/>
      <w:r>
        <w:rPr>
          <w:rFonts w:hint="eastAsia"/>
        </w:rPr>
        <w:t>四．</w:t>
      </w:r>
      <w:bookmarkEnd w:id="46"/>
      <w:r>
        <w:rPr>
          <w:rFonts w:hint="eastAsia"/>
        </w:rPr>
        <w:t>合同条款及格式</w:t>
      </w:r>
      <w:bookmarkEnd w:id="47"/>
    </w:p>
    <w:p>
      <w:pPr>
        <w:spacing w:line="480" w:lineRule="auto"/>
        <w:rPr>
          <w:rFonts w:ascii="黑体" w:hAnsi="黑体" w:eastAsia="黑体"/>
          <w:sz w:val="28"/>
          <w:szCs w:val="28"/>
          <w:u w:val="single"/>
        </w:rPr>
      </w:pPr>
      <w:bookmarkStart w:id="48" w:name="_Toc55147050"/>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rFonts w:ascii="仿宋" w:hAnsi="仿宋" w:eastAsia="仿宋"/>
          <w:sz w:val="30"/>
          <w:szCs w:val="30"/>
        </w:rPr>
      </w:pPr>
      <w:r>
        <w:rPr>
          <w:rFonts w:hint="eastAsia" w:ascii="仿宋" w:hAnsi="仿宋" w:eastAsia="仿宋"/>
          <w:sz w:val="30"/>
          <w:szCs w:val="30"/>
        </w:rPr>
        <w:t xml:space="preserve">参考格式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政府采购合同  </w:t>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rPr>
      </w:pPr>
      <w:r>
        <w:rPr>
          <w:rFonts w:hint="eastAsia" w:ascii="黑体" w:hAnsi="黑体" w:eastAsia="黑体"/>
          <w:sz w:val="32"/>
          <w:szCs w:val="28"/>
        </w:rPr>
        <w:t>项目名称：</w:t>
      </w:r>
      <w:r>
        <w:rPr>
          <w:rFonts w:hint="eastAsia" w:ascii="黑体" w:hAnsi="黑体" w:eastAsia="黑体"/>
          <w:sz w:val="32"/>
          <w:szCs w:val="28"/>
          <w:u w:val="single"/>
        </w:rPr>
        <w:t xml:space="preserve">                                   </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乙方：</w:t>
      </w:r>
      <w:r>
        <w:rPr>
          <w:rFonts w:hint="eastAsia" w:ascii="黑体" w:hAnsi="黑体" w:eastAsia="黑体"/>
          <w:sz w:val="32"/>
          <w:szCs w:val="28"/>
          <w:u w:val="single"/>
        </w:rPr>
        <w:t xml:space="preserve">                                       </w:t>
      </w:r>
    </w:p>
    <w:p>
      <w:pPr>
        <w:spacing w:before="120" w:line="240" w:lineRule="atLeast"/>
        <w:ind w:left="960"/>
        <w:rPr>
          <w:rFonts w:ascii="黑体" w:hAnsi="黑体" w:eastAsia="黑体"/>
          <w:sz w:val="32"/>
          <w:szCs w:val="28"/>
        </w:rPr>
      </w:pP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丙方：</w:t>
      </w:r>
      <w:r>
        <w:rPr>
          <w:rFonts w:hint="eastAsia" w:ascii="黑体" w:hAnsi="黑体" w:eastAsia="黑体"/>
          <w:sz w:val="32"/>
          <w:szCs w:val="28"/>
          <w:u w:val="single"/>
        </w:rPr>
        <w:t xml:space="preserve">中国农业银行股份有限公司常州分行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     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签订地：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1400" w:firstLineChars="500"/>
        <w:rPr>
          <w:rFonts w:ascii="黑体" w:hAnsi="黑体" w:eastAsia="黑体"/>
          <w:sz w:val="28"/>
        </w:rPr>
      </w:pPr>
      <w:r>
        <w:rPr>
          <w:rFonts w:hint="eastAsia" w:ascii="黑体" w:hAnsi="黑体" w:eastAsia="黑体"/>
          <w:sz w:val="28"/>
        </w:rPr>
        <w:t>签订日期：</w:t>
      </w:r>
      <w:r>
        <w:rPr>
          <w:rFonts w:hint="eastAsia" w:ascii="黑体" w:hAnsi="黑体" w:eastAsia="黑体"/>
          <w:sz w:val="28"/>
          <w:u w:val="single"/>
        </w:rPr>
        <w:t xml:space="preserve">               </w:t>
      </w:r>
      <w:r>
        <w:rPr>
          <w:rFonts w:hint="eastAsia" w:ascii="黑体" w:hAnsi="黑体" w:eastAsia="黑体"/>
          <w:sz w:val="28"/>
        </w:rPr>
        <w:t>年</w:t>
      </w:r>
      <w:r>
        <w:rPr>
          <w:rFonts w:hint="eastAsia" w:ascii="黑体" w:hAnsi="黑体" w:eastAsia="黑体"/>
          <w:sz w:val="28"/>
          <w:u w:val="single"/>
        </w:rPr>
        <w:t xml:space="preserve">       </w:t>
      </w:r>
      <w:r>
        <w:rPr>
          <w:rFonts w:hint="eastAsia" w:ascii="黑体" w:hAnsi="黑体" w:eastAsia="黑体"/>
          <w:sz w:val="28"/>
        </w:rPr>
        <w:t>月</w:t>
      </w:r>
      <w:r>
        <w:rPr>
          <w:rFonts w:hint="eastAsia" w:ascii="黑体" w:hAnsi="黑体" w:eastAsia="黑体"/>
          <w:sz w:val="28"/>
          <w:u w:val="single"/>
        </w:rPr>
        <w:t xml:space="preserve">       </w:t>
      </w:r>
      <w:r>
        <w:rPr>
          <w:rFonts w:hint="eastAsia" w:ascii="黑体" w:hAnsi="黑体" w:eastAsia="黑体"/>
          <w:sz w:val="28"/>
        </w:rPr>
        <w:t>日</w:t>
      </w:r>
    </w:p>
    <w:p>
      <w:pPr>
        <w:spacing w:before="120" w:line="240" w:lineRule="atLeast"/>
        <w:ind w:firstLine="1400" w:firstLineChars="500"/>
        <w:rPr>
          <w:rFonts w:ascii="黑体" w:hAnsi="黑体" w:eastAsia="黑体"/>
          <w:sz w:val="28"/>
        </w:rPr>
      </w:pPr>
    </w:p>
    <w:p>
      <w:pPr>
        <w:snapToGrid w:val="0"/>
        <w:spacing w:line="56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（采购人名称）   </w:t>
      </w:r>
      <w:r>
        <w:rPr>
          <w:rFonts w:hint="eastAsia" w:ascii="宋体" w:hAnsi="宋体"/>
          <w:sz w:val="24"/>
        </w:rPr>
        <w:t>以</w:t>
      </w:r>
      <w:r>
        <w:rPr>
          <w:rFonts w:hint="eastAsia" w:ascii="宋体" w:hAnsi="宋体"/>
          <w:sz w:val="24"/>
          <w:u w:val="single"/>
        </w:rPr>
        <w:t xml:space="preserve">   （采购方式）  </w:t>
      </w:r>
      <w:r>
        <w:rPr>
          <w:rFonts w:hint="eastAsia" w:ascii="宋体" w:hAnsi="宋体"/>
          <w:sz w:val="24"/>
        </w:rPr>
        <w:t>对</w:t>
      </w:r>
      <w:r>
        <w:rPr>
          <w:rFonts w:hint="eastAsia" w:ascii="宋体" w:hAnsi="宋体"/>
          <w:sz w:val="24"/>
          <w:u w:val="single"/>
        </w:rPr>
        <w:t xml:space="preserve">   （同前页项目名称）   </w:t>
      </w:r>
      <w:r>
        <w:rPr>
          <w:rFonts w:hint="eastAsia" w:ascii="宋体" w:hAnsi="宋体"/>
          <w:sz w:val="24"/>
        </w:rPr>
        <w:t>项目进行了采购。经评定，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w:t>
      </w:r>
      <w:r>
        <w:rPr>
          <w:rFonts w:hint="eastAsia" w:ascii="宋体" w:hAnsi="宋体"/>
          <w:sz w:val="24"/>
          <w:lang w:val="en-US" w:eastAsia="zh-CN"/>
        </w:rPr>
        <w:t xml:space="preserve"> </w:t>
      </w:r>
      <w:r>
        <w:rPr>
          <w:rFonts w:hint="eastAsia" w:ascii="宋体" w:hAnsi="宋体"/>
          <w:sz w:val="24"/>
        </w:rPr>
        <w:t>照采购文件确定的事项签订本合同。</w:t>
      </w:r>
    </w:p>
    <w:p>
      <w:pPr>
        <w:snapToGrid w:val="0"/>
        <w:spacing w:line="560" w:lineRule="exact"/>
        <w:ind w:firstLine="480" w:firstLineChars="200"/>
        <w:rPr>
          <w:rFonts w:ascii="宋体" w:hAnsi="宋体"/>
          <w:sz w:val="24"/>
        </w:rPr>
      </w:pPr>
      <w:r>
        <w:rPr>
          <w:rFonts w:hint="eastAsia" w:ascii="宋体" w:hAnsi="宋体"/>
          <w:sz w:val="24"/>
        </w:rPr>
        <w:t>根据《中华人民共和国合同法》、《中华人民共和国政府采购法》等相关法律法规之规定，按照平等、自愿、公平和诚实信用的原则，经</w:t>
      </w:r>
      <w:r>
        <w:rPr>
          <w:rFonts w:hint="eastAsia" w:ascii="宋体" w:hAnsi="宋体"/>
          <w:sz w:val="24"/>
          <w:u w:val="single"/>
        </w:rPr>
        <w:t xml:space="preserve">   （采购人名称）   </w:t>
      </w:r>
      <w:r>
        <w:rPr>
          <w:rFonts w:hint="eastAsia" w:ascii="宋体" w:hAnsi="宋体"/>
          <w:sz w:val="24"/>
        </w:rPr>
        <w:t>(以下简称：甲方)和</w:t>
      </w:r>
      <w:r>
        <w:rPr>
          <w:rFonts w:hint="eastAsia" w:ascii="宋体" w:hAnsi="宋体"/>
          <w:sz w:val="24"/>
          <w:u w:val="single"/>
        </w:rPr>
        <w:t xml:space="preserve">   （中标供应商名称）   </w:t>
      </w:r>
      <w:r>
        <w:rPr>
          <w:rFonts w:hint="eastAsia" w:ascii="宋体" w:hAnsi="宋体"/>
          <w:sz w:val="24"/>
        </w:rPr>
        <w:t>(以下简称：乙方)协商一致，约定以下合同条款，以兹共同遵守、全面履行。</w:t>
      </w:r>
    </w:p>
    <w:p>
      <w:pPr>
        <w:snapToGrid w:val="0"/>
        <w:spacing w:line="560" w:lineRule="exact"/>
        <w:ind w:firstLine="480" w:firstLineChars="200"/>
        <w:rPr>
          <w:rFonts w:ascii="宋体" w:hAnsi="宋体"/>
          <w:sz w:val="24"/>
        </w:rPr>
      </w:pPr>
      <w:bookmarkStart w:id="49" w:name="_Toc42074697"/>
      <w:r>
        <w:rPr>
          <w:rFonts w:hint="eastAsia" w:ascii="宋体" w:hAnsi="宋体"/>
          <w:sz w:val="24"/>
        </w:rPr>
        <w:t>第一条 合同组成部分</w:t>
      </w:r>
      <w:bookmarkEnd w:id="49"/>
    </w:p>
    <w:p>
      <w:pPr>
        <w:snapToGrid w:val="0"/>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560" w:lineRule="exact"/>
        <w:ind w:firstLine="480" w:firstLineChars="200"/>
        <w:rPr>
          <w:rFonts w:ascii="宋体" w:hAnsi="宋体"/>
          <w:sz w:val="24"/>
        </w:rPr>
      </w:pPr>
      <w:r>
        <w:rPr>
          <w:rFonts w:hint="eastAsia" w:ascii="宋体" w:hAnsi="宋体"/>
          <w:sz w:val="24"/>
        </w:rPr>
        <w:t>1. 本合同及其补充合同、变更协议；</w:t>
      </w:r>
    </w:p>
    <w:p>
      <w:pPr>
        <w:snapToGrid w:val="0"/>
        <w:spacing w:line="560" w:lineRule="exact"/>
        <w:ind w:firstLine="480" w:firstLineChars="200"/>
        <w:rPr>
          <w:rFonts w:ascii="宋体" w:hAnsi="宋体"/>
          <w:sz w:val="24"/>
        </w:rPr>
      </w:pPr>
      <w:r>
        <w:rPr>
          <w:rFonts w:hint="eastAsia" w:ascii="宋体" w:hAnsi="宋体"/>
          <w:sz w:val="24"/>
        </w:rPr>
        <w:t>2. 中标通知书（如有）；</w:t>
      </w:r>
    </w:p>
    <w:p>
      <w:pPr>
        <w:snapToGrid w:val="0"/>
        <w:spacing w:line="560" w:lineRule="exact"/>
        <w:ind w:firstLine="480" w:firstLineChars="200"/>
        <w:rPr>
          <w:rFonts w:ascii="宋体" w:hAnsi="宋体"/>
          <w:sz w:val="24"/>
        </w:rPr>
      </w:pPr>
      <w:r>
        <w:rPr>
          <w:rFonts w:hint="eastAsia" w:ascii="宋体" w:hAnsi="宋体"/>
          <w:sz w:val="24"/>
        </w:rPr>
        <w:t>3. 乙方提交的投标文件（含澄清或者说明文件）；</w:t>
      </w:r>
    </w:p>
    <w:p>
      <w:pPr>
        <w:snapToGrid w:val="0"/>
        <w:spacing w:line="560" w:lineRule="exact"/>
        <w:ind w:firstLine="480" w:firstLineChars="200"/>
        <w:rPr>
          <w:rFonts w:ascii="宋体" w:hAnsi="宋体"/>
          <w:sz w:val="24"/>
        </w:rPr>
      </w:pPr>
      <w:r>
        <w:rPr>
          <w:rFonts w:hint="eastAsia" w:ascii="宋体" w:hAnsi="宋体"/>
          <w:sz w:val="24"/>
        </w:rPr>
        <w:t>4. 招标文件（含澄清或者修改文件）；</w:t>
      </w:r>
    </w:p>
    <w:p>
      <w:pPr>
        <w:snapToGrid w:val="0"/>
        <w:spacing w:line="560" w:lineRule="exact"/>
        <w:ind w:firstLine="480" w:firstLineChars="200"/>
        <w:rPr>
          <w:rFonts w:ascii="宋体" w:hAnsi="宋体"/>
          <w:sz w:val="24"/>
        </w:rPr>
      </w:pPr>
      <w:r>
        <w:rPr>
          <w:rFonts w:hint="eastAsia" w:ascii="宋体" w:hAnsi="宋体"/>
          <w:sz w:val="24"/>
        </w:rPr>
        <w:t>5. 其他相关采购文件。</w:t>
      </w:r>
    </w:p>
    <w:p>
      <w:pPr>
        <w:snapToGrid w:val="0"/>
        <w:spacing w:line="560" w:lineRule="exact"/>
        <w:ind w:firstLine="480" w:firstLineChars="200"/>
        <w:rPr>
          <w:rFonts w:ascii="宋体" w:hAnsi="宋体"/>
          <w:sz w:val="24"/>
        </w:rPr>
      </w:pPr>
      <w:r>
        <w:rPr>
          <w:rFonts w:hint="eastAsia" w:ascii="宋体" w:hAnsi="宋体"/>
          <w:sz w:val="24"/>
        </w:rPr>
        <w:t>双方有关项目的洽商、变更等书面协议或文件视为本合同的组成部分。</w:t>
      </w:r>
    </w:p>
    <w:p>
      <w:pPr>
        <w:snapToGrid w:val="0"/>
        <w:spacing w:line="560" w:lineRule="exact"/>
        <w:ind w:firstLine="480" w:firstLineChars="200"/>
        <w:rPr>
          <w:rFonts w:ascii="宋体" w:hAnsi="宋体"/>
          <w:sz w:val="24"/>
        </w:rPr>
      </w:pPr>
      <w:r>
        <w:rPr>
          <w:rFonts w:hint="eastAsia" w:ascii="宋体" w:hAnsi="宋体"/>
          <w:sz w:val="24"/>
        </w:rPr>
        <w:t>第二条 合同标的内容</w:t>
      </w:r>
    </w:p>
    <w:p>
      <w:pPr>
        <w:snapToGrid w:val="0"/>
        <w:spacing w:line="560" w:lineRule="exact"/>
        <w:ind w:firstLine="480" w:firstLineChars="200"/>
        <w:rPr>
          <w:rFonts w:ascii="宋体" w:hAnsi="宋体"/>
          <w:sz w:val="24"/>
          <w:u w:val="single"/>
        </w:rPr>
      </w:pPr>
      <w:r>
        <w:rPr>
          <w:rFonts w:hint="eastAsia" w:ascii="宋体" w:hAnsi="宋体"/>
          <w:sz w:val="24"/>
        </w:rPr>
        <w:t>1. 货物名称：</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2. 货物数量：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3. 货物质量：</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4. 供货期限：</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第三条 合同价款及支付方式</w:t>
      </w:r>
    </w:p>
    <w:p>
      <w:pPr>
        <w:snapToGrid w:val="0"/>
        <w:spacing w:line="560" w:lineRule="exact"/>
        <w:ind w:firstLine="480" w:firstLineChars="200"/>
        <w:rPr>
          <w:rFonts w:ascii="宋体" w:hAnsi="宋体"/>
          <w:sz w:val="24"/>
          <w:u w:val="single"/>
        </w:rPr>
      </w:pPr>
      <w:r>
        <w:rPr>
          <w:rFonts w:hint="eastAsia" w:ascii="宋体" w:hAnsi="宋体"/>
          <w:sz w:val="24"/>
        </w:rPr>
        <w:t>1. 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元人民币）。分项价格如下（可作为附件）：</w:t>
      </w:r>
    </w:p>
    <w:tbl>
      <w:tblPr>
        <w:tblStyle w:val="3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33"/>
        <w:gridCol w:w="780"/>
        <w:gridCol w:w="2418"/>
        <w:gridCol w:w="850"/>
        <w:gridCol w:w="879"/>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序号</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货物名称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品牌</w:t>
            </w:r>
          </w:p>
        </w:tc>
        <w:tc>
          <w:tcPr>
            <w:tcW w:w="241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规格型号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数量</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单位</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2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单价</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1</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2</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3</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4</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5</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29"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     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bl>
    <w:p>
      <w:pPr>
        <w:snapToGrid w:val="0"/>
        <w:spacing w:line="560" w:lineRule="exact"/>
        <w:ind w:firstLine="480" w:firstLineChars="200"/>
        <w:rPr>
          <w:rFonts w:ascii="宋体" w:hAnsi="宋体"/>
          <w:sz w:val="24"/>
        </w:rPr>
      </w:pPr>
      <w:r>
        <w:rPr>
          <w:rFonts w:hint="eastAsia" w:ascii="宋体" w:hAnsi="宋体"/>
          <w:sz w:val="24"/>
        </w:rPr>
        <w:t>2. 付款方式：</w:t>
      </w:r>
    </w:p>
    <w:p>
      <w:pPr>
        <w:snapToGrid w:val="0"/>
        <w:spacing w:line="560" w:lineRule="exact"/>
        <w:ind w:firstLine="480" w:firstLineChars="200"/>
        <w:rPr>
          <w:rFonts w:ascii="宋体" w:hAnsi="宋体"/>
          <w:sz w:val="24"/>
        </w:rPr>
      </w:pPr>
      <w:r>
        <w:rPr>
          <w:rFonts w:hint="eastAsia" w:ascii="宋体" w:hAnsi="宋体"/>
          <w:sz w:val="24"/>
        </w:rPr>
        <w:t>合同签订之日起，按照项目实施完成进行付款。每个项目安装调试完成后，由甲、乙、丙三方出具《项目验收报告》，丙方收到乙方开具的发票后，在30个工作日内支付该系统合同价格的95%；质保期满后，经甲方确认无重大质量问题，在30个工作日内支付该系统合同价格的5%。</w:t>
      </w:r>
    </w:p>
    <w:p>
      <w:pPr>
        <w:snapToGrid w:val="0"/>
        <w:spacing w:line="560" w:lineRule="exact"/>
        <w:ind w:firstLine="480" w:firstLineChars="200"/>
        <w:rPr>
          <w:rFonts w:ascii="宋体" w:hAnsi="宋体"/>
          <w:sz w:val="24"/>
        </w:rPr>
      </w:pPr>
      <w:r>
        <w:rPr>
          <w:rFonts w:hint="eastAsia" w:ascii="宋体" w:hAnsi="宋体"/>
          <w:sz w:val="24"/>
        </w:rPr>
        <w:t>注：乙方必须向丙方开具以“中国农业银行股份有限公司常州分行”为抬头的增值税专用发票。</w:t>
      </w:r>
    </w:p>
    <w:p>
      <w:pPr>
        <w:snapToGrid w:val="0"/>
        <w:spacing w:line="560" w:lineRule="exact"/>
        <w:ind w:firstLine="480" w:firstLineChars="200"/>
        <w:rPr>
          <w:rFonts w:ascii="宋体" w:hAnsi="宋体"/>
          <w:sz w:val="24"/>
        </w:rPr>
      </w:pPr>
      <w:r>
        <w:rPr>
          <w:rFonts w:hint="eastAsia" w:ascii="宋体" w:hAnsi="宋体"/>
          <w:sz w:val="24"/>
        </w:rPr>
        <w:t>名称：中国农业银行股份有限公司常州分行</w:t>
      </w:r>
    </w:p>
    <w:p>
      <w:pPr>
        <w:snapToGrid w:val="0"/>
        <w:spacing w:line="560" w:lineRule="exact"/>
        <w:ind w:firstLine="480" w:firstLineChars="200"/>
        <w:rPr>
          <w:rFonts w:ascii="宋体" w:hAnsi="宋体"/>
          <w:sz w:val="24"/>
        </w:rPr>
      </w:pPr>
      <w:r>
        <w:rPr>
          <w:rFonts w:hint="eastAsia" w:ascii="宋体" w:hAnsi="宋体"/>
          <w:sz w:val="24"/>
        </w:rPr>
        <w:t>纳税人识别号：91320400837164533P</w:t>
      </w:r>
    </w:p>
    <w:p>
      <w:pPr>
        <w:snapToGrid w:val="0"/>
        <w:spacing w:line="560" w:lineRule="exact"/>
        <w:ind w:firstLine="480" w:firstLineChars="200"/>
        <w:rPr>
          <w:rFonts w:ascii="宋体" w:hAnsi="宋体"/>
          <w:sz w:val="24"/>
        </w:rPr>
      </w:pPr>
      <w:r>
        <w:rPr>
          <w:rFonts w:hint="eastAsia" w:ascii="宋体" w:hAnsi="宋体"/>
          <w:sz w:val="24"/>
        </w:rPr>
        <w:t xml:space="preserve">地址电话：常州市和平北路19号0519-88118559 </w:t>
      </w:r>
    </w:p>
    <w:p>
      <w:pPr>
        <w:snapToGrid w:val="0"/>
        <w:spacing w:line="560" w:lineRule="exact"/>
        <w:ind w:firstLine="480" w:firstLineChars="200"/>
        <w:rPr>
          <w:rFonts w:ascii="宋体" w:hAnsi="宋体"/>
          <w:sz w:val="24"/>
        </w:rPr>
      </w:pPr>
      <w:r>
        <w:rPr>
          <w:rFonts w:hint="eastAsia" w:ascii="宋体" w:hAnsi="宋体"/>
          <w:sz w:val="24"/>
        </w:rPr>
        <w:t>开户行及账号：中国农业银行股份有限公司常州分行营业部610101040000034</w:t>
      </w:r>
    </w:p>
    <w:p>
      <w:pPr>
        <w:snapToGrid w:val="0"/>
        <w:spacing w:line="560" w:lineRule="exact"/>
        <w:ind w:firstLine="480" w:firstLineChars="200"/>
        <w:rPr>
          <w:rFonts w:ascii="宋体" w:hAnsi="宋体"/>
          <w:sz w:val="24"/>
        </w:rPr>
      </w:pPr>
      <w:r>
        <w:rPr>
          <w:rFonts w:hint="eastAsia" w:ascii="宋体" w:hAnsi="宋体"/>
          <w:sz w:val="24"/>
        </w:rPr>
        <w:t>第四条 技术工艺及材料要求</w:t>
      </w:r>
    </w:p>
    <w:p>
      <w:pPr>
        <w:snapToGrid w:val="0"/>
        <w:spacing w:line="560" w:lineRule="exact"/>
        <w:ind w:firstLine="480" w:firstLineChars="200"/>
        <w:rPr>
          <w:rFonts w:ascii="宋体" w:hAnsi="宋体" w:cs="仿宋"/>
          <w:sz w:val="24"/>
        </w:rPr>
      </w:pPr>
      <w:r>
        <w:rPr>
          <w:rFonts w:hint="eastAsia" w:ascii="宋体" w:hAnsi="宋体" w:cs="仿宋"/>
          <w:sz w:val="24"/>
        </w:rPr>
        <w:t>1．整体加工及安装工艺要求：</w:t>
      </w:r>
      <w:r>
        <w:rPr>
          <w:rFonts w:ascii="宋体" w:hAnsi="宋体" w:cs="仿宋"/>
          <w:sz w:val="24"/>
        </w:rPr>
        <w:t xml:space="preserve"> </w:t>
      </w:r>
    </w:p>
    <w:p>
      <w:pPr>
        <w:snapToGrid w:val="0"/>
        <w:spacing w:line="560" w:lineRule="exact"/>
        <w:ind w:firstLine="480" w:firstLineChars="200"/>
        <w:rPr>
          <w:rFonts w:ascii="宋体" w:hAnsi="宋体" w:cs="仿宋"/>
          <w:sz w:val="24"/>
          <w:u w:val="single"/>
        </w:rPr>
      </w:pPr>
      <w:r>
        <w:rPr>
          <w:rFonts w:hint="eastAsia" w:ascii="宋体" w:hAnsi="宋体" w:cs="仿宋"/>
          <w:sz w:val="24"/>
          <w:u w:val="single"/>
        </w:rPr>
        <w:t xml:space="preserve">                                              </w:t>
      </w:r>
    </w:p>
    <w:p>
      <w:pPr>
        <w:snapToGrid w:val="0"/>
        <w:spacing w:line="56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 材料要求：</w:t>
      </w:r>
      <w:r>
        <w:rPr>
          <w:rFonts w:ascii="宋体" w:hAnsi="宋体" w:cs="仿宋"/>
          <w:sz w:val="24"/>
        </w:rPr>
        <w:t xml:space="preserve"> </w:t>
      </w:r>
    </w:p>
    <w:p>
      <w:pPr>
        <w:snapToGrid w:val="0"/>
        <w:spacing w:line="560" w:lineRule="exact"/>
        <w:ind w:firstLine="480" w:firstLineChars="200"/>
        <w:rPr>
          <w:rFonts w:ascii="宋体" w:hAnsi="宋体"/>
          <w:sz w:val="24"/>
          <w:u w:val="single"/>
        </w:rPr>
      </w:pPr>
      <w:r>
        <w:rPr>
          <w:rFonts w:hint="eastAsia" w:ascii="宋体" w:hAnsi="宋体"/>
          <w:sz w:val="24"/>
          <w:u w:val="single"/>
        </w:rPr>
        <w:t xml:space="preserve">                                              </w:t>
      </w:r>
    </w:p>
    <w:p>
      <w:pPr>
        <w:snapToGrid w:val="0"/>
        <w:spacing w:line="560" w:lineRule="exact"/>
        <w:ind w:firstLine="480" w:firstLineChars="200"/>
        <w:rPr>
          <w:rFonts w:ascii="宋体" w:hAnsi="宋体"/>
          <w:sz w:val="24"/>
        </w:rPr>
      </w:pPr>
      <w:r>
        <w:rPr>
          <w:rFonts w:hint="eastAsia" w:ascii="宋体" w:hAnsi="宋体"/>
          <w:sz w:val="24"/>
        </w:rPr>
        <w:t>第五条 售后服务</w:t>
      </w:r>
    </w:p>
    <w:p>
      <w:pPr>
        <w:snapToGrid w:val="0"/>
        <w:spacing w:line="560" w:lineRule="exact"/>
        <w:ind w:firstLine="480" w:firstLineChars="200"/>
        <w:rPr>
          <w:rFonts w:ascii="宋体" w:hAnsi="宋体"/>
          <w:sz w:val="24"/>
        </w:rPr>
      </w:pPr>
      <w:r>
        <w:rPr>
          <w:rFonts w:ascii="宋体" w:hAnsi="宋体"/>
          <w:sz w:val="24"/>
        </w:rPr>
        <w:t>1</w:t>
      </w:r>
      <w:r>
        <w:rPr>
          <w:rFonts w:hint="eastAsia" w:ascii="宋体" w:hAnsi="宋体"/>
          <w:sz w:val="24"/>
        </w:rPr>
        <w:t>. 乙方应向甲方承诺按照合同约定进行供货并在质量保修期内承担质量保修责任。</w:t>
      </w:r>
    </w:p>
    <w:p>
      <w:pPr>
        <w:snapToGrid w:val="0"/>
        <w:spacing w:line="560" w:lineRule="exact"/>
        <w:ind w:firstLine="480" w:firstLineChars="200"/>
        <w:rPr>
          <w:rFonts w:ascii="宋体" w:hAnsi="宋体"/>
          <w:sz w:val="24"/>
        </w:rPr>
      </w:pPr>
      <w:r>
        <w:rPr>
          <w:rFonts w:ascii="宋体" w:hAnsi="宋体"/>
          <w:sz w:val="24"/>
        </w:rPr>
        <w:t>2</w:t>
      </w:r>
      <w:r>
        <w:rPr>
          <w:rFonts w:hint="eastAsia" w:ascii="宋体" w:hAnsi="宋体"/>
          <w:sz w:val="24"/>
        </w:rPr>
        <w:t>. 保修期内因乙方原因导致其余各方损失的，乙方应承担赔偿责任。</w:t>
      </w:r>
      <w:r>
        <w:rPr>
          <w:rFonts w:hint="eastAsia" w:ascii="宋体" w:hAnsi="宋体" w:eastAsia="宋体" w:cs="宋体"/>
          <w:sz w:val="24"/>
          <w:lang w:val="zh-CN"/>
        </w:rPr>
        <w:t>质保期外的维护，人为损坏的只收取相应的成本费（含人工费），维修期间影响使用的由</w:t>
      </w:r>
      <w:r>
        <w:rPr>
          <w:rFonts w:hint="eastAsia" w:ascii="宋体" w:hAnsi="宋体" w:eastAsia="宋体" w:cs="宋体"/>
          <w:sz w:val="24"/>
        </w:rPr>
        <w:t>中标人</w:t>
      </w:r>
      <w:r>
        <w:rPr>
          <w:rFonts w:hint="eastAsia" w:ascii="宋体" w:hAnsi="宋体" w:eastAsia="宋体" w:cs="宋体"/>
          <w:sz w:val="24"/>
          <w:lang w:val="zh-CN"/>
        </w:rPr>
        <w:t>提供临时提供备用设备。</w:t>
      </w:r>
      <w:r>
        <w:rPr>
          <w:rFonts w:hint="eastAsia" w:ascii="宋体" w:hAnsi="宋体"/>
          <w:sz w:val="24"/>
        </w:rPr>
        <w:t>保修期从产品验收合格之日算起。</w:t>
      </w:r>
    </w:p>
    <w:p>
      <w:pPr>
        <w:snapToGrid w:val="0"/>
        <w:spacing w:line="560" w:lineRule="exact"/>
        <w:ind w:firstLine="480" w:firstLineChars="200"/>
        <w:rPr>
          <w:rFonts w:ascii="宋体" w:hAnsi="宋体"/>
          <w:sz w:val="24"/>
        </w:rPr>
      </w:pPr>
      <w:r>
        <w:rPr>
          <w:rFonts w:ascii="宋体" w:hAnsi="宋体"/>
          <w:sz w:val="24"/>
        </w:rPr>
        <w:t>3</w:t>
      </w:r>
      <w:r>
        <w:rPr>
          <w:rFonts w:hint="eastAsia" w:ascii="宋体" w:hAnsi="宋体"/>
          <w:sz w:val="24"/>
        </w:rPr>
        <w:t>. 在保修期内，一旦发生质量问题，乙方必须在</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hint="eastAsia" w:ascii="宋体" w:hAnsi="宋体"/>
          <w:sz w:val="24"/>
        </w:rPr>
        <w:t>小时内到达现场实施维修并及时排除故障。</w:t>
      </w:r>
    </w:p>
    <w:p>
      <w:pPr>
        <w:snapToGrid w:val="0"/>
        <w:spacing w:line="560" w:lineRule="exact"/>
        <w:ind w:firstLine="480" w:firstLineChars="200"/>
        <w:rPr>
          <w:rFonts w:ascii="宋体" w:hAnsi="宋体"/>
          <w:sz w:val="24"/>
        </w:rPr>
      </w:pPr>
      <w:r>
        <w:rPr>
          <w:rFonts w:ascii="宋体" w:hAnsi="宋体"/>
          <w:sz w:val="24"/>
        </w:rPr>
        <w:t>4</w:t>
      </w:r>
      <w:r>
        <w:rPr>
          <w:rFonts w:hint="eastAsia" w:ascii="宋体" w:hAnsi="宋体"/>
          <w:sz w:val="24"/>
        </w:rPr>
        <w:t>. 因甲方使用不当引起的问题，乙方提供有偿服务。</w:t>
      </w:r>
    </w:p>
    <w:p>
      <w:pPr>
        <w:snapToGrid w:val="0"/>
        <w:spacing w:line="560" w:lineRule="exact"/>
        <w:ind w:firstLine="480" w:firstLineChars="200"/>
        <w:rPr>
          <w:rFonts w:ascii="宋体" w:hAnsi="宋体"/>
          <w:sz w:val="24"/>
        </w:rPr>
      </w:pPr>
      <w:r>
        <w:rPr>
          <w:rFonts w:ascii="宋体" w:hAnsi="宋体"/>
          <w:sz w:val="24"/>
        </w:rPr>
        <w:t>5</w:t>
      </w:r>
      <w:r>
        <w:rPr>
          <w:rFonts w:hint="eastAsia" w:ascii="宋体" w:hAnsi="宋体"/>
          <w:sz w:val="24"/>
        </w:rPr>
        <w:t>. 质量保修期内，同一商品、同一质量问题连续两次维修仍无法正常使用时，乙方必须予以免费更换同品牌、同型号的货物。</w:t>
      </w:r>
    </w:p>
    <w:p>
      <w:pPr>
        <w:snapToGrid w:val="0"/>
        <w:spacing w:line="560" w:lineRule="exact"/>
        <w:ind w:firstLine="480" w:firstLineChars="200"/>
        <w:rPr>
          <w:rFonts w:ascii="宋体" w:hAnsi="宋体"/>
          <w:sz w:val="24"/>
        </w:rPr>
      </w:pPr>
      <w:r>
        <w:rPr>
          <w:rFonts w:ascii="宋体" w:hAnsi="宋体"/>
          <w:sz w:val="24"/>
        </w:rPr>
        <w:t>6.</w:t>
      </w:r>
      <w:r>
        <w:rPr>
          <w:rFonts w:hint="eastAsia" w:ascii="宋体" w:hAnsi="宋体"/>
          <w:sz w:val="24"/>
        </w:rPr>
        <w:t xml:space="preserve"> 货物质量保修期内除人为原因出现的质量问题，乙方必须包换。</w:t>
      </w:r>
    </w:p>
    <w:p>
      <w:pPr>
        <w:snapToGrid w:val="0"/>
        <w:spacing w:line="560" w:lineRule="exact"/>
        <w:ind w:firstLine="480" w:firstLineChars="200"/>
        <w:rPr>
          <w:rFonts w:ascii="宋体" w:hAnsi="宋体"/>
          <w:sz w:val="24"/>
        </w:rPr>
      </w:pPr>
      <w:r>
        <w:rPr>
          <w:rFonts w:hint="eastAsia" w:ascii="宋体" w:hAnsi="宋体"/>
          <w:sz w:val="24"/>
        </w:rPr>
        <w:t>第六条 质量保证</w:t>
      </w:r>
    </w:p>
    <w:p>
      <w:pPr>
        <w:snapToGrid w:val="0"/>
        <w:spacing w:line="560" w:lineRule="exact"/>
        <w:ind w:firstLine="480" w:firstLineChars="200"/>
        <w:rPr>
          <w:rFonts w:ascii="宋体" w:hAnsi="宋体" w:cs="仿宋"/>
          <w:sz w:val="24"/>
        </w:rPr>
      </w:pPr>
      <w:r>
        <w:rPr>
          <w:rFonts w:ascii="宋体" w:hAnsi="宋体" w:cs="仿宋"/>
          <w:sz w:val="24"/>
        </w:rPr>
        <w:t>1</w:t>
      </w:r>
      <w:r>
        <w:rPr>
          <w:rFonts w:hint="eastAsia" w:ascii="宋体" w:hAnsi="宋体" w:cs="仿宋"/>
          <w:sz w:val="24"/>
        </w:rPr>
        <w:t>. 乙方应严格按照合同约定及招投标文件规定进行供货，并对其质量负责。</w:t>
      </w:r>
    </w:p>
    <w:p>
      <w:pPr>
        <w:snapToGrid w:val="0"/>
        <w:spacing w:line="56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 乙方负责供货的材料，其品牌规格等必须与工程量清单报价书一致，不得以次充好。并提供产品说明书，试验报告和合格证。材料性能及技术指标应达到招投标文件约定及国家现行的相关质量验收标准。</w:t>
      </w:r>
    </w:p>
    <w:p>
      <w:pPr>
        <w:snapToGrid w:val="0"/>
        <w:spacing w:line="560" w:lineRule="exact"/>
        <w:ind w:firstLine="480" w:firstLineChars="200"/>
        <w:rPr>
          <w:rFonts w:ascii="宋体" w:hAnsi="宋体" w:cs="仿宋"/>
          <w:sz w:val="24"/>
        </w:rPr>
      </w:pPr>
      <w:r>
        <w:rPr>
          <w:rFonts w:ascii="宋体" w:hAnsi="宋体" w:cs="仿宋"/>
          <w:sz w:val="24"/>
        </w:rPr>
        <w:t>3</w:t>
      </w:r>
      <w:r>
        <w:rPr>
          <w:rFonts w:hint="eastAsia" w:ascii="宋体" w:hAnsi="宋体" w:cs="仿宋"/>
          <w:sz w:val="24"/>
        </w:rPr>
        <w:t>. 乙方负责供货的材料在使用前，应按甲方要求，根据标准、规范要求进行检验或试验，检验或试验费用由乙方承担。如检测报告中有一项指标不合格，乙方负全部责任并按本批次同规格价格的两倍进行处罚。</w:t>
      </w:r>
    </w:p>
    <w:p>
      <w:pPr>
        <w:snapToGrid w:val="0"/>
        <w:spacing w:line="56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 甲方、乙方对产品质量有争议，由三方同意的质量检测机构鉴定，所需费用及因此造成的损失，由责任方承担。</w:t>
      </w:r>
    </w:p>
    <w:p>
      <w:pPr>
        <w:snapToGrid w:val="0"/>
        <w:spacing w:line="560" w:lineRule="exact"/>
        <w:ind w:firstLine="480" w:firstLineChars="200"/>
        <w:rPr>
          <w:rFonts w:ascii="宋体" w:hAnsi="宋体" w:cs="仿宋"/>
          <w:sz w:val="24"/>
        </w:rPr>
      </w:pPr>
      <w:r>
        <w:rPr>
          <w:rFonts w:ascii="宋体" w:hAnsi="宋体" w:cs="仿宋"/>
          <w:sz w:val="24"/>
        </w:rPr>
        <w:t>5</w:t>
      </w:r>
      <w:r>
        <w:rPr>
          <w:rFonts w:hint="eastAsia" w:ascii="宋体" w:hAnsi="宋体" w:cs="仿宋"/>
          <w:sz w:val="24"/>
        </w:rPr>
        <w:t>. 乙方在供货中，如使用假冒伪劣产品，一经查实，每项次处以</w:t>
      </w:r>
      <w:r>
        <w:rPr>
          <w:rFonts w:ascii="宋体" w:hAnsi="宋体" w:cs="仿宋"/>
          <w:sz w:val="24"/>
        </w:rPr>
        <w:t>10</w:t>
      </w:r>
      <w:r>
        <w:rPr>
          <w:rFonts w:hint="eastAsia" w:ascii="宋体" w:hAnsi="宋体" w:cs="仿宋"/>
          <w:sz w:val="24"/>
        </w:rPr>
        <w:t>万元罚款给甲方，该罚款从当期应付款项中扣除。</w:t>
      </w:r>
    </w:p>
    <w:p>
      <w:pPr>
        <w:snapToGrid w:val="0"/>
        <w:spacing w:line="56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 三个月内发现不合格品或材质与封存的样品不符的无条件退货（所发生的拆、包、运等费用由乙方负责，保修期内免费维修。</w:t>
      </w:r>
    </w:p>
    <w:p>
      <w:pPr>
        <w:snapToGrid w:val="0"/>
        <w:spacing w:line="560" w:lineRule="exact"/>
        <w:ind w:firstLine="480" w:firstLineChars="200"/>
        <w:rPr>
          <w:rFonts w:ascii="宋体" w:hAnsi="宋体"/>
          <w:sz w:val="24"/>
        </w:rPr>
      </w:pPr>
      <w:r>
        <w:rPr>
          <w:rFonts w:hint="eastAsia" w:ascii="宋体" w:hAnsi="宋体"/>
          <w:sz w:val="24"/>
        </w:rPr>
        <w:t xml:space="preserve">第七条 履约验收 </w:t>
      </w:r>
    </w:p>
    <w:p>
      <w:pPr>
        <w:snapToGrid w:val="0"/>
        <w:spacing w:line="560" w:lineRule="exact"/>
        <w:ind w:firstLine="480" w:firstLineChars="200"/>
        <w:rPr>
          <w:rFonts w:ascii="宋体" w:hAnsi="宋体"/>
          <w:sz w:val="24"/>
        </w:rPr>
      </w:pPr>
      <w:r>
        <w:rPr>
          <w:rFonts w:hint="eastAsia" w:ascii="宋体" w:hAnsi="宋体"/>
          <w:sz w:val="24"/>
        </w:rPr>
        <w:t>1. 中标商安装完毕后由甲方随机抽样交付当地市级（含）以上质量监督检验机构检验，甲醛释放量必须符合国家环保标准，检验费用由中标商支付，如检测未达到标准，则中标供应商必须承担由此给采购人造成的损失。</w:t>
      </w:r>
    </w:p>
    <w:p>
      <w:pPr>
        <w:snapToGrid w:val="0"/>
        <w:spacing w:line="560" w:lineRule="exact"/>
        <w:ind w:firstLine="480" w:firstLineChars="200"/>
        <w:rPr>
          <w:rFonts w:ascii="宋体" w:hAnsi="宋体"/>
          <w:sz w:val="24"/>
        </w:rPr>
      </w:pPr>
      <w:r>
        <w:rPr>
          <w:rFonts w:hint="eastAsia" w:ascii="宋体" w:hAnsi="宋体"/>
          <w:sz w:val="24"/>
        </w:rPr>
        <w:t>2. 甲方将按照招标文件及规定的技术标准进行检验，如果与文件规定不符，在质量及感官标准上有明显差异或环保指标不达标的，将加倍抽样检验（并对部分产品作破坏性检测），若加倍抽样仍不合格，将判定所供货物采购及安装不合格。</w:t>
      </w:r>
    </w:p>
    <w:p>
      <w:pPr>
        <w:snapToGrid w:val="0"/>
        <w:spacing w:line="560" w:lineRule="exact"/>
        <w:ind w:firstLine="480" w:firstLineChars="200"/>
        <w:rPr>
          <w:rFonts w:ascii="宋体" w:hAnsi="宋体"/>
          <w:sz w:val="24"/>
        </w:rPr>
      </w:pPr>
      <w:r>
        <w:rPr>
          <w:rFonts w:hint="eastAsia" w:ascii="宋体" w:hAnsi="宋体"/>
          <w:sz w:val="24"/>
        </w:rPr>
        <w:t>3. 对货物安装验收不合格时，投标供应商应予以免费调换，直至符合规定，采购人不承担因调退货而发生的任何费用和责任，如因货物采购及安装产品质量给采购人带来的损失，投标供应商还应赔偿采购人直接损失费用。</w:t>
      </w:r>
    </w:p>
    <w:p>
      <w:pPr>
        <w:snapToGrid w:val="0"/>
        <w:spacing w:line="560" w:lineRule="exact"/>
        <w:ind w:firstLine="480" w:firstLineChars="200"/>
        <w:rPr>
          <w:rFonts w:ascii="宋体" w:hAnsi="宋体"/>
          <w:sz w:val="24"/>
        </w:rPr>
      </w:pPr>
      <w:r>
        <w:rPr>
          <w:rFonts w:hint="eastAsia" w:ascii="宋体" w:hAnsi="宋体"/>
          <w:sz w:val="24"/>
        </w:rPr>
        <w:t>第八条 保密要求</w:t>
      </w:r>
    </w:p>
    <w:p>
      <w:pPr>
        <w:snapToGrid w:val="0"/>
        <w:spacing w:line="560" w:lineRule="exact"/>
        <w:ind w:firstLine="480" w:firstLineChars="200"/>
        <w:rPr>
          <w:rFonts w:ascii="宋体" w:hAnsi="宋体"/>
          <w:sz w:val="24"/>
        </w:rPr>
      </w:pPr>
      <w:r>
        <w:rPr>
          <w:rFonts w:hint="eastAsia" w:ascii="宋体" w:hAnsi="宋体"/>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560" w:lineRule="exact"/>
        <w:ind w:firstLine="480" w:firstLineChars="200"/>
        <w:rPr>
          <w:rFonts w:ascii="宋体" w:hAnsi="宋体"/>
          <w:sz w:val="24"/>
        </w:rPr>
      </w:pPr>
      <w:r>
        <w:rPr>
          <w:rFonts w:hint="eastAsia" w:ascii="宋体" w:hAnsi="宋体"/>
          <w:sz w:val="24"/>
        </w:rPr>
        <w:t xml:space="preserve">2. </w:t>
      </w:r>
      <w:r>
        <w:rPr>
          <w:rFonts w:ascii="宋体" w:hAnsi="宋体"/>
          <w:sz w:val="24"/>
        </w:rPr>
        <w:t>乙方在履行合同过程中所获得或接触到的任何</w:t>
      </w:r>
      <w:r>
        <w:rPr>
          <w:rFonts w:hint="eastAsia" w:ascii="宋体" w:hAnsi="宋体"/>
          <w:sz w:val="24"/>
        </w:rPr>
        <w:t>内部数据资料，未经甲方同意，不得向第三方透露。</w:t>
      </w:r>
    </w:p>
    <w:p>
      <w:pPr>
        <w:snapToGrid w:val="0"/>
        <w:spacing w:line="560" w:lineRule="exact"/>
        <w:ind w:firstLine="480" w:firstLineChars="200"/>
        <w:rPr>
          <w:rFonts w:ascii="宋体" w:hAnsi="宋体"/>
          <w:sz w:val="24"/>
        </w:rPr>
      </w:pPr>
      <w:r>
        <w:rPr>
          <w:rFonts w:hint="eastAsia" w:ascii="宋体" w:hAnsi="宋体"/>
          <w:sz w:val="24"/>
        </w:rPr>
        <w:t xml:space="preserve">3. </w:t>
      </w:r>
      <w:r>
        <w:rPr>
          <w:rFonts w:ascii="宋体" w:hAnsi="宋体"/>
          <w:sz w:val="24"/>
        </w:rPr>
        <w:t>乙方</w:t>
      </w:r>
      <w:r>
        <w:rPr>
          <w:rFonts w:hint="eastAsia" w:ascii="宋体" w:hAnsi="宋体"/>
          <w:sz w:val="24"/>
        </w:rPr>
        <w:t>实施项目的一切程序都应符合国家安全、保密的有关规定和标准。</w:t>
      </w:r>
    </w:p>
    <w:p>
      <w:pPr>
        <w:snapToGrid w:val="0"/>
        <w:spacing w:line="560" w:lineRule="exact"/>
        <w:ind w:firstLine="480" w:firstLineChars="200"/>
        <w:rPr>
          <w:rFonts w:ascii="宋体" w:hAnsi="宋体"/>
          <w:sz w:val="24"/>
        </w:rPr>
      </w:pPr>
      <w:bookmarkStart w:id="50" w:name="_Toc42074712"/>
      <w:r>
        <w:rPr>
          <w:rFonts w:hint="eastAsia" w:ascii="宋体" w:hAnsi="宋体"/>
          <w:sz w:val="24"/>
        </w:rPr>
        <w:t>第九条 甲方权利与义务</w:t>
      </w:r>
    </w:p>
    <w:p>
      <w:pPr>
        <w:snapToGrid w:val="0"/>
        <w:spacing w:line="560" w:lineRule="exact"/>
        <w:ind w:firstLine="480" w:firstLineChars="200"/>
        <w:rPr>
          <w:rFonts w:ascii="宋体" w:hAnsi="宋体" w:cs="仿宋"/>
          <w:sz w:val="24"/>
        </w:rPr>
      </w:pPr>
      <w:r>
        <w:rPr>
          <w:rFonts w:hint="eastAsia" w:ascii="宋体" w:hAnsi="宋体" w:cs="仿宋"/>
          <w:sz w:val="24"/>
        </w:rPr>
        <w:t xml:space="preserve">一、甲方权利： </w:t>
      </w:r>
    </w:p>
    <w:p>
      <w:pPr>
        <w:snapToGrid w:val="0"/>
        <w:spacing w:line="560" w:lineRule="exact"/>
        <w:ind w:firstLine="480" w:firstLineChars="200"/>
        <w:rPr>
          <w:rFonts w:ascii="宋体" w:hAnsi="宋体" w:cs="仿宋"/>
          <w:sz w:val="24"/>
        </w:rPr>
      </w:pPr>
      <w:r>
        <w:rPr>
          <w:rFonts w:hint="eastAsia" w:ascii="宋体" w:hAnsi="宋体" w:cs="仿宋"/>
          <w:sz w:val="24"/>
        </w:rPr>
        <w:t>1. 有权向乙方询问工作进展情况及相关的内容。</w:t>
      </w:r>
    </w:p>
    <w:p>
      <w:pPr>
        <w:snapToGrid w:val="0"/>
        <w:spacing w:line="560" w:lineRule="exact"/>
        <w:ind w:firstLine="480" w:firstLineChars="200"/>
        <w:rPr>
          <w:rFonts w:ascii="宋体" w:hAnsi="宋体" w:cs="仿宋"/>
          <w:sz w:val="24"/>
        </w:rPr>
      </w:pPr>
      <w:r>
        <w:rPr>
          <w:rFonts w:hint="eastAsia" w:ascii="宋体" w:hAnsi="宋体" w:cs="仿宋"/>
          <w:sz w:val="24"/>
        </w:rPr>
        <w:t>2. 有权阐述对具体问题的意见和建议。</w:t>
      </w:r>
    </w:p>
    <w:p>
      <w:pPr>
        <w:snapToGrid w:val="0"/>
        <w:spacing w:line="560" w:lineRule="exact"/>
        <w:ind w:firstLine="480" w:firstLineChars="200"/>
        <w:rPr>
          <w:rFonts w:ascii="宋体" w:hAnsi="宋体" w:cs="仿宋"/>
          <w:sz w:val="24"/>
        </w:rPr>
      </w:pPr>
      <w:r>
        <w:rPr>
          <w:rFonts w:hint="eastAsia" w:ascii="宋体" w:hAnsi="宋体" w:cs="仿宋"/>
          <w:sz w:val="24"/>
        </w:rPr>
        <w:t>3. 当甲方认定乙方人员不按合同履行其职责，或与第三人串通给甲方造成经济损失的，甲方有权要求更换人员，直至终止合同并要求乙方承担相应的赔偿责任。</w:t>
      </w:r>
    </w:p>
    <w:p>
      <w:pPr>
        <w:snapToGrid w:val="0"/>
        <w:spacing w:line="560" w:lineRule="exact"/>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napToGrid w:val="0"/>
        <w:spacing w:line="560" w:lineRule="exact"/>
        <w:ind w:firstLine="480" w:firstLineChars="200"/>
        <w:rPr>
          <w:rFonts w:ascii="宋体" w:hAnsi="宋体" w:cs="仿宋"/>
          <w:sz w:val="24"/>
        </w:rPr>
      </w:pPr>
      <w:r>
        <w:rPr>
          <w:rFonts w:hint="eastAsia" w:ascii="宋体" w:hAnsi="宋体" w:cs="仿宋"/>
          <w:sz w:val="24"/>
        </w:rPr>
        <w:t xml:space="preserve">二、甲方义务： </w:t>
      </w:r>
    </w:p>
    <w:p>
      <w:pPr>
        <w:snapToGrid w:val="0"/>
        <w:spacing w:line="560" w:lineRule="exact"/>
        <w:ind w:firstLine="480" w:firstLineChars="200"/>
        <w:rPr>
          <w:rFonts w:ascii="宋体" w:hAnsi="宋体" w:cs="仿宋"/>
          <w:sz w:val="24"/>
        </w:rPr>
      </w:pPr>
      <w:r>
        <w:rPr>
          <w:rFonts w:hint="eastAsia" w:ascii="宋体" w:hAnsi="宋体" w:cs="仿宋"/>
          <w:sz w:val="24"/>
        </w:rPr>
        <w:t>1. 负责与本项目有关的第三方的协调，提供开展服务工作的外部条件。</w:t>
      </w:r>
    </w:p>
    <w:p>
      <w:pPr>
        <w:snapToGrid w:val="0"/>
        <w:spacing w:line="560" w:lineRule="exact"/>
        <w:ind w:firstLine="480" w:firstLineChars="200"/>
        <w:rPr>
          <w:rFonts w:ascii="宋体" w:hAnsi="宋体" w:cs="仿宋"/>
          <w:sz w:val="24"/>
        </w:rPr>
      </w:pPr>
      <w:r>
        <w:rPr>
          <w:rFonts w:hint="eastAsia" w:ascii="宋体" w:hAnsi="宋体" w:cs="仿宋"/>
          <w:sz w:val="24"/>
        </w:rPr>
        <w:t>2. 向乙方提供与本项目有关的资料。</w:t>
      </w:r>
    </w:p>
    <w:p>
      <w:pPr>
        <w:snapToGrid w:val="0"/>
        <w:spacing w:line="560" w:lineRule="exact"/>
        <w:ind w:firstLine="480" w:firstLineChars="200"/>
        <w:rPr>
          <w:rFonts w:ascii="宋体" w:hAnsi="宋体" w:cs="仿宋"/>
          <w:sz w:val="24"/>
        </w:rPr>
      </w:pPr>
      <w:r>
        <w:rPr>
          <w:rFonts w:hint="eastAsia" w:ascii="宋体" w:hAnsi="宋体" w:cs="仿宋"/>
          <w:sz w:val="24"/>
        </w:rPr>
        <w:t xml:space="preserve">3. </w:t>
      </w:r>
      <w:r>
        <w:rPr>
          <w:rFonts w:hint="eastAsia" w:ascii="宋体" w:hAnsi="宋体" w:cs="仿宋"/>
          <w:sz w:val="24"/>
          <w:u w:val="single"/>
        </w:rPr>
        <w:t xml:space="preserve">                                              </w:t>
      </w:r>
    </w:p>
    <w:p>
      <w:pPr>
        <w:snapToGrid w:val="0"/>
        <w:spacing w:line="560" w:lineRule="exact"/>
        <w:ind w:firstLine="480" w:firstLineChars="200"/>
        <w:rPr>
          <w:rFonts w:ascii="宋体" w:hAnsi="宋体"/>
          <w:sz w:val="24"/>
        </w:rPr>
      </w:pPr>
      <w:r>
        <w:rPr>
          <w:rFonts w:hint="eastAsia" w:ascii="宋体" w:hAnsi="宋体"/>
          <w:sz w:val="24"/>
        </w:rPr>
        <w:t>第十条 乙方权利与义务</w:t>
      </w:r>
    </w:p>
    <w:p>
      <w:pPr>
        <w:snapToGrid w:val="0"/>
        <w:spacing w:line="560" w:lineRule="exact"/>
        <w:ind w:firstLine="480" w:firstLineChars="200"/>
        <w:rPr>
          <w:rFonts w:ascii="宋体" w:hAnsi="宋体" w:cs="仿宋"/>
          <w:sz w:val="24"/>
        </w:rPr>
      </w:pPr>
      <w:r>
        <w:rPr>
          <w:rFonts w:hint="eastAsia" w:ascii="宋体" w:hAnsi="宋体" w:cs="仿宋"/>
          <w:sz w:val="24"/>
        </w:rPr>
        <w:t>一、乙方权利：</w:t>
      </w:r>
    </w:p>
    <w:p>
      <w:pPr>
        <w:snapToGrid w:val="0"/>
        <w:spacing w:line="560" w:lineRule="exact"/>
        <w:ind w:firstLine="480" w:firstLineChars="200"/>
        <w:rPr>
          <w:rFonts w:ascii="宋体" w:hAnsi="宋体" w:cs="仿宋"/>
          <w:sz w:val="24"/>
        </w:rPr>
      </w:pPr>
      <w:r>
        <w:rPr>
          <w:rFonts w:hint="eastAsia" w:ascii="宋体" w:hAnsi="宋体" w:cs="仿宋"/>
          <w:sz w:val="24"/>
        </w:rPr>
        <w:t>1. 乙方在本项目服务过程中，如甲方提供的资料不明确时可向甲方提出书面报告。</w:t>
      </w:r>
    </w:p>
    <w:p>
      <w:pPr>
        <w:snapToGrid w:val="0"/>
        <w:spacing w:line="560" w:lineRule="exact"/>
        <w:ind w:firstLine="480" w:firstLineChars="200"/>
        <w:rPr>
          <w:rFonts w:ascii="宋体" w:hAnsi="宋体" w:cs="仿宋"/>
          <w:sz w:val="24"/>
        </w:rPr>
      </w:pPr>
      <w:r>
        <w:rPr>
          <w:rFonts w:hint="eastAsia" w:ascii="宋体" w:hAnsi="宋体" w:cs="仿宋"/>
          <w:sz w:val="24"/>
        </w:rPr>
        <w:t xml:space="preserve">2. </w:t>
      </w:r>
      <w:r>
        <w:rPr>
          <w:rFonts w:hint="eastAsia" w:ascii="宋体" w:hAnsi="宋体" w:cs="仿宋"/>
          <w:sz w:val="24"/>
          <w:u w:val="single"/>
        </w:rPr>
        <w:t xml:space="preserve">                                              </w:t>
      </w:r>
    </w:p>
    <w:p>
      <w:pPr>
        <w:snapToGrid w:val="0"/>
        <w:spacing w:line="560" w:lineRule="exact"/>
        <w:ind w:firstLine="480" w:firstLineChars="200"/>
        <w:rPr>
          <w:rFonts w:ascii="宋体" w:hAnsi="宋体" w:cs="仿宋"/>
          <w:sz w:val="24"/>
        </w:rPr>
      </w:pPr>
      <w:r>
        <w:rPr>
          <w:rFonts w:hint="eastAsia" w:ascii="宋体" w:hAnsi="宋体" w:cs="仿宋"/>
          <w:sz w:val="24"/>
        </w:rPr>
        <w:t>二、乙方义务：</w:t>
      </w:r>
    </w:p>
    <w:p>
      <w:pPr>
        <w:snapToGrid w:val="0"/>
        <w:spacing w:line="560" w:lineRule="exact"/>
        <w:ind w:firstLine="480" w:firstLineChars="200"/>
        <w:rPr>
          <w:rFonts w:ascii="宋体" w:hAnsi="宋体" w:cs="仿宋"/>
          <w:sz w:val="24"/>
        </w:rPr>
      </w:pPr>
      <w:r>
        <w:rPr>
          <w:rFonts w:hint="eastAsia" w:ascii="宋体" w:hAnsi="宋体" w:cs="仿宋"/>
          <w:sz w:val="24"/>
        </w:rPr>
        <w:t>1. 应按照</w:t>
      </w:r>
      <w:r>
        <w:rPr>
          <w:rFonts w:hint="eastAsia" w:ascii="宋体" w:hAnsi="宋体" w:cs="仿宋"/>
          <w:sz w:val="24"/>
        </w:rPr>
        <w:softHyphen/>
      </w:r>
      <w:r>
        <w:rPr>
          <w:rFonts w:hint="eastAsia" w:ascii="宋体" w:hAnsi="宋体" w:cs="仿宋"/>
          <w:sz w:val="24"/>
        </w:rPr>
        <w:t>本项目招标文件、乙方投标文件要求按期完成本项目工作。</w:t>
      </w:r>
    </w:p>
    <w:p>
      <w:pPr>
        <w:snapToGrid w:val="0"/>
        <w:spacing w:line="560" w:lineRule="exact"/>
        <w:ind w:firstLine="480" w:firstLineChars="200"/>
        <w:rPr>
          <w:rFonts w:ascii="宋体" w:hAnsi="宋体" w:cs="仿宋"/>
          <w:sz w:val="24"/>
        </w:rPr>
      </w:pPr>
      <w:r>
        <w:rPr>
          <w:rFonts w:hint="eastAsia" w:ascii="宋体" w:hAnsi="宋体" w:cs="仿宋"/>
          <w:sz w:val="24"/>
        </w:rPr>
        <w:t>2. 负责组织项目的实施，保证工作质量满足相关验收相关标准。</w:t>
      </w:r>
    </w:p>
    <w:p>
      <w:pPr>
        <w:snapToGrid w:val="0"/>
        <w:spacing w:line="560" w:lineRule="exact"/>
        <w:ind w:firstLine="480" w:firstLineChars="200"/>
        <w:rPr>
          <w:rFonts w:ascii="宋体" w:hAnsi="宋体"/>
          <w:sz w:val="24"/>
        </w:rPr>
      </w:pPr>
      <w:r>
        <w:rPr>
          <w:rFonts w:hint="eastAsia" w:ascii="宋体" w:hAnsi="宋体"/>
          <w:sz w:val="24"/>
        </w:rPr>
        <w:t>3. 乙方不得擅自部分或全部转让其应履行的合同义务。</w:t>
      </w:r>
    </w:p>
    <w:p>
      <w:pPr>
        <w:snapToGrid w:val="0"/>
        <w:spacing w:line="560" w:lineRule="exact"/>
        <w:ind w:firstLine="480" w:firstLineChars="200"/>
        <w:rPr>
          <w:rFonts w:ascii="宋体" w:hAnsi="宋体"/>
          <w:sz w:val="24"/>
          <w:u w:val="single"/>
        </w:rPr>
      </w:pPr>
      <w:r>
        <w:rPr>
          <w:rFonts w:hint="eastAsia" w:ascii="宋体" w:hAnsi="宋体"/>
          <w:sz w:val="24"/>
        </w:rPr>
        <w:t>4.</w:t>
      </w:r>
      <w:r>
        <w:rPr>
          <w:rFonts w:hint="eastAsia" w:ascii="宋体" w:hAnsi="宋体"/>
          <w:sz w:val="24"/>
          <w:u w:val="single"/>
        </w:rPr>
        <w:t xml:space="preserve">                                               </w:t>
      </w:r>
    </w:p>
    <w:p>
      <w:pPr>
        <w:snapToGrid w:val="0"/>
        <w:spacing w:line="560" w:lineRule="exact"/>
        <w:ind w:firstLine="480" w:firstLineChars="200"/>
        <w:rPr>
          <w:rFonts w:ascii="宋体" w:hAnsi="宋体"/>
          <w:sz w:val="24"/>
        </w:rPr>
      </w:pPr>
      <w:r>
        <w:rPr>
          <w:rFonts w:hint="eastAsia" w:ascii="宋体" w:hAnsi="宋体"/>
          <w:sz w:val="24"/>
        </w:rPr>
        <w:t>第十一条 履约保证金</w:t>
      </w:r>
    </w:p>
    <w:p>
      <w:pPr>
        <w:snapToGrid w:val="0"/>
        <w:spacing w:line="560" w:lineRule="exact"/>
        <w:ind w:firstLine="480" w:firstLineChars="200"/>
        <w:rPr>
          <w:rFonts w:ascii="宋体" w:hAnsi="宋体"/>
          <w:sz w:val="24"/>
        </w:rPr>
      </w:pPr>
      <w:r>
        <w:rPr>
          <w:rFonts w:hint="eastAsia" w:ascii="宋体" w:hAnsi="宋体"/>
          <w:sz w:val="24"/>
        </w:rPr>
        <w:t>1. 乙方在签订本合同之日，向甲方或甲方指定的机构提交履约保证金        元整。</w:t>
      </w:r>
    </w:p>
    <w:p>
      <w:pPr>
        <w:snapToGrid w:val="0"/>
        <w:spacing w:line="560" w:lineRule="exact"/>
        <w:ind w:firstLine="480" w:firstLineChars="200"/>
        <w:rPr>
          <w:rFonts w:ascii="宋体" w:hAnsi="宋体"/>
          <w:sz w:val="24"/>
        </w:rPr>
      </w:pPr>
      <w:r>
        <w:rPr>
          <w:rFonts w:hint="eastAsia" w:ascii="宋体" w:hAnsi="宋体"/>
          <w:sz w:val="24"/>
        </w:rPr>
        <w:t>2. 如乙方未能履行合同规定的义务，甲方有权从履约保证金中取得补偿。</w:t>
      </w:r>
    </w:p>
    <w:p>
      <w:pPr>
        <w:snapToGrid w:val="0"/>
        <w:spacing w:line="560" w:lineRule="exact"/>
        <w:ind w:firstLine="480" w:firstLineChars="200"/>
        <w:rPr>
          <w:rFonts w:ascii="宋体" w:hAnsi="宋体"/>
          <w:sz w:val="24"/>
        </w:rPr>
      </w:pPr>
      <w:r>
        <w:rPr>
          <w:rFonts w:hint="eastAsia" w:ascii="宋体" w:hAnsi="宋体"/>
          <w:sz w:val="24"/>
        </w:rPr>
        <w:t>3. 履约保证金扣除甲方应得的补偿后的余额在有效期满后5个工作日内无息退还给乙方。</w:t>
      </w:r>
    </w:p>
    <w:p>
      <w:pPr>
        <w:snapToGrid w:val="0"/>
        <w:spacing w:line="560" w:lineRule="exact"/>
        <w:ind w:firstLine="480" w:firstLineChars="200"/>
        <w:rPr>
          <w:rFonts w:ascii="宋体" w:hAnsi="宋体"/>
          <w:sz w:val="24"/>
        </w:rPr>
      </w:pPr>
      <w:r>
        <w:rPr>
          <w:rFonts w:hint="eastAsia" w:ascii="宋体" w:hAnsi="宋体"/>
          <w:sz w:val="24"/>
        </w:rPr>
        <w:t>第十二条 违约责任</w:t>
      </w:r>
    </w:p>
    <w:p>
      <w:pPr>
        <w:snapToGrid w:val="0"/>
        <w:spacing w:line="560" w:lineRule="exact"/>
        <w:ind w:firstLine="480" w:firstLineChars="200"/>
        <w:rPr>
          <w:rFonts w:ascii="宋体" w:hAnsi="宋体"/>
          <w:sz w:val="24"/>
        </w:rPr>
      </w:pPr>
      <w:r>
        <w:rPr>
          <w:rFonts w:hint="eastAsia" w:ascii="宋体" w:hAnsi="宋体"/>
          <w:sz w:val="24"/>
        </w:rPr>
        <w:t>1. 除不可抗力外，如果乙方没有按照本合同约定的期限、地点和方式交付货物，那么甲方可要求乙方支付违约金，违约金按每迟延交付货物一日的应交付而未交付货物价格的 1 %计算，最高限额为本合同总价的 20 %；迟延交付货物的违约金计算数额达到前述最高限额之日起，甲方有权在要求乙方支付违约金的同时，书面通知乙方解除本合同；</w:t>
      </w:r>
    </w:p>
    <w:p>
      <w:pPr>
        <w:snapToGrid w:val="0"/>
        <w:spacing w:line="560" w:lineRule="exact"/>
        <w:ind w:firstLine="480" w:firstLineChars="200"/>
        <w:rPr>
          <w:rFonts w:ascii="宋体" w:hAnsi="宋体"/>
          <w:sz w:val="24"/>
        </w:rPr>
      </w:pPr>
      <w:r>
        <w:rPr>
          <w:rFonts w:hint="eastAsia" w:ascii="宋体" w:hAnsi="宋体"/>
          <w:sz w:val="24"/>
        </w:rPr>
        <w:t>2. 除不可抗力外，如果甲方没有按照本合同约定的付款方式付款，那么乙方可要求甲方支付违约金，违约金按每迟延付款一日的应付而未付款的 1 %计算，最高限额为本合同总价的 20 %；迟延付款的违约金计算数额达到前述最高限额之日起，乙方有权在要求甲方支付违约金的同时，书面通知甲方解除本合同；</w:t>
      </w:r>
    </w:p>
    <w:p>
      <w:pPr>
        <w:snapToGrid w:val="0"/>
        <w:spacing w:line="560" w:lineRule="exact"/>
        <w:ind w:firstLine="480" w:firstLineChars="200"/>
        <w:rPr>
          <w:rFonts w:ascii="宋体" w:hAnsi="宋体"/>
          <w:sz w:val="24"/>
        </w:rPr>
      </w:pPr>
      <w:r>
        <w:rPr>
          <w:rFonts w:hint="eastAsia" w:ascii="宋体" w:hAnsi="宋体"/>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560" w:lineRule="exact"/>
        <w:ind w:firstLine="480" w:firstLineChars="200"/>
        <w:rPr>
          <w:rFonts w:ascii="宋体" w:hAnsi="宋体"/>
          <w:sz w:val="24"/>
        </w:rPr>
      </w:pPr>
      <w:r>
        <w:rPr>
          <w:rFonts w:hint="eastAsia" w:ascii="宋体" w:hAnsi="宋体"/>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560" w:lineRule="exact"/>
        <w:ind w:firstLine="480" w:firstLineChars="200"/>
        <w:rPr>
          <w:rFonts w:ascii="宋体" w:hAnsi="宋体"/>
          <w:sz w:val="24"/>
        </w:rPr>
      </w:pPr>
      <w:r>
        <w:rPr>
          <w:rFonts w:hint="eastAsia" w:ascii="宋体" w:hAnsi="宋体"/>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560" w:lineRule="exact"/>
        <w:ind w:firstLine="480" w:firstLineChars="200"/>
        <w:rPr>
          <w:rFonts w:ascii="宋体" w:hAnsi="宋体"/>
          <w:sz w:val="24"/>
        </w:rPr>
      </w:pPr>
      <w:r>
        <w:rPr>
          <w:rFonts w:hint="eastAsia" w:ascii="宋体" w:hAnsi="宋体"/>
          <w:sz w:val="24"/>
        </w:rPr>
        <w:t>6. 如果出现监督管理部门在处理投诉事项期间，书面通知甲方暂停采购活动的情形，或者询问或质疑事项可能影响中标结果的，导致甲方中止履行合同的情形，均不视为甲方违约。</w:t>
      </w:r>
    </w:p>
    <w:p>
      <w:pPr>
        <w:snapToGrid w:val="0"/>
        <w:spacing w:line="560" w:lineRule="exact"/>
        <w:ind w:firstLine="480" w:firstLineChars="200"/>
        <w:rPr>
          <w:rFonts w:ascii="宋体" w:hAnsi="宋体"/>
          <w:sz w:val="24"/>
        </w:rPr>
      </w:pPr>
      <w:r>
        <w:rPr>
          <w:rFonts w:hint="eastAsia" w:ascii="宋体" w:hAnsi="宋体"/>
          <w:sz w:val="24"/>
        </w:rPr>
        <w:t>第十三条 合同变更</w:t>
      </w:r>
      <w:bookmarkEnd w:id="50"/>
      <w:r>
        <w:rPr>
          <w:rFonts w:hint="eastAsia" w:ascii="宋体" w:hAnsi="宋体"/>
          <w:sz w:val="24"/>
        </w:rPr>
        <w:t>和终止</w:t>
      </w:r>
    </w:p>
    <w:p>
      <w:pPr>
        <w:snapToGrid w:val="0"/>
        <w:spacing w:line="560" w:lineRule="exact"/>
        <w:ind w:firstLine="480" w:firstLineChars="200"/>
        <w:rPr>
          <w:rFonts w:ascii="宋体" w:hAnsi="宋体"/>
          <w:sz w:val="24"/>
        </w:rPr>
      </w:pPr>
      <w:r>
        <w:rPr>
          <w:rFonts w:hint="eastAsia" w:ascii="宋体" w:hAnsi="宋体"/>
          <w:sz w:val="24"/>
        </w:rPr>
        <w:t>除《中华人民共和国政府采购法》第４９条、第５０条第二款规定的情形外，本合同一经签订，甲乙双方不得擅自变更、中止或终止合同。</w:t>
      </w:r>
    </w:p>
    <w:p>
      <w:pPr>
        <w:snapToGrid w:val="0"/>
        <w:spacing w:line="560" w:lineRule="exact"/>
        <w:ind w:firstLine="480" w:firstLineChars="200"/>
        <w:rPr>
          <w:rFonts w:ascii="宋体" w:hAnsi="宋体"/>
          <w:sz w:val="24"/>
        </w:rPr>
      </w:pPr>
      <w:bookmarkStart w:id="51" w:name="_Toc42074703"/>
      <w:r>
        <w:rPr>
          <w:rFonts w:hint="eastAsia" w:ascii="宋体" w:hAnsi="宋体"/>
          <w:sz w:val="24"/>
        </w:rPr>
        <w:t>第十四条 合同争议的解决</w:t>
      </w:r>
      <w:bookmarkEnd w:id="51"/>
    </w:p>
    <w:p>
      <w:pPr>
        <w:snapToGrid w:val="0"/>
        <w:spacing w:line="560" w:lineRule="exact"/>
        <w:ind w:firstLine="480" w:firstLineChars="2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 1 种方式解决：</w:t>
      </w:r>
    </w:p>
    <w:p>
      <w:pPr>
        <w:snapToGrid w:val="0"/>
        <w:spacing w:line="560" w:lineRule="exact"/>
        <w:ind w:firstLine="480" w:firstLineChars="200"/>
        <w:rPr>
          <w:rFonts w:ascii="宋体" w:hAnsi="宋体"/>
          <w:sz w:val="24"/>
        </w:rPr>
      </w:pPr>
      <w:r>
        <w:rPr>
          <w:rFonts w:hint="eastAsia" w:ascii="宋体" w:hAnsi="宋体"/>
          <w:sz w:val="24"/>
        </w:rPr>
        <w:t>1. 将争议提交常州仲裁委员会依申请仲裁时其现行有效的仲裁规则裁决；</w:t>
      </w:r>
    </w:p>
    <w:p>
      <w:pPr>
        <w:snapToGrid w:val="0"/>
        <w:spacing w:line="560" w:lineRule="exact"/>
        <w:ind w:firstLine="480" w:firstLineChars="200"/>
        <w:rPr>
          <w:rFonts w:ascii="宋体" w:hAnsi="宋体"/>
          <w:sz w:val="24"/>
        </w:rPr>
      </w:pPr>
      <w:r>
        <w:rPr>
          <w:rFonts w:hint="eastAsia" w:ascii="宋体" w:hAnsi="宋体"/>
          <w:sz w:val="24"/>
        </w:rPr>
        <w:t>2. 向甲方所在地有管辖权的人民法院起诉。</w:t>
      </w:r>
    </w:p>
    <w:p>
      <w:pPr>
        <w:snapToGrid w:val="0"/>
        <w:spacing w:line="560" w:lineRule="exact"/>
        <w:ind w:firstLine="480" w:firstLineChars="200"/>
        <w:rPr>
          <w:rFonts w:ascii="宋体" w:hAnsi="宋体"/>
          <w:sz w:val="24"/>
        </w:rPr>
      </w:pPr>
      <w:r>
        <w:rPr>
          <w:rFonts w:hint="eastAsia" w:ascii="宋体" w:hAnsi="宋体"/>
          <w:sz w:val="24"/>
        </w:rPr>
        <w:t>第十五条 合同生效</w:t>
      </w:r>
    </w:p>
    <w:p>
      <w:pPr>
        <w:snapToGrid w:val="0"/>
        <w:spacing w:line="560" w:lineRule="exact"/>
        <w:ind w:firstLine="480" w:firstLineChars="200"/>
        <w:rPr>
          <w:rFonts w:ascii="宋体" w:hAnsi="宋体"/>
          <w:sz w:val="24"/>
        </w:rPr>
      </w:pPr>
      <w:r>
        <w:rPr>
          <w:rFonts w:hint="eastAsia" w:ascii="宋体" w:hAnsi="宋体"/>
          <w:sz w:val="24"/>
        </w:rPr>
        <w:t xml:space="preserve">本合同自甲乙丙三方签字盖章之日起生效（需加盖骑缝章）。 </w:t>
      </w:r>
    </w:p>
    <w:p>
      <w:pPr>
        <w:snapToGrid w:val="0"/>
        <w:spacing w:line="560" w:lineRule="exact"/>
        <w:ind w:firstLine="480" w:firstLineChars="200"/>
        <w:rPr>
          <w:rFonts w:ascii="宋体" w:hAnsi="宋体"/>
          <w:sz w:val="24"/>
        </w:rPr>
      </w:pPr>
      <w:r>
        <w:rPr>
          <w:rFonts w:hint="eastAsia" w:ascii="宋体" w:hAnsi="宋体"/>
          <w:sz w:val="24"/>
        </w:rPr>
        <w:t>第十六条 其他</w:t>
      </w:r>
    </w:p>
    <w:p>
      <w:pPr>
        <w:snapToGrid w:val="0"/>
        <w:spacing w:line="560" w:lineRule="exact"/>
        <w:ind w:firstLine="480" w:firstLineChars="200"/>
        <w:rPr>
          <w:rFonts w:ascii="宋体" w:hAnsi="宋体"/>
          <w:sz w:val="24"/>
        </w:rPr>
      </w:pPr>
      <w:r>
        <w:rPr>
          <w:rFonts w:hint="eastAsia" w:ascii="宋体" w:hAnsi="宋体"/>
          <w:sz w:val="24"/>
        </w:rPr>
        <w:t>本合同一式捌份，具有同等法律效力，甲方、乙方、丙方、代理采购机构各执贰份。</w:t>
      </w:r>
    </w:p>
    <w:p>
      <w:pPr>
        <w:snapToGrid w:val="0"/>
        <w:spacing w:line="560" w:lineRule="exact"/>
        <w:ind w:firstLine="480" w:firstLineChars="200"/>
        <w:rPr>
          <w:rFonts w:ascii="宋体" w:hAnsi="宋体"/>
          <w:sz w:val="24"/>
        </w:rPr>
      </w:pPr>
      <w:r>
        <w:rPr>
          <w:rFonts w:hint="eastAsia" w:ascii="宋体" w:hAnsi="宋体"/>
          <w:sz w:val="24"/>
        </w:rPr>
        <w:t>本合同执行期间如遇不可抗力，致使合同无法履行时，双方应按有</w:t>
      </w:r>
      <w:bookmarkStart w:id="70" w:name="_GoBack"/>
      <w:bookmarkEnd w:id="70"/>
      <w:r>
        <w:rPr>
          <w:rFonts w:hint="eastAsia" w:ascii="宋体" w:hAnsi="宋体"/>
          <w:sz w:val="24"/>
        </w:rPr>
        <w:t xml:space="preserve">关法律规定及时协商处理。 </w:t>
      </w:r>
    </w:p>
    <w:p>
      <w:pPr>
        <w:snapToGrid w:val="0"/>
        <w:spacing w:line="560" w:lineRule="exact"/>
        <w:ind w:firstLine="480" w:firstLineChars="200"/>
        <w:rPr>
          <w:rFonts w:ascii="宋体" w:hAnsi="宋体"/>
          <w:sz w:val="24"/>
        </w:rPr>
      </w:pPr>
      <w:r>
        <w:rPr>
          <w:rFonts w:hint="eastAsia" w:ascii="宋体" w:hAnsi="宋体"/>
          <w:sz w:val="24"/>
        </w:rPr>
        <w:t xml:space="preserve">本合同应按照中华人民共和国的现行法律进行解释，条款中如与国家规定、条例有抵触的，则该条款无效并按国家规定和条例执行，合同的其它条款继续有效。 </w:t>
      </w:r>
    </w:p>
    <w:p>
      <w:pPr>
        <w:snapToGrid w:val="0"/>
        <w:spacing w:line="560" w:lineRule="exact"/>
        <w:jc w:val="center"/>
        <w:rPr>
          <w:rFonts w:ascii="宋体" w:hAnsi="宋体"/>
          <w:sz w:val="24"/>
        </w:rPr>
      </w:pPr>
      <w:r>
        <w:rPr>
          <w:rFonts w:ascii="宋体" w:hAnsi="宋体"/>
          <w:sz w:val="24"/>
        </w:rPr>
        <w:br w:type="page"/>
      </w:r>
      <w:r>
        <w:rPr>
          <w:rFonts w:hint="eastAsia" w:ascii="宋体" w:hAnsi="宋体"/>
          <w:sz w:val="24"/>
        </w:rPr>
        <w:t>（此页无正文，为</w:t>
      </w:r>
      <w:r>
        <w:rPr>
          <w:rFonts w:hint="eastAsia" w:ascii="宋体" w:hAnsi="宋体"/>
          <w:sz w:val="24"/>
          <w:u w:val="single"/>
        </w:rPr>
        <w:t xml:space="preserve">         项目名称       </w:t>
      </w:r>
      <w:r>
        <w:rPr>
          <w:rFonts w:hint="eastAsia" w:ascii="宋体" w:hAnsi="宋体"/>
          <w:sz w:val="24"/>
        </w:rPr>
        <w:t>合同的签字盖章页）</w:t>
      </w:r>
    </w:p>
    <w:p>
      <w:pPr>
        <w:snapToGrid w:val="0"/>
        <w:spacing w:line="560" w:lineRule="exact"/>
        <w:rPr>
          <w:rFonts w:ascii="宋体" w:hAnsi="宋体"/>
          <w:sz w:val="24"/>
        </w:rPr>
      </w:pPr>
    </w:p>
    <w:p/>
    <w:tbl>
      <w:tblPr>
        <w:tblStyle w:val="32"/>
        <w:tblW w:w="9400" w:type="dxa"/>
        <w:tblInd w:w="0" w:type="dxa"/>
        <w:tblLayout w:type="fixed"/>
        <w:tblCellMar>
          <w:top w:w="0" w:type="dxa"/>
          <w:left w:w="108" w:type="dxa"/>
          <w:bottom w:w="0" w:type="dxa"/>
          <w:right w:w="108" w:type="dxa"/>
        </w:tblCellMar>
      </w:tblPr>
      <w:tblGrid>
        <w:gridCol w:w="4700"/>
        <w:gridCol w:w="4700"/>
      </w:tblGrid>
      <w:tr>
        <w:tblPrEx>
          <w:tblCellMar>
            <w:top w:w="0" w:type="dxa"/>
            <w:left w:w="108" w:type="dxa"/>
            <w:bottom w:w="0" w:type="dxa"/>
            <w:right w:w="108" w:type="dxa"/>
          </w:tblCellMar>
        </w:tblPrEx>
        <w:tc>
          <w:tcPr>
            <w:tcW w:w="4700" w:type="dxa"/>
            <w:shd w:val="clear" w:color="auto" w:fill="auto"/>
          </w:tcPr>
          <w:p>
            <w:pPr>
              <w:snapToGrid w:val="0"/>
              <w:spacing w:line="560" w:lineRule="exact"/>
              <w:ind w:left="5040" w:hanging="5040" w:hangingChars="2100"/>
              <w:rPr>
                <w:rFonts w:ascii="宋体" w:hAnsi="宋体" w:cs="仿宋"/>
                <w:sz w:val="24"/>
              </w:rPr>
            </w:pPr>
            <w:r>
              <w:rPr>
                <w:rFonts w:hint="eastAsia" w:ascii="宋体" w:hAnsi="宋体" w:cs="仿宋"/>
                <w:sz w:val="24"/>
              </w:rPr>
              <w:t>甲方（采购人）：（盖章）</w:t>
            </w:r>
          </w:p>
          <w:p>
            <w:pPr>
              <w:snapToGrid w:val="0"/>
              <w:spacing w:line="560" w:lineRule="exact"/>
              <w:ind w:left="5040" w:hanging="5040" w:hangingChars="2100"/>
              <w:rPr>
                <w:rFonts w:ascii="宋体" w:hAnsi="宋体" w:cs="仿宋"/>
                <w:sz w:val="24"/>
              </w:rPr>
            </w:pPr>
            <w:r>
              <w:rPr>
                <w:rFonts w:hint="eastAsia" w:ascii="宋体" w:hAnsi="宋体" w:cs="仿宋"/>
                <w:sz w:val="24"/>
              </w:rPr>
              <w:t>法定代表人：</w:t>
            </w:r>
          </w:p>
          <w:p>
            <w:pPr>
              <w:snapToGrid w:val="0"/>
              <w:spacing w:line="560" w:lineRule="exact"/>
              <w:ind w:left="5040" w:hanging="5040" w:hangingChars="2100"/>
              <w:rPr>
                <w:rFonts w:ascii="宋体" w:hAnsi="宋体" w:cs="仿宋"/>
                <w:sz w:val="24"/>
              </w:rPr>
            </w:pPr>
            <w:r>
              <w:rPr>
                <w:rFonts w:hint="eastAsia" w:ascii="宋体" w:hAnsi="宋体" w:cs="仿宋"/>
                <w:sz w:val="24"/>
              </w:rPr>
              <w:t>代理人：</w:t>
            </w:r>
          </w:p>
          <w:p>
            <w:pPr>
              <w:snapToGrid w:val="0"/>
              <w:spacing w:line="560" w:lineRule="exact"/>
              <w:ind w:left="5040" w:hanging="5040" w:hangingChars="2100"/>
              <w:rPr>
                <w:rFonts w:ascii="宋体" w:hAnsi="宋体" w:cs="仿宋"/>
                <w:sz w:val="24"/>
              </w:rPr>
            </w:pPr>
            <w:r>
              <w:rPr>
                <w:rFonts w:hint="eastAsia" w:ascii="宋体" w:hAnsi="宋体" w:cs="仿宋"/>
                <w:sz w:val="24"/>
              </w:rPr>
              <w:t>电话：</w:t>
            </w:r>
          </w:p>
          <w:p>
            <w:pPr>
              <w:snapToGrid w:val="0"/>
              <w:spacing w:line="560" w:lineRule="exact"/>
              <w:ind w:left="5040" w:hanging="5040" w:hangingChars="2100"/>
              <w:rPr>
                <w:rFonts w:ascii="宋体" w:hAnsi="宋体" w:cs="仿宋"/>
                <w:sz w:val="24"/>
              </w:rPr>
            </w:pPr>
            <w:r>
              <w:rPr>
                <w:rFonts w:hint="eastAsia" w:ascii="宋体" w:hAnsi="宋体" w:cs="仿宋"/>
                <w:sz w:val="24"/>
              </w:rPr>
              <w:t>开户银行：</w:t>
            </w:r>
          </w:p>
          <w:p>
            <w:pPr>
              <w:snapToGrid w:val="0"/>
              <w:spacing w:line="560" w:lineRule="exact"/>
              <w:ind w:left="5040" w:hanging="5040" w:hangingChars="2100"/>
              <w:rPr>
                <w:rFonts w:ascii="宋体" w:hAnsi="宋体" w:cs="仿宋"/>
                <w:sz w:val="24"/>
              </w:rPr>
            </w:pPr>
            <w:r>
              <w:rPr>
                <w:rFonts w:hint="eastAsia" w:ascii="宋体" w:hAnsi="宋体" w:cs="仿宋"/>
                <w:sz w:val="24"/>
              </w:rPr>
              <w:t>账号：</w:t>
            </w:r>
          </w:p>
          <w:p>
            <w:pPr>
              <w:snapToGrid w:val="0"/>
              <w:spacing w:line="560" w:lineRule="exact"/>
              <w:ind w:left="5040" w:hanging="5040" w:hangingChars="2100"/>
              <w:rPr>
                <w:rFonts w:ascii="宋体" w:hAnsi="宋体" w:cs="仿宋"/>
                <w:sz w:val="24"/>
              </w:rPr>
            </w:pPr>
            <w:r>
              <w:rPr>
                <w:rFonts w:hint="eastAsia" w:ascii="宋体" w:hAnsi="宋体" w:cs="仿宋"/>
                <w:sz w:val="24"/>
              </w:rPr>
              <w:t>单位地址：</w:t>
            </w:r>
          </w:p>
          <w:p>
            <w:pPr>
              <w:snapToGrid w:val="0"/>
              <w:spacing w:line="560" w:lineRule="exact"/>
              <w:ind w:left="5040" w:hanging="5040" w:hangingChars="2100"/>
              <w:rPr>
                <w:rFonts w:ascii="宋体" w:hAnsi="宋体"/>
                <w:sz w:val="24"/>
              </w:rPr>
            </w:pPr>
            <w:r>
              <w:rPr>
                <w:rFonts w:hint="eastAsia" w:ascii="宋体" w:hAnsi="宋体" w:cs="仿宋"/>
                <w:sz w:val="24"/>
              </w:rPr>
              <w:t>日期：</w:t>
            </w:r>
          </w:p>
        </w:tc>
        <w:tc>
          <w:tcPr>
            <w:tcW w:w="4700" w:type="dxa"/>
            <w:shd w:val="clear" w:color="auto" w:fill="auto"/>
          </w:tcPr>
          <w:p>
            <w:pPr>
              <w:snapToGrid w:val="0"/>
              <w:spacing w:line="560" w:lineRule="exact"/>
              <w:rPr>
                <w:rFonts w:ascii="宋体" w:hAnsi="宋体"/>
                <w:sz w:val="24"/>
              </w:rPr>
            </w:pPr>
            <w:r>
              <w:rPr>
                <w:rFonts w:hint="eastAsia" w:ascii="宋体" w:hAnsi="宋体" w:cs="仿宋"/>
                <w:sz w:val="24"/>
              </w:rPr>
              <w:t xml:space="preserve"> </w:t>
            </w:r>
          </w:p>
        </w:tc>
      </w:tr>
      <w:tr>
        <w:tblPrEx>
          <w:tblCellMar>
            <w:top w:w="0" w:type="dxa"/>
            <w:left w:w="108" w:type="dxa"/>
            <w:bottom w:w="0" w:type="dxa"/>
            <w:right w:w="108" w:type="dxa"/>
          </w:tblCellMar>
        </w:tblPrEx>
        <w:tc>
          <w:tcPr>
            <w:tcW w:w="9400" w:type="dxa"/>
            <w:gridSpan w:val="2"/>
            <w:shd w:val="clear" w:color="auto" w:fill="auto"/>
          </w:tcPr>
          <w:p>
            <w:pPr>
              <w:snapToGrid w:val="0"/>
              <w:spacing w:line="560" w:lineRule="exact"/>
              <w:ind w:left="5198" w:leftChars="304" w:hanging="4560" w:hangingChars="1900"/>
              <w:rPr>
                <w:rFonts w:ascii="宋体" w:hAnsi="宋体" w:cs="仿宋"/>
                <w:sz w:val="24"/>
              </w:rPr>
            </w:pPr>
          </w:p>
          <w:p>
            <w:pPr>
              <w:snapToGrid w:val="0"/>
              <w:spacing w:line="560" w:lineRule="exact"/>
              <w:rPr>
                <w:rFonts w:ascii="宋体" w:hAnsi="宋体" w:cs="仿宋"/>
                <w:sz w:val="24"/>
              </w:rPr>
            </w:pPr>
            <w:r>
              <w:rPr>
                <w:rFonts w:hint="eastAsia" w:ascii="宋体" w:hAnsi="宋体" w:cs="仿宋"/>
                <w:sz w:val="24"/>
              </w:rPr>
              <w:t>乙方（供应商）：（盖章）</w:t>
            </w:r>
          </w:p>
          <w:p>
            <w:pPr>
              <w:snapToGrid w:val="0"/>
              <w:spacing w:line="560" w:lineRule="exact"/>
              <w:rPr>
                <w:rFonts w:ascii="宋体" w:hAnsi="宋体" w:cs="仿宋"/>
                <w:sz w:val="24"/>
              </w:rPr>
            </w:pPr>
            <w:r>
              <w:rPr>
                <w:rFonts w:hint="eastAsia" w:ascii="宋体" w:hAnsi="宋体" w:cs="仿宋"/>
                <w:sz w:val="24"/>
              </w:rPr>
              <w:t>法定代表人：</w:t>
            </w:r>
          </w:p>
          <w:p>
            <w:pPr>
              <w:snapToGrid w:val="0"/>
              <w:spacing w:line="560" w:lineRule="exact"/>
              <w:rPr>
                <w:rFonts w:ascii="宋体" w:hAnsi="宋体" w:cs="仿宋"/>
                <w:sz w:val="24"/>
              </w:rPr>
            </w:pPr>
            <w:r>
              <w:rPr>
                <w:rFonts w:hint="eastAsia" w:ascii="宋体" w:hAnsi="宋体" w:cs="仿宋"/>
                <w:sz w:val="24"/>
              </w:rPr>
              <w:t>代理人：</w:t>
            </w:r>
          </w:p>
          <w:p>
            <w:pPr>
              <w:snapToGrid w:val="0"/>
              <w:spacing w:line="560" w:lineRule="exact"/>
              <w:rPr>
                <w:rFonts w:ascii="宋体" w:hAnsi="宋体" w:cs="仿宋"/>
                <w:sz w:val="24"/>
              </w:rPr>
            </w:pPr>
            <w:r>
              <w:rPr>
                <w:rFonts w:hint="eastAsia" w:ascii="宋体" w:hAnsi="宋体" w:cs="仿宋"/>
                <w:sz w:val="24"/>
              </w:rPr>
              <w:t>电话：</w:t>
            </w:r>
          </w:p>
          <w:p>
            <w:pPr>
              <w:snapToGrid w:val="0"/>
              <w:spacing w:line="560" w:lineRule="exact"/>
              <w:ind w:left="5040" w:hanging="5040" w:hangingChars="2100"/>
              <w:rPr>
                <w:rFonts w:ascii="宋体" w:hAnsi="宋体" w:cs="仿宋"/>
                <w:sz w:val="24"/>
              </w:rPr>
            </w:pPr>
            <w:r>
              <w:rPr>
                <w:rFonts w:hint="eastAsia" w:ascii="宋体" w:hAnsi="宋体" w:cs="仿宋"/>
                <w:sz w:val="24"/>
              </w:rPr>
              <w:t>开户银行：</w:t>
            </w:r>
          </w:p>
          <w:p>
            <w:pPr>
              <w:snapToGrid w:val="0"/>
              <w:spacing w:line="560" w:lineRule="exact"/>
              <w:rPr>
                <w:rFonts w:ascii="宋体" w:hAnsi="宋体" w:cs="仿宋"/>
                <w:sz w:val="24"/>
              </w:rPr>
            </w:pPr>
            <w:r>
              <w:rPr>
                <w:rFonts w:hint="eastAsia" w:ascii="宋体" w:hAnsi="宋体" w:cs="仿宋"/>
                <w:sz w:val="24"/>
              </w:rPr>
              <w:t>账号：</w:t>
            </w:r>
          </w:p>
          <w:p>
            <w:pPr>
              <w:snapToGrid w:val="0"/>
              <w:spacing w:line="560" w:lineRule="exact"/>
              <w:rPr>
                <w:rFonts w:ascii="宋体" w:hAnsi="宋体" w:cs="仿宋"/>
                <w:sz w:val="24"/>
              </w:rPr>
            </w:pPr>
            <w:r>
              <w:rPr>
                <w:rFonts w:hint="eastAsia" w:ascii="宋体" w:hAnsi="宋体" w:cs="仿宋"/>
                <w:sz w:val="24"/>
              </w:rPr>
              <w:t>单位地址：</w:t>
            </w:r>
          </w:p>
          <w:p>
            <w:pPr>
              <w:snapToGrid w:val="0"/>
              <w:spacing w:line="560" w:lineRule="exact"/>
              <w:rPr>
                <w:rFonts w:ascii="宋体" w:hAnsi="宋体"/>
                <w:sz w:val="24"/>
              </w:rPr>
            </w:pPr>
            <w:r>
              <w:rPr>
                <w:rFonts w:hint="eastAsia" w:ascii="宋体" w:hAnsi="宋体" w:cs="仿宋"/>
                <w:sz w:val="24"/>
              </w:rPr>
              <w:t xml:space="preserve">日期：    </w:t>
            </w:r>
          </w:p>
        </w:tc>
      </w:tr>
    </w:tbl>
    <w:p/>
    <w:p/>
    <w:p/>
    <w:p/>
    <w:p/>
    <w:p/>
    <w:p/>
    <w:p/>
    <w:p/>
    <w:p/>
    <w:p/>
    <w:p/>
    <w:p>
      <w:pPr>
        <w:snapToGrid w:val="0"/>
        <w:spacing w:line="560" w:lineRule="exact"/>
        <w:rPr>
          <w:rFonts w:ascii="宋体" w:hAnsi="宋体" w:cs="仿宋"/>
          <w:sz w:val="24"/>
        </w:rPr>
      </w:pPr>
      <w:r>
        <w:rPr>
          <w:rFonts w:hint="eastAsia" w:ascii="宋体" w:hAnsi="宋体" w:cs="仿宋"/>
          <w:sz w:val="24"/>
        </w:rPr>
        <w:t>丙方（银行方）：（盖章）</w:t>
      </w:r>
    </w:p>
    <w:p>
      <w:pPr>
        <w:snapToGrid w:val="0"/>
        <w:spacing w:line="560" w:lineRule="exact"/>
        <w:rPr>
          <w:rFonts w:ascii="宋体" w:hAnsi="宋体" w:cs="仿宋"/>
          <w:sz w:val="24"/>
        </w:rPr>
      </w:pPr>
      <w:r>
        <w:rPr>
          <w:rFonts w:hint="eastAsia" w:ascii="宋体" w:hAnsi="宋体" w:cs="仿宋"/>
          <w:sz w:val="24"/>
        </w:rPr>
        <w:t>法定代表人：</w:t>
      </w:r>
    </w:p>
    <w:p>
      <w:pPr>
        <w:snapToGrid w:val="0"/>
        <w:spacing w:line="560" w:lineRule="exact"/>
        <w:rPr>
          <w:rFonts w:ascii="宋体" w:hAnsi="宋体" w:cs="仿宋"/>
          <w:sz w:val="24"/>
        </w:rPr>
      </w:pPr>
      <w:r>
        <w:rPr>
          <w:rFonts w:hint="eastAsia" w:ascii="宋体" w:hAnsi="宋体" w:cs="仿宋"/>
          <w:sz w:val="24"/>
        </w:rPr>
        <w:t>代理人：</w:t>
      </w:r>
    </w:p>
    <w:p>
      <w:pPr>
        <w:snapToGrid w:val="0"/>
        <w:spacing w:line="560" w:lineRule="exact"/>
        <w:rPr>
          <w:rFonts w:ascii="宋体" w:hAnsi="宋体" w:cs="仿宋"/>
          <w:sz w:val="24"/>
        </w:rPr>
      </w:pPr>
      <w:r>
        <w:rPr>
          <w:rFonts w:hint="eastAsia" w:ascii="宋体" w:hAnsi="宋体" w:cs="仿宋"/>
          <w:sz w:val="24"/>
        </w:rPr>
        <w:t>电话：</w:t>
      </w:r>
    </w:p>
    <w:p>
      <w:pPr>
        <w:snapToGrid w:val="0"/>
        <w:spacing w:line="560" w:lineRule="exact"/>
        <w:rPr>
          <w:rFonts w:ascii="宋体" w:hAnsi="宋体" w:cs="仿宋"/>
          <w:sz w:val="24"/>
        </w:rPr>
      </w:pPr>
      <w:r>
        <w:rPr>
          <w:rFonts w:hint="eastAsia" w:ascii="宋体" w:hAnsi="宋体" w:cs="仿宋"/>
          <w:sz w:val="24"/>
        </w:rPr>
        <w:t>单位地址：</w:t>
      </w:r>
    </w:p>
    <w:p>
      <w:pPr>
        <w:snapToGrid w:val="0"/>
        <w:spacing w:line="560" w:lineRule="exact"/>
        <w:rPr>
          <w:rFonts w:ascii="宋体" w:hAnsi="宋体" w:cs="仿宋"/>
          <w:sz w:val="24"/>
        </w:rPr>
      </w:pPr>
      <w:r>
        <w:rPr>
          <w:rFonts w:hint="eastAsia" w:ascii="宋体" w:hAnsi="宋体" w:cs="仿宋"/>
          <w:sz w:val="24"/>
        </w:rPr>
        <w:t xml:space="preserve">日期：    </w:t>
      </w:r>
    </w:p>
    <w:p>
      <w:pPr>
        <w:rPr>
          <w:rFonts w:ascii="宋体" w:hAnsi="宋体"/>
          <w:sz w:val="24"/>
        </w:rPr>
      </w:pPr>
    </w:p>
    <w:p/>
    <w:p/>
    <w:p>
      <w:pPr>
        <w:widowControl/>
        <w:spacing w:line="360" w:lineRule="auto"/>
        <w:jc w:val="left"/>
        <w:rPr>
          <w:rFonts w:ascii="宋体" w:hAnsi="宋体"/>
          <w:sz w:val="24"/>
        </w:rPr>
      </w:pPr>
      <w:r>
        <w:rPr>
          <w:rFonts w:hint="eastAsia" w:ascii="宋体" w:hAnsi="宋体"/>
          <w:sz w:val="24"/>
        </w:rPr>
        <w:t>合同备案</w:t>
      </w:r>
    </w:p>
    <w:p>
      <w:pPr>
        <w:widowControl/>
        <w:spacing w:line="360" w:lineRule="auto"/>
        <w:jc w:val="left"/>
        <w:rPr>
          <w:rFonts w:ascii="宋体" w:hAnsi="宋体"/>
          <w:sz w:val="24"/>
        </w:rPr>
      </w:pPr>
      <w:r>
        <w:rPr>
          <w:rFonts w:hint="eastAsia" w:ascii="宋体" w:hAnsi="宋体"/>
          <w:sz w:val="24"/>
        </w:rPr>
        <w:t>代理机构（盖章）：</w:t>
      </w:r>
    </w:p>
    <w:p>
      <w:pPr>
        <w:widowControl/>
        <w:spacing w:line="360" w:lineRule="auto"/>
        <w:jc w:val="left"/>
        <w:rPr>
          <w:rFonts w:ascii="宋体" w:hAnsi="宋体"/>
          <w:sz w:val="24"/>
        </w:rPr>
      </w:pPr>
      <w:r>
        <w:rPr>
          <w:rFonts w:hint="eastAsia" w:ascii="宋体" w:hAnsi="宋体"/>
          <w:sz w:val="24"/>
        </w:rPr>
        <w:t>日期：</w:t>
      </w:r>
    </w:p>
    <w:p>
      <w:pPr>
        <w:widowControl/>
        <w:spacing w:line="360" w:lineRule="auto"/>
        <w:jc w:val="left"/>
        <w:rPr>
          <w:rFonts w:ascii="宋体" w:hAnsi="宋体"/>
          <w:sz w:val="24"/>
        </w:rPr>
      </w:pPr>
      <w:r>
        <w:rPr>
          <w:rFonts w:hint="eastAsia" w:ascii="宋体" w:hAnsi="宋体"/>
          <w:sz w:val="24"/>
        </w:rPr>
        <w:t>地址：江苏省常州市新北区汉江西路118号1号楼3楼</w:t>
      </w:r>
    </w:p>
    <w:p>
      <w:pPr>
        <w:widowControl/>
        <w:spacing w:line="360" w:lineRule="auto"/>
        <w:jc w:val="left"/>
        <w:rPr>
          <w:rFonts w:ascii="宋体" w:hAnsi="宋体"/>
          <w:sz w:val="24"/>
        </w:rPr>
      </w:pPr>
      <w:r>
        <w:rPr>
          <w:rFonts w:hint="eastAsia" w:ascii="宋体" w:hAnsi="宋体"/>
          <w:sz w:val="24"/>
        </w:rPr>
        <w:t>电话：</w:t>
      </w:r>
    </w:p>
    <w:p>
      <w:pPr>
        <w:widowControl/>
        <w:spacing w:line="360" w:lineRule="auto"/>
        <w:jc w:val="left"/>
        <w:rPr>
          <w:rFonts w:asciiTheme="minorEastAsia" w:hAnsiTheme="minorEastAsia"/>
          <w:sz w:val="24"/>
          <w:szCs w:val="24"/>
        </w:rPr>
      </w:pPr>
    </w:p>
    <w:p>
      <w:pPr>
        <w:widowControl/>
        <w:jc w:val="left"/>
        <w:rPr>
          <w:rFonts w:asciiTheme="minorEastAsia" w:hAnsiTheme="minorEastAsia"/>
          <w:sz w:val="24"/>
          <w:szCs w:val="24"/>
        </w:rPr>
      </w:pPr>
      <w:r>
        <w:rPr>
          <w:rFonts w:asciiTheme="minorEastAsia" w:hAnsiTheme="minorEastAsia"/>
          <w:sz w:val="24"/>
          <w:szCs w:val="24"/>
        </w:rPr>
        <w:br w:type="page"/>
      </w:r>
    </w:p>
    <w:p>
      <w:pPr>
        <w:widowControl/>
        <w:jc w:val="left"/>
        <w:rPr>
          <w:rFonts w:ascii="宋体" w:hAnsi="宋体"/>
          <w:b/>
          <w:bCs/>
          <w:sz w:val="32"/>
          <w:szCs w:val="32"/>
        </w:rPr>
      </w:pPr>
      <w:r>
        <w:rPr>
          <w:rFonts w:hint="eastAsia" w:ascii="宋体" w:hAnsi="宋体"/>
          <w:b/>
          <w:bCs/>
          <w:sz w:val="32"/>
          <w:szCs w:val="32"/>
        </w:rPr>
        <w:t>合同附件：项目验收报告</w:t>
      </w:r>
    </w:p>
    <w:tbl>
      <w:tblPr>
        <w:tblStyle w:val="32"/>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533"/>
        <w:gridCol w:w="111"/>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28" w:type="dxa"/>
            <w:gridSpan w:val="2"/>
            <w:vAlign w:val="center"/>
          </w:tcPr>
          <w:p>
            <w:pPr>
              <w:rPr>
                <w:rFonts w:ascii="宋体" w:hAnsi="宋体" w:cs="宋体"/>
                <w:bCs/>
                <w:color w:val="000000"/>
                <w:sz w:val="24"/>
                <w:szCs w:val="24"/>
              </w:rPr>
            </w:pPr>
            <w:r>
              <w:rPr>
                <w:rFonts w:hint="eastAsia" w:ascii="宋体" w:hAnsi="宋体" w:cs="宋体"/>
                <w:bCs/>
                <w:color w:val="000000"/>
                <w:sz w:val="24"/>
                <w:szCs w:val="24"/>
              </w:rPr>
              <w:t>合同名称：</w:t>
            </w:r>
          </w:p>
        </w:tc>
        <w:tc>
          <w:tcPr>
            <w:tcW w:w="1644" w:type="dxa"/>
            <w:gridSpan w:val="2"/>
            <w:vAlign w:val="center"/>
          </w:tcPr>
          <w:p>
            <w:pPr>
              <w:rPr>
                <w:rFonts w:ascii="宋体" w:hAnsi="宋体" w:cs="宋体"/>
                <w:bCs/>
                <w:color w:val="000000"/>
                <w:sz w:val="24"/>
                <w:szCs w:val="24"/>
              </w:rPr>
            </w:pPr>
          </w:p>
        </w:tc>
        <w:tc>
          <w:tcPr>
            <w:tcW w:w="1980" w:type="dxa"/>
            <w:vAlign w:val="center"/>
          </w:tcPr>
          <w:p>
            <w:pPr>
              <w:rPr>
                <w:rFonts w:ascii="宋体" w:hAnsi="宋体" w:cs="宋体"/>
                <w:bCs/>
                <w:color w:val="000000"/>
                <w:sz w:val="24"/>
                <w:szCs w:val="24"/>
              </w:rPr>
            </w:pPr>
            <w:r>
              <w:rPr>
                <w:rFonts w:hint="eastAsia" w:ascii="宋体" w:hAnsi="宋体" w:cs="宋体"/>
                <w:color w:val="000000"/>
                <w:sz w:val="24"/>
                <w:szCs w:val="24"/>
              </w:rPr>
              <w:t>合同编号：</w:t>
            </w:r>
          </w:p>
        </w:tc>
        <w:tc>
          <w:tcPr>
            <w:tcW w:w="2340" w:type="dxa"/>
            <w:vAlign w:val="center"/>
          </w:tcPr>
          <w:p>
            <w:pP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628" w:type="dxa"/>
            <w:gridSpan w:val="2"/>
            <w:vAlign w:val="center"/>
          </w:tcPr>
          <w:p>
            <w:pPr>
              <w:rPr>
                <w:rFonts w:ascii="宋体" w:hAnsi="宋体" w:cs="宋体"/>
                <w:bCs/>
                <w:color w:val="000000"/>
                <w:sz w:val="24"/>
                <w:szCs w:val="24"/>
              </w:rPr>
            </w:pPr>
            <w:r>
              <w:rPr>
                <w:rFonts w:hint="eastAsia" w:ascii="宋体" w:hAnsi="宋体" w:cs="宋体"/>
                <w:bCs/>
                <w:color w:val="000000"/>
                <w:sz w:val="24"/>
                <w:szCs w:val="24"/>
              </w:rPr>
              <w:t>甲方考核评价部门：</w:t>
            </w:r>
          </w:p>
        </w:tc>
        <w:tc>
          <w:tcPr>
            <w:tcW w:w="1644" w:type="dxa"/>
            <w:gridSpan w:val="2"/>
            <w:vAlign w:val="center"/>
          </w:tcPr>
          <w:p>
            <w:pPr>
              <w:rPr>
                <w:rFonts w:ascii="宋体" w:hAnsi="宋体" w:cs="宋体"/>
                <w:bCs/>
                <w:color w:val="000000"/>
                <w:sz w:val="24"/>
                <w:szCs w:val="24"/>
              </w:rPr>
            </w:pPr>
          </w:p>
        </w:tc>
        <w:tc>
          <w:tcPr>
            <w:tcW w:w="1980" w:type="dxa"/>
            <w:vAlign w:val="center"/>
          </w:tcPr>
          <w:p>
            <w:pPr>
              <w:rPr>
                <w:rFonts w:ascii="宋体" w:hAnsi="宋体" w:cs="宋体"/>
                <w:bCs/>
                <w:color w:val="000000"/>
                <w:sz w:val="24"/>
                <w:szCs w:val="24"/>
              </w:rPr>
            </w:pPr>
            <w:r>
              <w:rPr>
                <w:rFonts w:hint="eastAsia" w:ascii="宋体" w:hAnsi="宋体" w:cs="宋体"/>
                <w:bCs/>
                <w:color w:val="000000"/>
                <w:sz w:val="24"/>
                <w:szCs w:val="24"/>
              </w:rPr>
              <w:t>验收地址：</w:t>
            </w:r>
          </w:p>
        </w:tc>
        <w:tc>
          <w:tcPr>
            <w:tcW w:w="2340" w:type="dxa"/>
            <w:vAlign w:val="center"/>
          </w:tcPr>
          <w:p>
            <w:pP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628" w:type="dxa"/>
            <w:gridSpan w:val="2"/>
            <w:vAlign w:val="center"/>
          </w:tcPr>
          <w:p>
            <w:pPr>
              <w:rPr>
                <w:rFonts w:ascii="宋体" w:hAnsi="宋体" w:cs="宋体"/>
                <w:bCs/>
                <w:color w:val="000000"/>
                <w:sz w:val="24"/>
                <w:szCs w:val="24"/>
              </w:rPr>
            </w:pPr>
            <w:r>
              <w:rPr>
                <w:rFonts w:hint="eastAsia" w:ascii="宋体" w:hAnsi="宋体" w:cs="宋体"/>
                <w:bCs/>
                <w:color w:val="000000"/>
                <w:sz w:val="24"/>
                <w:szCs w:val="24"/>
              </w:rPr>
              <w:t>乙方安装工程师：</w:t>
            </w:r>
          </w:p>
        </w:tc>
        <w:tc>
          <w:tcPr>
            <w:tcW w:w="1644" w:type="dxa"/>
            <w:gridSpan w:val="2"/>
            <w:vAlign w:val="center"/>
          </w:tcPr>
          <w:p>
            <w:pPr>
              <w:ind w:left="-287" w:leftChars="-137" w:firstLine="288" w:firstLineChars="120"/>
              <w:rPr>
                <w:rFonts w:ascii="宋体" w:hAnsi="宋体" w:cs="宋体"/>
                <w:bCs/>
                <w:color w:val="000000"/>
                <w:sz w:val="24"/>
                <w:szCs w:val="24"/>
              </w:rPr>
            </w:pPr>
          </w:p>
        </w:tc>
        <w:tc>
          <w:tcPr>
            <w:tcW w:w="1980" w:type="dxa"/>
            <w:vAlign w:val="center"/>
          </w:tcPr>
          <w:p>
            <w:pPr>
              <w:rPr>
                <w:rFonts w:ascii="宋体" w:hAnsi="宋体" w:cs="宋体"/>
                <w:bCs/>
                <w:color w:val="000000"/>
                <w:sz w:val="24"/>
                <w:szCs w:val="24"/>
              </w:rPr>
            </w:pPr>
            <w:r>
              <w:rPr>
                <w:rFonts w:hint="eastAsia" w:ascii="宋体" w:hAnsi="宋体" w:cs="宋体"/>
                <w:bCs/>
                <w:color w:val="000000"/>
                <w:sz w:val="24"/>
                <w:szCs w:val="24"/>
              </w:rPr>
              <w:t>服务联系电话：</w:t>
            </w:r>
          </w:p>
        </w:tc>
        <w:tc>
          <w:tcPr>
            <w:tcW w:w="2340" w:type="dxa"/>
            <w:vAlign w:val="center"/>
          </w:tcPr>
          <w:p>
            <w:pP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828" w:type="dxa"/>
            <w:vMerge w:val="restart"/>
            <w:textDirection w:val="tbRlV"/>
            <w:vAlign w:val="center"/>
          </w:tcPr>
          <w:p>
            <w:pPr>
              <w:ind w:left="113" w:right="113"/>
              <w:jc w:val="center"/>
              <w:rPr>
                <w:rFonts w:ascii="宋体" w:hAnsi="宋体" w:cs="宋体"/>
                <w:bCs/>
                <w:color w:val="000000"/>
                <w:sz w:val="24"/>
                <w:szCs w:val="24"/>
              </w:rPr>
            </w:pPr>
            <w:r>
              <w:rPr>
                <w:rFonts w:hint="eastAsia" w:ascii="宋体" w:hAnsi="宋体" w:cs="宋体"/>
                <w:bCs/>
                <w:color w:val="000000"/>
                <w:sz w:val="24"/>
                <w:szCs w:val="24"/>
              </w:rPr>
              <w:t>主要货物信息</w:t>
            </w:r>
          </w:p>
        </w:tc>
        <w:tc>
          <w:tcPr>
            <w:tcW w:w="180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序号</w:t>
            </w:r>
          </w:p>
        </w:tc>
        <w:tc>
          <w:tcPr>
            <w:tcW w:w="1644" w:type="dxa"/>
            <w:gridSpan w:val="2"/>
            <w:vAlign w:val="center"/>
          </w:tcPr>
          <w:p>
            <w:pPr>
              <w:jc w:val="center"/>
              <w:rPr>
                <w:rFonts w:ascii="宋体" w:hAnsi="宋体" w:cs="宋体"/>
                <w:bCs/>
                <w:color w:val="000000"/>
                <w:sz w:val="24"/>
                <w:szCs w:val="24"/>
              </w:rPr>
            </w:pPr>
            <w:r>
              <w:rPr>
                <w:rFonts w:hint="eastAsia" w:ascii="宋体" w:hAnsi="宋体" w:cs="宋体"/>
                <w:bCs/>
                <w:color w:val="000000"/>
                <w:sz w:val="24"/>
                <w:szCs w:val="24"/>
              </w:rPr>
              <w:t>产品型号</w:t>
            </w:r>
          </w:p>
        </w:tc>
        <w:tc>
          <w:tcPr>
            <w:tcW w:w="198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产品编号或描述</w:t>
            </w:r>
          </w:p>
        </w:tc>
        <w:tc>
          <w:tcPr>
            <w:tcW w:w="234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8" w:type="dxa"/>
            <w:vMerge w:val="continue"/>
            <w:vAlign w:val="center"/>
          </w:tcPr>
          <w:p>
            <w:pPr>
              <w:jc w:val="center"/>
              <w:rPr>
                <w:rFonts w:ascii="宋体" w:hAnsi="宋体" w:cs="宋体"/>
                <w:bCs/>
                <w:color w:val="000000"/>
                <w:sz w:val="24"/>
                <w:szCs w:val="24"/>
              </w:rPr>
            </w:pPr>
          </w:p>
        </w:tc>
        <w:tc>
          <w:tcPr>
            <w:tcW w:w="180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1</w:t>
            </w:r>
          </w:p>
        </w:tc>
        <w:tc>
          <w:tcPr>
            <w:tcW w:w="1644" w:type="dxa"/>
            <w:gridSpan w:val="2"/>
            <w:vAlign w:val="center"/>
          </w:tcPr>
          <w:p>
            <w:pPr>
              <w:jc w:val="center"/>
              <w:rPr>
                <w:rFonts w:ascii="宋体" w:hAnsi="宋体" w:cs="宋体"/>
                <w:bCs/>
                <w:color w:val="000000"/>
                <w:sz w:val="24"/>
                <w:szCs w:val="24"/>
              </w:rPr>
            </w:pPr>
          </w:p>
        </w:tc>
        <w:tc>
          <w:tcPr>
            <w:tcW w:w="1980" w:type="dxa"/>
            <w:vAlign w:val="center"/>
          </w:tcPr>
          <w:p>
            <w:pPr>
              <w:jc w:val="center"/>
              <w:rPr>
                <w:rFonts w:ascii="宋体" w:hAnsi="宋体" w:cs="宋体"/>
                <w:bCs/>
                <w:color w:val="000000"/>
                <w:sz w:val="24"/>
                <w:szCs w:val="24"/>
              </w:rPr>
            </w:pPr>
          </w:p>
        </w:tc>
        <w:tc>
          <w:tcPr>
            <w:tcW w:w="2340" w:type="dxa"/>
            <w:vAlign w:val="center"/>
          </w:tcPr>
          <w:p>
            <w:pPr>
              <w:jc w:val="cente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28" w:type="dxa"/>
            <w:vMerge w:val="continue"/>
            <w:vAlign w:val="center"/>
          </w:tcPr>
          <w:p>
            <w:pPr>
              <w:jc w:val="center"/>
              <w:rPr>
                <w:rFonts w:ascii="宋体" w:hAnsi="宋体" w:cs="宋体"/>
                <w:bCs/>
                <w:color w:val="000000"/>
                <w:sz w:val="24"/>
                <w:szCs w:val="24"/>
              </w:rPr>
            </w:pPr>
          </w:p>
        </w:tc>
        <w:tc>
          <w:tcPr>
            <w:tcW w:w="180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2</w:t>
            </w:r>
          </w:p>
        </w:tc>
        <w:tc>
          <w:tcPr>
            <w:tcW w:w="1644" w:type="dxa"/>
            <w:gridSpan w:val="2"/>
            <w:vAlign w:val="center"/>
          </w:tcPr>
          <w:p>
            <w:pPr>
              <w:jc w:val="center"/>
              <w:rPr>
                <w:rFonts w:ascii="宋体" w:hAnsi="宋体" w:cs="宋体"/>
                <w:bCs/>
                <w:color w:val="000000"/>
                <w:sz w:val="24"/>
                <w:szCs w:val="24"/>
              </w:rPr>
            </w:pPr>
          </w:p>
        </w:tc>
        <w:tc>
          <w:tcPr>
            <w:tcW w:w="1980" w:type="dxa"/>
            <w:vAlign w:val="center"/>
          </w:tcPr>
          <w:p>
            <w:pPr>
              <w:jc w:val="center"/>
              <w:rPr>
                <w:rFonts w:ascii="宋体" w:hAnsi="宋体" w:cs="宋体"/>
                <w:bCs/>
                <w:color w:val="000000"/>
                <w:sz w:val="24"/>
                <w:szCs w:val="24"/>
              </w:rPr>
            </w:pPr>
          </w:p>
        </w:tc>
        <w:tc>
          <w:tcPr>
            <w:tcW w:w="2340" w:type="dxa"/>
            <w:vAlign w:val="center"/>
          </w:tcPr>
          <w:p>
            <w:pPr>
              <w:jc w:val="cente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8" w:type="dxa"/>
            <w:vMerge w:val="continue"/>
            <w:vAlign w:val="center"/>
          </w:tcPr>
          <w:p>
            <w:pPr>
              <w:jc w:val="center"/>
              <w:rPr>
                <w:rFonts w:ascii="宋体" w:hAnsi="宋体" w:cs="宋体"/>
                <w:bCs/>
                <w:color w:val="000000"/>
                <w:sz w:val="24"/>
                <w:szCs w:val="24"/>
              </w:rPr>
            </w:pPr>
          </w:p>
        </w:tc>
        <w:tc>
          <w:tcPr>
            <w:tcW w:w="180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3</w:t>
            </w:r>
          </w:p>
        </w:tc>
        <w:tc>
          <w:tcPr>
            <w:tcW w:w="1644" w:type="dxa"/>
            <w:gridSpan w:val="2"/>
            <w:vAlign w:val="center"/>
          </w:tcPr>
          <w:p>
            <w:pPr>
              <w:jc w:val="center"/>
              <w:rPr>
                <w:rFonts w:ascii="宋体" w:hAnsi="宋体" w:cs="宋体"/>
                <w:bCs/>
                <w:color w:val="000000"/>
                <w:sz w:val="24"/>
                <w:szCs w:val="24"/>
              </w:rPr>
            </w:pPr>
          </w:p>
        </w:tc>
        <w:tc>
          <w:tcPr>
            <w:tcW w:w="1980" w:type="dxa"/>
            <w:vAlign w:val="center"/>
          </w:tcPr>
          <w:p>
            <w:pPr>
              <w:jc w:val="center"/>
              <w:rPr>
                <w:rFonts w:ascii="宋体" w:hAnsi="宋体" w:cs="宋体"/>
                <w:bCs/>
                <w:color w:val="000000"/>
                <w:sz w:val="24"/>
                <w:szCs w:val="24"/>
              </w:rPr>
            </w:pPr>
          </w:p>
        </w:tc>
        <w:tc>
          <w:tcPr>
            <w:tcW w:w="2340" w:type="dxa"/>
            <w:vAlign w:val="center"/>
          </w:tcPr>
          <w:p>
            <w:pPr>
              <w:jc w:val="cente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28" w:type="dxa"/>
            <w:vMerge w:val="continue"/>
            <w:vAlign w:val="center"/>
          </w:tcPr>
          <w:p>
            <w:pPr>
              <w:jc w:val="center"/>
              <w:rPr>
                <w:rFonts w:ascii="宋体" w:hAnsi="宋体" w:cs="宋体"/>
                <w:bCs/>
                <w:color w:val="000000"/>
                <w:sz w:val="24"/>
                <w:szCs w:val="24"/>
              </w:rPr>
            </w:pPr>
          </w:p>
        </w:tc>
        <w:tc>
          <w:tcPr>
            <w:tcW w:w="180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4</w:t>
            </w:r>
          </w:p>
        </w:tc>
        <w:tc>
          <w:tcPr>
            <w:tcW w:w="1644" w:type="dxa"/>
            <w:gridSpan w:val="2"/>
            <w:vAlign w:val="center"/>
          </w:tcPr>
          <w:p>
            <w:pPr>
              <w:jc w:val="center"/>
              <w:rPr>
                <w:rFonts w:ascii="宋体" w:hAnsi="宋体" w:cs="宋体"/>
                <w:bCs/>
                <w:color w:val="000000"/>
                <w:sz w:val="24"/>
                <w:szCs w:val="24"/>
              </w:rPr>
            </w:pPr>
          </w:p>
        </w:tc>
        <w:tc>
          <w:tcPr>
            <w:tcW w:w="1980" w:type="dxa"/>
            <w:vAlign w:val="center"/>
          </w:tcPr>
          <w:p>
            <w:pPr>
              <w:jc w:val="center"/>
              <w:rPr>
                <w:rFonts w:ascii="宋体" w:hAnsi="宋体" w:cs="宋体"/>
                <w:bCs/>
                <w:color w:val="000000"/>
                <w:sz w:val="24"/>
                <w:szCs w:val="24"/>
              </w:rPr>
            </w:pPr>
          </w:p>
        </w:tc>
        <w:tc>
          <w:tcPr>
            <w:tcW w:w="2340" w:type="dxa"/>
            <w:vAlign w:val="center"/>
          </w:tcPr>
          <w:p>
            <w:pPr>
              <w:jc w:val="cente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8" w:type="dxa"/>
            <w:vMerge w:val="continue"/>
            <w:vAlign w:val="center"/>
          </w:tcPr>
          <w:p>
            <w:pPr>
              <w:jc w:val="center"/>
              <w:rPr>
                <w:rFonts w:ascii="宋体" w:hAnsi="宋体" w:cs="宋体"/>
                <w:bCs/>
                <w:color w:val="000000"/>
                <w:sz w:val="24"/>
                <w:szCs w:val="24"/>
              </w:rPr>
            </w:pPr>
          </w:p>
        </w:tc>
        <w:tc>
          <w:tcPr>
            <w:tcW w:w="1800" w:type="dxa"/>
            <w:vAlign w:val="center"/>
          </w:tcPr>
          <w:p>
            <w:pPr>
              <w:jc w:val="center"/>
              <w:rPr>
                <w:rFonts w:ascii="宋体" w:hAnsi="宋体" w:cs="宋体"/>
                <w:bCs/>
                <w:color w:val="000000"/>
                <w:sz w:val="24"/>
                <w:szCs w:val="24"/>
              </w:rPr>
            </w:pPr>
            <w:r>
              <w:rPr>
                <w:rFonts w:hint="eastAsia" w:ascii="宋体" w:hAnsi="宋体" w:cs="宋体"/>
                <w:bCs/>
                <w:color w:val="000000"/>
                <w:sz w:val="24"/>
                <w:szCs w:val="24"/>
              </w:rPr>
              <w:t>。。。。。。</w:t>
            </w:r>
          </w:p>
        </w:tc>
        <w:tc>
          <w:tcPr>
            <w:tcW w:w="1644" w:type="dxa"/>
            <w:gridSpan w:val="2"/>
            <w:vAlign w:val="center"/>
          </w:tcPr>
          <w:p>
            <w:pPr>
              <w:jc w:val="center"/>
              <w:rPr>
                <w:rFonts w:ascii="宋体" w:hAnsi="宋体" w:cs="宋体"/>
                <w:bCs/>
                <w:color w:val="000000"/>
                <w:sz w:val="24"/>
                <w:szCs w:val="24"/>
              </w:rPr>
            </w:pPr>
          </w:p>
        </w:tc>
        <w:tc>
          <w:tcPr>
            <w:tcW w:w="1980" w:type="dxa"/>
            <w:vAlign w:val="center"/>
          </w:tcPr>
          <w:p>
            <w:pPr>
              <w:jc w:val="center"/>
              <w:rPr>
                <w:rFonts w:ascii="宋体" w:hAnsi="宋体" w:cs="宋体"/>
                <w:bCs/>
                <w:color w:val="000000"/>
                <w:sz w:val="24"/>
                <w:szCs w:val="24"/>
              </w:rPr>
            </w:pPr>
          </w:p>
        </w:tc>
        <w:tc>
          <w:tcPr>
            <w:tcW w:w="2340" w:type="dxa"/>
            <w:vAlign w:val="center"/>
          </w:tcPr>
          <w:p>
            <w:pPr>
              <w:jc w:val="center"/>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1" w:hRule="atLeast"/>
        </w:trPr>
        <w:tc>
          <w:tcPr>
            <w:tcW w:w="8592" w:type="dxa"/>
            <w:gridSpan w:val="6"/>
          </w:tcPr>
          <w:p>
            <w:pPr>
              <w:autoSpaceDE w:val="0"/>
              <w:autoSpaceDN w:val="0"/>
              <w:adjustRightInd w:val="0"/>
              <w:ind w:right="108"/>
              <w:rPr>
                <w:rFonts w:ascii="宋体" w:hAnsi="宋体" w:cs="宋体"/>
                <w:color w:val="000000"/>
                <w:kern w:val="0"/>
                <w:sz w:val="24"/>
                <w:szCs w:val="24"/>
              </w:rPr>
            </w:pPr>
            <w:r>
              <w:rPr>
                <w:rFonts w:hint="eastAsia" w:ascii="宋体" w:hAnsi="宋体" w:cs="宋体"/>
                <w:color w:val="000000"/>
                <w:kern w:val="0"/>
                <w:sz w:val="24"/>
                <w:szCs w:val="24"/>
              </w:rPr>
              <w:t>验收内容 ：</w:t>
            </w:r>
          </w:p>
          <w:p>
            <w:pPr>
              <w:autoSpaceDE w:val="0"/>
              <w:autoSpaceDN w:val="0"/>
              <w:adjustRightInd w:val="0"/>
              <w:ind w:left="108" w:right="108"/>
              <w:rPr>
                <w:rFonts w:ascii="宋体" w:hAnsi="宋体" w:cs="宋体"/>
                <w:bCs/>
                <w:color w:val="000000"/>
                <w:sz w:val="24"/>
                <w:szCs w:val="24"/>
              </w:rPr>
            </w:pPr>
            <w:r>
              <w:rPr>
                <w:rFonts w:hint="eastAsia" w:ascii="宋体" w:hAnsi="宋体" w:cs="宋体"/>
                <w:color w:val="000000"/>
                <w:kern w:val="0"/>
                <w:sz w:val="24"/>
                <w:szCs w:val="24"/>
              </w:rPr>
              <w:t xml:space="preserve">   </w:t>
            </w:r>
          </w:p>
          <w:p>
            <w:pPr>
              <w:autoSpaceDE w:val="0"/>
              <w:autoSpaceDN w:val="0"/>
              <w:adjustRightInd w:val="0"/>
              <w:ind w:left="108" w:right="108"/>
              <w:rPr>
                <w:rFonts w:ascii="宋体" w:hAnsi="宋体" w:cs="宋体"/>
                <w:color w:val="000000"/>
                <w:kern w:val="0"/>
                <w:sz w:val="24"/>
                <w:szCs w:val="24"/>
              </w:rPr>
            </w:pPr>
          </w:p>
          <w:p>
            <w:pPr>
              <w:autoSpaceDE w:val="0"/>
              <w:autoSpaceDN w:val="0"/>
              <w:adjustRightInd w:val="0"/>
              <w:ind w:left="108" w:right="108"/>
              <w:rPr>
                <w:rFonts w:ascii="宋体" w:hAnsi="宋体" w:cs="宋体"/>
                <w:color w:val="000000"/>
                <w:kern w:val="0"/>
                <w:sz w:val="24"/>
                <w:szCs w:val="24"/>
              </w:rPr>
            </w:pPr>
          </w:p>
          <w:p>
            <w:pPr>
              <w:autoSpaceDE w:val="0"/>
              <w:autoSpaceDN w:val="0"/>
              <w:adjustRightInd w:val="0"/>
              <w:ind w:right="108"/>
              <w:rPr>
                <w:rFonts w:ascii="宋体" w:hAnsi="宋体" w:cs="宋体"/>
                <w:color w:val="000000"/>
                <w:kern w:val="0"/>
                <w:sz w:val="24"/>
                <w:szCs w:val="24"/>
              </w:rPr>
            </w:pPr>
          </w:p>
          <w:p>
            <w:pPr>
              <w:autoSpaceDE w:val="0"/>
              <w:autoSpaceDN w:val="0"/>
              <w:adjustRightInd w:val="0"/>
              <w:ind w:right="108"/>
              <w:rPr>
                <w:rFonts w:ascii="宋体" w:hAnsi="宋体" w:cs="宋体"/>
                <w:color w:val="000000"/>
                <w:kern w:val="0"/>
                <w:sz w:val="24"/>
                <w:szCs w:val="24"/>
              </w:rPr>
            </w:pPr>
          </w:p>
          <w:p>
            <w:pPr>
              <w:pStyle w:val="2"/>
              <w:rPr>
                <w:sz w:val="24"/>
                <w:szCs w:val="24"/>
              </w:rPr>
            </w:pPr>
          </w:p>
          <w:p>
            <w:pPr>
              <w:autoSpaceDE w:val="0"/>
              <w:autoSpaceDN w:val="0"/>
              <w:adjustRightInd w:val="0"/>
              <w:ind w:right="108"/>
              <w:rPr>
                <w:rFonts w:ascii="宋体" w:hAnsi="宋体" w:cs="宋体"/>
                <w:color w:val="000000"/>
                <w:kern w:val="0"/>
                <w:sz w:val="24"/>
                <w:szCs w:val="24"/>
              </w:rPr>
            </w:pPr>
          </w:p>
          <w:p>
            <w:pPr>
              <w:autoSpaceDE w:val="0"/>
              <w:autoSpaceDN w:val="0"/>
              <w:adjustRightInd w:val="0"/>
              <w:ind w:right="108"/>
              <w:rPr>
                <w:rFonts w:ascii="宋体" w:hAnsi="宋体" w:cs="宋体"/>
                <w:bCs/>
                <w:color w:val="000000"/>
                <w:sz w:val="24"/>
                <w:szCs w:val="24"/>
              </w:rPr>
            </w:pPr>
            <w:r>
              <w:rPr>
                <w:rFonts w:hint="eastAsia" w:ascii="宋体" w:hAnsi="宋体" w:cs="宋体"/>
                <w:color w:val="000000"/>
                <w:kern w:val="0"/>
                <w:sz w:val="24"/>
                <w:szCs w:val="24"/>
              </w:rPr>
              <w:t xml:space="preserve"> </w:t>
            </w:r>
            <w:bookmarkStart w:id="52" w:name="OLE_LINK2"/>
            <w:r>
              <w:rPr>
                <w:rFonts w:hint="eastAsia" w:ascii="宋体" w:hAnsi="宋体" w:cs="宋体"/>
                <w:color w:val="000000"/>
                <w:kern w:val="0"/>
                <w:sz w:val="24"/>
                <w:szCs w:val="24"/>
              </w:rPr>
              <w:t>甲方考核评价小组组长签字：                    甲方公章：</w:t>
            </w:r>
            <w:bookmarkEnd w:id="52"/>
            <w:r>
              <w:rPr>
                <w:rFonts w:hint="eastAsia" w:ascii="宋体" w:hAns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4161" w:type="dxa"/>
            <w:gridSpan w:val="3"/>
            <w:vAlign w:val="center"/>
          </w:tcPr>
          <w:p>
            <w:pPr>
              <w:autoSpaceDE w:val="0"/>
              <w:autoSpaceDN w:val="0"/>
              <w:adjustRightInd w:val="0"/>
              <w:ind w:right="108"/>
              <w:rPr>
                <w:rFonts w:ascii="宋体" w:hAnsi="宋体" w:cs="宋体"/>
                <w:color w:val="000000"/>
                <w:kern w:val="0"/>
                <w:sz w:val="24"/>
                <w:szCs w:val="24"/>
              </w:rPr>
            </w:pPr>
            <w:r>
              <w:rPr>
                <w:rFonts w:hint="eastAsia" w:ascii="宋体" w:hAnsi="宋体" w:cs="宋体"/>
                <w:color w:val="000000"/>
                <w:kern w:val="0"/>
                <w:sz w:val="24"/>
                <w:szCs w:val="24"/>
              </w:rPr>
              <w:t>乙方授权代表签字：</w:t>
            </w:r>
          </w:p>
          <w:p>
            <w:pPr>
              <w:autoSpaceDE w:val="0"/>
              <w:autoSpaceDN w:val="0"/>
              <w:adjustRightInd w:val="0"/>
              <w:ind w:left="108" w:right="108"/>
              <w:rPr>
                <w:rFonts w:ascii="宋体" w:hAnsi="宋体" w:cs="宋体"/>
                <w:color w:val="000000"/>
                <w:kern w:val="0"/>
                <w:sz w:val="24"/>
                <w:szCs w:val="24"/>
              </w:rPr>
            </w:pPr>
          </w:p>
          <w:p>
            <w:pPr>
              <w:autoSpaceDE w:val="0"/>
              <w:autoSpaceDN w:val="0"/>
              <w:adjustRightInd w:val="0"/>
              <w:ind w:left="108" w:right="108"/>
              <w:rPr>
                <w:rFonts w:ascii="宋体" w:hAnsi="宋体" w:cs="宋体"/>
                <w:color w:val="000000"/>
                <w:kern w:val="0"/>
                <w:sz w:val="24"/>
                <w:szCs w:val="24"/>
              </w:rPr>
            </w:pPr>
          </w:p>
          <w:p>
            <w:pPr>
              <w:pStyle w:val="2"/>
              <w:rPr>
                <w:sz w:val="24"/>
                <w:szCs w:val="24"/>
              </w:rPr>
            </w:pPr>
          </w:p>
          <w:p>
            <w:pPr>
              <w:autoSpaceDE w:val="0"/>
              <w:autoSpaceDN w:val="0"/>
              <w:adjustRightInd w:val="0"/>
              <w:ind w:right="108"/>
              <w:rPr>
                <w:rFonts w:ascii="宋体" w:hAnsi="宋体" w:cs="宋体"/>
                <w:color w:val="000000"/>
                <w:kern w:val="0"/>
                <w:sz w:val="24"/>
                <w:szCs w:val="24"/>
              </w:rPr>
            </w:pPr>
            <w:r>
              <w:rPr>
                <w:rFonts w:hint="eastAsia" w:ascii="宋体" w:hAnsi="宋体" w:cs="宋体"/>
                <w:color w:val="000000"/>
                <w:kern w:val="0"/>
                <w:sz w:val="24"/>
                <w:szCs w:val="24"/>
              </w:rPr>
              <w:t>乙方公章：</w:t>
            </w:r>
          </w:p>
          <w:p>
            <w:pPr>
              <w:pStyle w:val="2"/>
              <w:rPr>
                <w:sz w:val="24"/>
                <w:szCs w:val="24"/>
              </w:rPr>
            </w:pPr>
          </w:p>
          <w:p>
            <w:pPr>
              <w:autoSpaceDE w:val="0"/>
              <w:autoSpaceDN w:val="0"/>
              <w:adjustRightInd w:val="0"/>
              <w:ind w:left="108" w:right="108"/>
              <w:rPr>
                <w:rFonts w:ascii="宋体" w:hAnsi="宋体" w:cs="宋体"/>
                <w:color w:val="000000"/>
                <w:kern w:val="0"/>
                <w:sz w:val="24"/>
                <w:szCs w:val="24"/>
              </w:rPr>
            </w:pPr>
          </w:p>
          <w:p>
            <w:pPr>
              <w:autoSpaceDE w:val="0"/>
              <w:autoSpaceDN w:val="0"/>
              <w:adjustRightInd w:val="0"/>
              <w:ind w:left="107" w:leftChars="51" w:right="108" w:firstLine="2400" w:firstLineChars="1000"/>
              <w:rPr>
                <w:rFonts w:ascii="宋体" w:hAnsi="宋体" w:cs="宋体"/>
                <w:color w:val="000000"/>
                <w:kern w:val="0"/>
                <w:sz w:val="24"/>
                <w:szCs w:val="24"/>
              </w:rPr>
            </w:pPr>
            <w:r>
              <w:rPr>
                <w:rFonts w:hint="eastAsia" w:ascii="宋体" w:hAnsi="宋体" w:cs="宋体"/>
                <w:color w:val="000000"/>
                <w:kern w:val="0"/>
                <w:sz w:val="24"/>
                <w:szCs w:val="24"/>
              </w:rPr>
              <w:t>年    月    日</w:t>
            </w:r>
          </w:p>
          <w:p>
            <w:pPr>
              <w:ind w:firstLine="1440" w:firstLineChars="600"/>
              <w:rPr>
                <w:rFonts w:ascii="宋体" w:hAnsi="宋体" w:cs="宋体"/>
                <w:bCs/>
                <w:color w:val="000000"/>
                <w:sz w:val="24"/>
                <w:szCs w:val="24"/>
              </w:rPr>
            </w:pPr>
          </w:p>
        </w:tc>
        <w:tc>
          <w:tcPr>
            <w:tcW w:w="4431" w:type="dxa"/>
            <w:gridSpan w:val="3"/>
          </w:tcPr>
          <w:p>
            <w:pPr>
              <w:autoSpaceDE w:val="0"/>
              <w:autoSpaceDN w:val="0"/>
              <w:adjustRightInd w:val="0"/>
              <w:ind w:right="108"/>
              <w:rPr>
                <w:rFonts w:ascii="宋体" w:hAnsi="宋体" w:cs="宋体"/>
                <w:color w:val="000000"/>
                <w:kern w:val="0"/>
                <w:sz w:val="24"/>
                <w:szCs w:val="24"/>
              </w:rPr>
            </w:pPr>
            <w:r>
              <w:rPr>
                <w:rFonts w:hint="eastAsia" w:ascii="宋体" w:hAnsi="宋体" w:cs="宋体"/>
                <w:color w:val="000000"/>
                <w:kern w:val="0"/>
                <w:sz w:val="24"/>
                <w:szCs w:val="24"/>
              </w:rPr>
              <w:t>丙方考核评价部门经办人人签字：</w:t>
            </w:r>
          </w:p>
          <w:p>
            <w:pPr>
              <w:pStyle w:val="2"/>
              <w:jc w:val="both"/>
              <w:rPr>
                <w:sz w:val="24"/>
                <w:szCs w:val="24"/>
              </w:rPr>
            </w:pPr>
          </w:p>
          <w:p>
            <w:pPr>
              <w:autoSpaceDE w:val="0"/>
              <w:autoSpaceDN w:val="0"/>
              <w:adjustRightInd w:val="0"/>
              <w:ind w:left="108" w:right="108"/>
              <w:rPr>
                <w:rFonts w:ascii="宋体" w:hAnsi="宋体" w:cs="宋体"/>
                <w:color w:val="000000"/>
                <w:kern w:val="0"/>
                <w:sz w:val="24"/>
                <w:szCs w:val="24"/>
              </w:rPr>
            </w:pPr>
          </w:p>
          <w:p>
            <w:pPr>
              <w:autoSpaceDE w:val="0"/>
              <w:autoSpaceDN w:val="0"/>
              <w:adjustRightInd w:val="0"/>
              <w:ind w:left="108" w:right="108"/>
              <w:rPr>
                <w:rFonts w:ascii="宋体" w:hAnsi="宋体" w:cs="宋体"/>
                <w:color w:val="000000"/>
                <w:kern w:val="0"/>
                <w:sz w:val="24"/>
                <w:szCs w:val="24"/>
              </w:rPr>
            </w:pPr>
          </w:p>
          <w:p>
            <w:pPr>
              <w:autoSpaceDE w:val="0"/>
              <w:autoSpaceDN w:val="0"/>
              <w:adjustRightInd w:val="0"/>
              <w:ind w:right="108"/>
              <w:rPr>
                <w:rFonts w:ascii="宋体" w:hAnsi="宋体" w:cs="宋体"/>
                <w:color w:val="000000"/>
                <w:kern w:val="0"/>
                <w:sz w:val="24"/>
                <w:szCs w:val="24"/>
              </w:rPr>
            </w:pPr>
            <w:r>
              <w:rPr>
                <w:rFonts w:hint="eastAsia" w:ascii="宋体" w:hAnsi="宋体" w:cs="宋体"/>
                <w:color w:val="000000"/>
                <w:kern w:val="0"/>
                <w:sz w:val="24"/>
                <w:szCs w:val="24"/>
              </w:rPr>
              <w:t>丙方考核评价部门负责人签字：</w:t>
            </w:r>
          </w:p>
          <w:p>
            <w:pPr>
              <w:autoSpaceDE w:val="0"/>
              <w:autoSpaceDN w:val="0"/>
              <w:adjustRightInd w:val="0"/>
              <w:ind w:right="108"/>
              <w:rPr>
                <w:rFonts w:ascii="宋体" w:hAnsi="宋体" w:cs="宋体"/>
                <w:color w:val="000000"/>
                <w:kern w:val="0"/>
                <w:sz w:val="24"/>
                <w:szCs w:val="24"/>
              </w:rPr>
            </w:pPr>
          </w:p>
          <w:p>
            <w:pPr>
              <w:autoSpaceDE w:val="0"/>
              <w:autoSpaceDN w:val="0"/>
              <w:adjustRightInd w:val="0"/>
              <w:ind w:right="108" w:firstLine="2880" w:firstLineChars="1200"/>
              <w:rPr>
                <w:rFonts w:ascii="宋体" w:hAnsi="宋体" w:cs="宋体"/>
                <w:color w:val="000000"/>
                <w:kern w:val="0"/>
                <w:sz w:val="24"/>
                <w:szCs w:val="24"/>
              </w:rPr>
            </w:pPr>
            <w:r>
              <w:rPr>
                <w:rFonts w:hint="eastAsia" w:ascii="宋体" w:hAnsi="宋体" w:cs="宋体"/>
                <w:color w:val="000000"/>
                <w:kern w:val="0"/>
                <w:sz w:val="24"/>
                <w:szCs w:val="24"/>
              </w:rPr>
              <w:t>年    月    日</w:t>
            </w:r>
          </w:p>
          <w:p>
            <w:pPr>
              <w:rPr>
                <w:rFonts w:ascii="宋体" w:hAnsi="宋体" w:cs="宋体"/>
                <w:bCs/>
                <w:color w:val="000000"/>
                <w:sz w:val="24"/>
                <w:szCs w:val="24"/>
              </w:rPr>
            </w:pPr>
          </w:p>
        </w:tc>
      </w:tr>
    </w:tbl>
    <w:p>
      <w:pPr>
        <w:adjustRightInd w:val="0"/>
        <w:snapToGrid w:val="0"/>
        <w:rPr>
          <w:rFonts w:ascii="宋体" w:hAnsi="宋体"/>
          <w:b/>
          <w:bCs/>
          <w:szCs w:val="21"/>
        </w:rPr>
      </w:pPr>
    </w:p>
    <w:p>
      <w:pPr>
        <w:adjustRightInd w:val="0"/>
        <w:snapToGrid w:val="0"/>
        <w:rPr>
          <w:rFonts w:ascii="宋体" w:hAnsi="宋体"/>
          <w:b/>
          <w:bCs/>
          <w:szCs w:val="21"/>
        </w:rPr>
      </w:pPr>
    </w:p>
    <w:p>
      <w:pPr>
        <w:adjustRightInd w:val="0"/>
        <w:snapToGrid w:val="0"/>
      </w:pPr>
      <w:r>
        <w:rPr>
          <w:rFonts w:hint="eastAsia" w:ascii="宋体" w:hAnsi="宋体"/>
          <w:b/>
          <w:bCs/>
          <w:szCs w:val="21"/>
        </w:rPr>
        <w:t>注：合同附件与合同具有同等法律效力，签订时与合同一起盖章。</w:t>
      </w:r>
    </w:p>
    <w:p/>
    <w:p>
      <w:pPr>
        <w:widowControl/>
        <w:jc w:val="left"/>
        <w:rPr>
          <w:rFonts w:asciiTheme="minorEastAsia" w:hAnsiTheme="minorEastAsia"/>
          <w:sz w:val="24"/>
          <w:szCs w:val="24"/>
        </w:rPr>
      </w:pPr>
      <w:r>
        <w:rPr>
          <w:rFonts w:asciiTheme="minorEastAsia" w:hAnsiTheme="minorEastAsia"/>
          <w:sz w:val="24"/>
          <w:szCs w:val="24"/>
        </w:rPr>
        <w:br w:type="page"/>
      </w:r>
    </w:p>
    <w:p>
      <w:pPr>
        <w:widowControl/>
        <w:jc w:val="left"/>
        <w:rPr>
          <w:rFonts w:asciiTheme="minorEastAsia" w:hAnsiTheme="minorEastAsia"/>
          <w:sz w:val="24"/>
          <w:szCs w:val="24"/>
        </w:rPr>
      </w:pPr>
    </w:p>
    <w:p>
      <w:pPr>
        <w:pStyle w:val="122"/>
      </w:pPr>
      <w:bookmarkStart w:id="53" w:name="_Toc69219081"/>
      <w:r>
        <w:rPr>
          <w:rFonts w:hint="eastAsia"/>
        </w:rPr>
        <w:t>五.</w:t>
      </w:r>
      <w:r>
        <w:t xml:space="preserve"> </w:t>
      </w:r>
      <w:bookmarkEnd w:id="48"/>
      <w:r>
        <w:rPr>
          <w:rFonts w:hint="eastAsia"/>
        </w:rPr>
        <w:t xml:space="preserve"> 评分标准</w:t>
      </w:r>
      <w:bookmarkEnd w:id="53"/>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采用低价优先法计算，即满足采购文件要求且投标价格最低的投标报价为磋商基准价，其价格分为满分。其他报价人的价格分统一按照下列公式计算：</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磋商报价得分</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磋商基准价／最后磋商报价</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×价格权值×</w:t>
      </w:r>
      <w:r>
        <w:rPr>
          <w:rFonts w:ascii="宋体" w:hAnsi="宋体"/>
          <w:bCs/>
          <w:color w:val="000000" w:themeColor="text1"/>
          <w:sz w:val="24"/>
          <w:szCs w:val="24"/>
          <w14:textFill>
            <w14:solidFill>
              <w14:schemeClr w14:val="tx1"/>
            </w14:solidFill>
          </w14:textFill>
        </w:rPr>
        <w:t>100</w:t>
      </w:r>
      <w:r>
        <w:rPr>
          <w:rFonts w:hint="eastAsia" w:ascii="宋体" w:hAnsi="宋体"/>
          <w:bCs/>
          <w:color w:val="000000" w:themeColor="text1"/>
          <w:sz w:val="24"/>
          <w:szCs w:val="24"/>
          <w14:textFill>
            <w14:solidFill>
              <w14:schemeClr w14:val="tx1"/>
            </w14:solidFill>
          </w14:textFill>
        </w:rPr>
        <w:t>。</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价格扣除：①对小型和微型企业产品的价格给予10</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扣除，用扣除后的价格参与评审。参加投标的中小企业，应当按照《政府采购促进中小企业发展管理办法》(财库〔2020〕46号)的规定提供《中小企业声明函》（中小企业划型标准详见《关于印发中小企业划型标准规定的通知》工信部联企业〔</w:t>
      </w:r>
      <w:r>
        <w:rPr>
          <w:rFonts w:ascii="宋体" w:hAnsi="宋体"/>
          <w:bCs/>
          <w:color w:val="000000" w:themeColor="text1"/>
          <w:sz w:val="24"/>
          <w:szCs w:val="24"/>
          <w14:textFill>
            <w14:solidFill>
              <w14:schemeClr w14:val="tx1"/>
            </w14:solidFill>
          </w14:textFill>
        </w:rPr>
        <w:t>2011</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300</w:t>
      </w:r>
      <w:r>
        <w:rPr>
          <w:rFonts w:hint="eastAsia" w:ascii="宋体" w:hAnsi="宋体"/>
          <w:bCs/>
          <w:color w:val="000000" w:themeColor="text1"/>
          <w:sz w:val="24"/>
          <w:szCs w:val="24"/>
          <w14:textFill>
            <w14:solidFill>
              <w14:schemeClr w14:val="tx1"/>
            </w14:solidFill>
          </w14:textFill>
        </w:rPr>
        <w:t>号）。</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同一报价人，上述三项价格扣除优惠不得重复享受。</w:t>
      </w:r>
    </w:p>
    <w:p>
      <w:pPr>
        <w:spacing w:line="360" w:lineRule="auto"/>
        <w:ind w:firstLine="480" w:firstLineChars="200"/>
        <w:rPr>
          <w:rFonts w:asciiTheme="minorEastAsia" w:hAnsiTheme="minorEastAsia"/>
          <w:b/>
          <w:bCs/>
          <w:color w:val="000000" w:themeColor="text1"/>
          <w:sz w:val="24"/>
          <w:szCs w:val="24"/>
          <w14:textFill>
            <w14:solidFill>
              <w14:schemeClr w14:val="tx1"/>
            </w14:solidFill>
          </w14:textFill>
        </w:rPr>
      </w:pPr>
    </w:p>
    <w:p>
      <w:pPr>
        <w:widowControl/>
        <w:jc w:val="left"/>
        <w:rPr>
          <w:rFonts w:asciiTheme="minorEastAsia" w:hAnsiTheme="minorEastAsia"/>
          <w:b/>
          <w:bCs/>
          <w:color w:val="000000" w:themeColor="text1"/>
          <w:sz w:val="24"/>
          <w:szCs w:val="24"/>
          <w14:textFill>
            <w14:solidFill>
              <w14:schemeClr w14:val="tx1"/>
            </w14:solidFill>
          </w14:textFill>
        </w:rPr>
      </w:pPr>
      <w:r>
        <w:rPr>
          <w:rFonts w:asciiTheme="minorEastAsia" w:hAnsiTheme="minorEastAsia"/>
          <w:b/>
          <w:bCs/>
          <w:color w:val="000000" w:themeColor="text1"/>
          <w:sz w:val="24"/>
          <w:szCs w:val="24"/>
          <w14:textFill>
            <w14:solidFill>
              <w14:schemeClr w14:val="tx1"/>
            </w14:solidFill>
          </w14:textFill>
        </w:rPr>
        <w:br w:type="page"/>
      </w:r>
    </w:p>
    <w:tbl>
      <w:tblPr>
        <w:tblStyle w:val="32"/>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653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pStyle w:val="16"/>
              <w:snapToGrid w:val="0"/>
              <w:spacing w:line="300" w:lineRule="exact"/>
              <w:jc w:val="center"/>
              <w:rPr>
                <w:rFonts w:cs="宋体"/>
                <w:b/>
                <w:color w:val="000000"/>
                <w:sz w:val="21"/>
                <w:szCs w:val="21"/>
              </w:rPr>
            </w:pPr>
            <w:r>
              <w:rPr>
                <w:rFonts w:hint="eastAsia" w:cs="宋体"/>
                <w:b/>
                <w:color w:val="000000"/>
                <w:sz w:val="21"/>
                <w:szCs w:val="21"/>
              </w:rPr>
              <w:t>项目</w:t>
            </w:r>
          </w:p>
        </w:tc>
        <w:tc>
          <w:tcPr>
            <w:tcW w:w="850" w:type="dxa"/>
            <w:vAlign w:val="center"/>
          </w:tcPr>
          <w:p>
            <w:pPr>
              <w:pStyle w:val="16"/>
              <w:snapToGrid w:val="0"/>
              <w:spacing w:line="300" w:lineRule="exact"/>
              <w:jc w:val="center"/>
              <w:rPr>
                <w:rFonts w:cs="宋体"/>
                <w:b/>
                <w:color w:val="000000"/>
                <w:sz w:val="21"/>
                <w:szCs w:val="21"/>
              </w:rPr>
            </w:pPr>
            <w:r>
              <w:rPr>
                <w:rFonts w:hint="eastAsia" w:cs="宋体"/>
                <w:b/>
                <w:color w:val="000000"/>
                <w:sz w:val="21"/>
                <w:szCs w:val="21"/>
              </w:rPr>
              <w:t>分值</w:t>
            </w:r>
          </w:p>
        </w:tc>
        <w:tc>
          <w:tcPr>
            <w:tcW w:w="6538" w:type="dxa"/>
            <w:vAlign w:val="center"/>
          </w:tcPr>
          <w:p>
            <w:pPr>
              <w:pStyle w:val="16"/>
              <w:snapToGrid w:val="0"/>
              <w:spacing w:line="300" w:lineRule="exact"/>
              <w:jc w:val="center"/>
              <w:rPr>
                <w:rFonts w:cs="宋体"/>
                <w:b/>
                <w:color w:val="000000"/>
                <w:sz w:val="21"/>
                <w:szCs w:val="21"/>
              </w:rPr>
            </w:pPr>
            <w:r>
              <w:rPr>
                <w:rFonts w:hint="eastAsia" w:cs="宋体"/>
                <w:b/>
                <w:color w:val="000000"/>
                <w:sz w:val="21"/>
                <w:szCs w:val="21"/>
              </w:rPr>
              <w:t>评分标准</w:t>
            </w:r>
          </w:p>
        </w:tc>
        <w:tc>
          <w:tcPr>
            <w:tcW w:w="1400" w:type="dxa"/>
            <w:vAlign w:val="center"/>
          </w:tcPr>
          <w:p>
            <w:pPr>
              <w:pStyle w:val="16"/>
              <w:snapToGrid w:val="0"/>
              <w:spacing w:line="300" w:lineRule="exact"/>
              <w:jc w:val="center"/>
              <w:rPr>
                <w:rFonts w:cs="宋体"/>
                <w:b/>
                <w:color w:val="000000"/>
                <w:sz w:val="21"/>
                <w:szCs w:val="21"/>
              </w:rPr>
            </w:pPr>
            <w:r>
              <w:rPr>
                <w:rFonts w:hint="eastAsia" w:cs="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价格</w:t>
            </w:r>
          </w:p>
        </w:tc>
        <w:tc>
          <w:tcPr>
            <w:tcW w:w="850"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30分</w:t>
            </w:r>
          </w:p>
        </w:tc>
        <w:tc>
          <w:tcPr>
            <w:tcW w:w="6538" w:type="dxa"/>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满足采购文件要求且投标价格最低的投标报价为磋商基准价，其价格分为满分。其他报价人的价格分统一按照下列公式计算：</w:t>
            </w:r>
          </w:p>
          <w:p>
            <w:pPr>
              <w:snapToGrid w:val="0"/>
              <w:spacing w:line="300" w:lineRule="exact"/>
              <w:rPr>
                <w:rFonts w:ascii="宋体" w:hAnsi="宋体" w:cs="宋体"/>
                <w:color w:val="000000"/>
                <w:sz w:val="24"/>
                <w:szCs w:val="24"/>
              </w:rPr>
            </w:pPr>
            <w:r>
              <w:rPr>
                <w:rFonts w:hint="eastAsia" w:ascii="宋体" w:hAnsi="宋体" w:cs="宋体"/>
                <w:color w:val="000000"/>
                <w:sz w:val="24"/>
                <w:szCs w:val="24"/>
              </w:rPr>
              <w:t>磋商报价得分=(磋商基准价／最后磋商报价)×30%×100。</w:t>
            </w:r>
          </w:p>
        </w:tc>
        <w:tc>
          <w:tcPr>
            <w:tcW w:w="1400" w:type="dxa"/>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价格为不含税金额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综合实力</w:t>
            </w:r>
          </w:p>
        </w:tc>
        <w:tc>
          <w:tcPr>
            <w:tcW w:w="850"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0</w:t>
            </w:r>
            <w:r>
              <w:rPr>
                <w:rFonts w:hint="eastAsia" w:ascii="宋体" w:hAnsi="宋体" w:cs="宋体"/>
                <w:color w:val="000000"/>
                <w:sz w:val="24"/>
                <w:szCs w:val="24"/>
              </w:rPr>
              <w:t>分</w:t>
            </w:r>
          </w:p>
        </w:tc>
        <w:tc>
          <w:tcPr>
            <w:tcW w:w="6538" w:type="dxa"/>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1、投标供应商生产厂家通过ISO9001质量管理体系认证证书，得1分。</w:t>
            </w:r>
          </w:p>
          <w:p>
            <w:pPr>
              <w:snapToGrid w:val="0"/>
              <w:spacing w:line="300" w:lineRule="exact"/>
              <w:rPr>
                <w:rFonts w:ascii="宋体" w:hAnsi="宋体" w:cs="宋体"/>
                <w:color w:val="000000"/>
                <w:sz w:val="24"/>
                <w:szCs w:val="24"/>
              </w:rPr>
            </w:pPr>
            <w:r>
              <w:rPr>
                <w:rFonts w:hint="eastAsia" w:ascii="宋体" w:hAnsi="宋体" w:cs="宋体"/>
                <w:color w:val="000000"/>
                <w:sz w:val="24"/>
                <w:szCs w:val="24"/>
              </w:rPr>
              <w:t>2、投标供应商具有安全技术防范行业工程企业设计施工维护能力壹级证书得4分、贰级证书得2分，共6分。</w:t>
            </w:r>
          </w:p>
          <w:p>
            <w:pPr>
              <w:snapToGrid w:val="0"/>
              <w:spacing w:line="300" w:lineRule="exact"/>
              <w:rPr>
                <w:rFonts w:ascii="宋体" w:hAnsi="宋体" w:cs="宋体"/>
                <w:color w:val="000000"/>
                <w:sz w:val="24"/>
                <w:szCs w:val="24"/>
              </w:rPr>
            </w:pPr>
            <w:r>
              <w:rPr>
                <w:rFonts w:hint="eastAsia" w:ascii="宋体" w:hAnsi="宋体" w:cs="宋体"/>
                <w:color w:val="000000"/>
                <w:sz w:val="24"/>
                <w:szCs w:val="24"/>
              </w:rPr>
              <w:t>3、投标供应商提供通过公安部安全与警用电子产品质量检测的证书得3分。</w:t>
            </w:r>
          </w:p>
          <w:p>
            <w:pPr>
              <w:snapToGrid w:val="0"/>
              <w:spacing w:line="300" w:lineRule="exact"/>
              <w:rPr>
                <w:rFonts w:ascii="宋体" w:hAnsi="宋体" w:cs="宋体"/>
                <w:color w:val="000000"/>
                <w:sz w:val="24"/>
                <w:szCs w:val="24"/>
              </w:rPr>
            </w:pPr>
            <w:r>
              <w:rPr>
                <w:rFonts w:hint="eastAsia" w:ascii="宋体" w:hAnsi="宋体" w:cs="宋体"/>
                <w:color w:val="000000"/>
                <w:sz w:val="24"/>
                <w:szCs w:val="24"/>
              </w:rPr>
              <w:t>（质量体系认证及检测报告证书必须在有效期内）</w:t>
            </w:r>
          </w:p>
        </w:tc>
        <w:tc>
          <w:tcPr>
            <w:tcW w:w="1400" w:type="dxa"/>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注：提供证书或证明材料的复印件并加盖公章（原件备查）。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01" w:type="dxa"/>
            <w:vMerge w:val="continue"/>
            <w:vAlign w:val="center"/>
          </w:tcPr>
          <w:p>
            <w:pPr>
              <w:snapToGrid w:val="0"/>
              <w:spacing w:line="300" w:lineRule="exact"/>
              <w:rPr>
                <w:rFonts w:ascii="宋体" w:hAnsi="宋体" w:cs="宋体"/>
                <w:color w:val="000000"/>
                <w:sz w:val="24"/>
                <w:szCs w:val="24"/>
              </w:rPr>
            </w:pPr>
          </w:p>
        </w:tc>
        <w:tc>
          <w:tcPr>
            <w:tcW w:w="850"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0</w:t>
            </w:r>
            <w:r>
              <w:rPr>
                <w:rFonts w:hint="eastAsia" w:ascii="宋体" w:hAnsi="宋体" w:cs="宋体"/>
                <w:color w:val="000000"/>
                <w:sz w:val="24"/>
                <w:szCs w:val="24"/>
              </w:rPr>
              <w:t>分</w:t>
            </w:r>
          </w:p>
        </w:tc>
        <w:tc>
          <w:tcPr>
            <w:tcW w:w="6538" w:type="dxa"/>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投标供应商提供自2019年以来门禁业绩，每提供1份合同得2分，本项最高得10分。</w:t>
            </w:r>
          </w:p>
        </w:tc>
        <w:tc>
          <w:tcPr>
            <w:tcW w:w="1400" w:type="dxa"/>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注：提供合同的复印件并加盖公章（原件备查）。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技术参数及功能的符合性</w:t>
            </w:r>
          </w:p>
        </w:tc>
        <w:tc>
          <w:tcPr>
            <w:tcW w:w="850"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35</w:t>
            </w:r>
          </w:p>
        </w:tc>
        <w:tc>
          <w:tcPr>
            <w:tcW w:w="6538" w:type="dxa"/>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投标人所投设备的技术参数和功能完全满足招标文件中技术参数和功能要求的，得35分（以投标文件中提供的能直接反映该产品技术参数和功能的证明材料为准）。</w:t>
            </w:r>
          </w:p>
          <w:p>
            <w:pPr>
              <w:snapToGrid w:val="0"/>
              <w:spacing w:line="300" w:lineRule="exact"/>
              <w:rPr>
                <w:rFonts w:ascii="宋体" w:hAnsi="宋体" w:cs="宋体"/>
                <w:color w:val="000000"/>
                <w:sz w:val="24"/>
                <w:szCs w:val="24"/>
              </w:rPr>
            </w:pPr>
            <w:r>
              <w:rPr>
                <w:rFonts w:hint="eastAsia" w:ascii="宋体" w:hAnsi="宋体" w:cs="宋体"/>
                <w:color w:val="000000"/>
                <w:sz w:val="24"/>
                <w:szCs w:val="24"/>
              </w:rPr>
              <w:t xml:space="preserve"> “▲”项内容为实质性要求和关键指标，不得负偏离，否则作无效响应。其他技术参数及功能不满足磋商文件技术条款要求、配置不详、技术参数不明确或有缺漏项的，每有一处扣2分，扣完为止。</w:t>
            </w:r>
          </w:p>
          <w:p>
            <w:pPr>
              <w:spacing w:line="300" w:lineRule="exact"/>
              <w:rPr>
                <w:rFonts w:ascii="宋体" w:cs="楷体_GB2312"/>
                <w:color w:val="000000"/>
                <w:sz w:val="24"/>
                <w:szCs w:val="24"/>
                <w:lang w:val="zh-CN"/>
              </w:rPr>
            </w:pPr>
            <w:r>
              <w:rPr>
                <w:rFonts w:hint="eastAsia" w:ascii="宋体" w:cs="楷体_GB2312"/>
                <w:color w:val="000000"/>
                <w:sz w:val="24"/>
                <w:szCs w:val="24"/>
              </w:rPr>
              <w:t>须</w:t>
            </w:r>
            <w:r>
              <w:rPr>
                <w:rFonts w:hint="eastAsia" w:ascii="宋体" w:cs="楷体_GB2312"/>
                <w:color w:val="000000"/>
                <w:sz w:val="24"/>
                <w:szCs w:val="24"/>
                <w:lang w:val="zh-CN"/>
              </w:rPr>
              <w:t>提供证明材料，未提供或不符合要求的视为不满足不得分。</w:t>
            </w:r>
          </w:p>
        </w:tc>
        <w:tc>
          <w:tcPr>
            <w:tcW w:w="1400" w:type="dxa"/>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注：提供证明材料的复印件并加盖公章（原件备查）。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售后服务</w:t>
            </w:r>
          </w:p>
        </w:tc>
        <w:tc>
          <w:tcPr>
            <w:tcW w:w="850"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12</w:t>
            </w:r>
          </w:p>
        </w:tc>
        <w:tc>
          <w:tcPr>
            <w:tcW w:w="6538" w:type="dxa"/>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1.提供原厂两年保修期，免费保修期</w:t>
            </w:r>
            <w:r>
              <w:rPr>
                <w:rFonts w:ascii="宋体" w:hAnsi="宋体" w:cs="宋体"/>
                <w:color w:val="000000"/>
                <w:sz w:val="24"/>
                <w:szCs w:val="24"/>
              </w:rPr>
              <w:t>2</w:t>
            </w:r>
            <w:r>
              <w:rPr>
                <w:rFonts w:hint="eastAsia" w:ascii="宋体" w:hAnsi="宋体" w:cs="宋体"/>
                <w:color w:val="000000"/>
                <w:sz w:val="24"/>
                <w:szCs w:val="24"/>
              </w:rPr>
              <w:t>年之上每延长1年得1分,最高得3分。</w:t>
            </w:r>
          </w:p>
          <w:p>
            <w:pPr>
              <w:snapToGrid w:val="0"/>
              <w:spacing w:line="300" w:lineRule="exact"/>
              <w:rPr>
                <w:rFonts w:ascii="宋体" w:hAnsi="宋体" w:cs="宋体"/>
                <w:color w:val="000000"/>
                <w:sz w:val="24"/>
                <w:szCs w:val="24"/>
              </w:rPr>
            </w:pPr>
            <w:r>
              <w:rPr>
                <w:rFonts w:hint="eastAsia" w:ascii="宋体" w:hAnsi="宋体" w:cs="宋体"/>
                <w:color w:val="000000"/>
                <w:sz w:val="24"/>
                <w:szCs w:val="24"/>
              </w:rPr>
              <w:t>2.根据投标供应商在售后服务响应时间、完成维修时间承诺、技术支持与培训计划等方面的情况进行综合比较，由</w:t>
            </w:r>
            <w:r>
              <w:rPr>
                <w:rFonts w:hint="eastAsia" w:ascii="宋体" w:hAnsi="宋体" w:cs="宋体"/>
                <w:color w:val="000000"/>
                <w:sz w:val="24"/>
                <w:szCs w:val="24"/>
                <w:lang w:val="zh-CN"/>
              </w:rPr>
              <w:t>评委专家在4</w:t>
            </w:r>
            <w:r>
              <w:rPr>
                <w:rFonts w:ascii="宋体" w:hAnsi="宋体" w:cs="宋体"/>
                <w:color w:val="000000"/>
                <w:sz w:val="24"/>
                <w:szCs w:val="24"/>
                <w:lang w:val="zh-CN"/>
              </w:rPr>
              <w:t>-</w:t>
            </w:r>
            <w:r>
              <w:rPr>
                <w:rFonts w:hint="eastAsia" w:ascii="宋体" w:hAnsi="宋体" w:cs="宋体"/>
                <w:color w:val="000000"/>
                <w:sz w:val="24"/>
                <w:szCs w:val="24"/>
                <w:lang w:val="zh-CN"/>
              </w:rPr>
              <w:t>9分之间酌情打分</w:t>
            </w:r>
            <w:r>
              <w:rPr>
                <w:rFonts w:hint="eastAsia" w:ascii="宋体" w:hAnsi="宋体" w:cs="宋体"/>
                <w:color w:val="000000"/>
                <w:sz w:val="24"/>
                <w:szCs w:val="24"/>
              </w:rPr>
              <w:t>。</w:t>
            </w:r>
          </w:p>
        </w:tc>
        <w:tc>
          <w:tcPr>
            <w:tcW w:w="1400" w:type="dxa"/>
          </w:tcPr>
          <w:p>
            <w:pPr>
              <w:snapToGrid w:val="0"/>
              <w:spacing w:line="300" w:lineRule="exac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服务承诺</w:t>
            </w:r>
          </w:p>
        </w:tc>
        <w:tc>
          <w:tcPr>
            <w:tcW w:w="850" w:type="dxa"/>
            <w:vAlign w:val="center"/>
          </w:tcPr>
          <w:p>
            <w:pPr>
              <w:snapToGrid w:val="0"/>
              <w:spacing w:line="300" w:lineRule="exact"/>
              <w:jc w:val="center"/>
              <w:rPr>
                <w:rFonts w:ascii="宋体" w:hAnsi="宋体" w:cs="宋体"/>
                <w:color w:val="000000"/>
                <w:sz w:val="24"/>
                <w:szCs w:val="24"/>
              </w:rPr>
            </w:pPr>
            <w:r>
              <w:rPr>
                <w:rFonts w:hint="eastAsia" w:ascii="宋体" w:hAnsi="宋体" w:cs="宋体"/>
                <w:color w:val="000000"/>
                <w:sz w:val="24"/>
                <w:szCs w:val="24"/>
              </w:rPr>
              <w:t>3分</w:t>
            </w:r>
          </w:p>
        </w:tc>
        <w:tc>
          <w:tcPr>
            <w:tcW w:w="6538" w:type="dxa"/>
            <w:vAlign w:val="center"/>
          </w:tcPr>
          <w:p>
            <w:pPr>
              <w:snapToGrid w:val="0"/>
              <w:spacing w:line="300" w:lineRule="exact"/>
              <w:rPr>
                <w:rFonts w:ascii="宋体" w:hAnsi="宋体" w:cs="宋体"/>
                <w:color w:val="000000"/>
                <w:sz w:val="24"/>
                <w:szCs w:val="24"/>
              </w:rPr>
            </w:pPr>
            <w:r>
              <w:rPr>
                <w:rFonts w:hint="eastAsia" w:ascii="宋体" w:hAnsi="宋体" w:cs="宋体"/>
                <w:color w:val="000000"/>
                <w:sz w:val="24"/>
                <w:szCs w:val="24"/>
              </w:rPr>
              <w:t>投标供应商承诺与学校现有一卡通管理平台进行对接，并承担相应费用的得3分。</w:t>
            </w:r>
          </w:p>
        </w:tc>
        <w:tc>
          <w:tcPr>
            <w:tcW w:w="1400" w:type="dxa"/>
          </w:tcPr>
          <w:p>
            <w:pPr>
              <w:snapToGrid w:val="0"/>
              <w:spacing w:line="300" w:lineRule="exact"/>
              <w:rPr>
                <w:rFonts w:ascii="宋体" w:hAnsi="宋体" w:cs="宋体"/>
                <w:color w:val="000000"/>
                <w:kern w:val="0"/>
                <w:sz w:val="24"/>
                <w:szCs w:val="24"/>
              </w:rPr>
            </w:pPr>
          </w:p>
        </w:tc>
      </w:tr>
    </w:tbl>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注： </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1、评分细则中要求提供的证明文件及资料等在响应文件中提供复印件并加盖公章</w:t>
      </w:r>
      <w:r>
        <w:rPr>
          <w:rFonts w:hint="eastAsia" w:ascii="宋体" w:hAnsi="宋体" w:cs="宋体"/>
          <w:color w:val="000000"/>
          <w:szCs w:val="21"/>
        </w:rPr>
        <w:t>（原件备查）</w:t>
      </w:r>
      <w:r>
        <w:rPr>
          <w:rFonts w:hint="eastAsia" w:ascii="宋体" w:hAnsi="宋体"/>
          <w:bCs/>
          <w:color w:val="000000" w:themeColor="text1"/>
          <w:sz w:val="24"/>
          <w:szCs w:val="24"/>
          <w14:textFill>
            <w14:solidFill>
              <w14:schemeClr w14:val="tx1"/>
            </w14:solidFill>
          </w14:textFill>
        </w:rPr>
        <w:t>，过时不予接收。</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2、评审时，未能按以上要求提供相应证明的，不作为评分依据，不得分。</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3、为便于评分，请报价人按评分表样式，逐条列出证明材料所在页码，格式自定。</w:t>
      </w: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widowControl/>
        <w:jc w:val="left"/>
        <w:rPr>
          <w:rFonts w:ascii="黑体" w:eastAsia="黑体"/>
          <w:bCs/>
          <w:color w:val="000000" w:themeColor="text1"/>
          <w:sz w:val="24"/>
          <w:szCs w:val="24"/>
          <w14:textFill>
            <w14:solidFill>
              <w14:schemeClr w14:val="tx1"/>
            </w14:solidFill>
          </w14:textFill>
        </w:rPr>
      </w:pPr>
      <w:r>
        <w:rPr>
          <w:rFonts w:ascii="黑体" w:eastAsia="黑体"/>
          <w:bCs/>
          <w:color w:val="000000" w:themeColor="text1"/>
          <w:sz w:val="24"/>
          <w:szCs w:val="24"/>
          <w14:textFill>
            <w14:solidFill>
              <w14:schemeClr w14:val="tx1"/>
            </w14:solidFill>
          </w14:textFill>
        </w:rPr>
        <w:br w:type="page"/>
      </w:r>
    </w:p>
    <w:p>
      <w:pPr>
        <w:pStyle w:val="122"/>
      </w:pPr>
      <w:bookmarkStart w:id="54" w:name="_Toc69219082"/>
      <w:bookmarkStart w:id="55" w:name="_Toc55147052"/>
      <w:r>
        <w:rPr>
          <w:rFonts w:hint="eastAsia"/>
        </w:rPr>
        <w:t>六．响应文件格式</w:t>
      </w:r>
      <w:bookmarkEnd w:id="54"/>
      <w:bookmarkEnd w:id="55"/>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报</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jc w:val="center"/>
        <w:rPr>
          <w:rFonts w:ascii="黑体" w:eastAsia="黑体"/>
          <w:bCs/>
          <w:color w:val="000000" w:themeColor="text1"/>
          <w:sz w:val="32"/>
          <w14:textFill>
            <w14:solidFill>
              <w14:schemeClr w14:val="tx1"/>
            </w14:solidFill>
          </w14:textFill>
        </w:rPr>
      </w:pPr>
    </w:p>
    <w:p>
      <w:pPr>
        <w:widowControl/>
        <w:jc w:val="center"/>
        <w:rPr>
          <w:rFonts w:ascii="黑体" w:eastAsia="黑体"/>
          <w:bCs/>
          <w:color w:val="000000" w:themeColor="text1"/>
          <w:sz w:val="36"/>
          <w:szCs w:val="36"/>
          <w14:textFill>
            <w14:solidFill>
              <w14:schemeClr w14:val="tx1"/>
            </w14:solidFill>
          </w14:textFill>
        </w:rPr>
      </w:pPr>
      <w:r>
        <w:rPr>
          <w:rFonts w:ascii="黑体" w:eastAsia="黑体"/>
          <w:bCs/>
          <w:color w:val="000000" w:themeColor="text1"/>
          <w:sz w:val="36"/>
          <w:szCs w:val="36"/>
          <w14:textFill>
            <w14:solidFill>
              <w14:schemeClr w14:val="tx1"/>
            </w14:solidFill>
          </w14:textFill>
        </w:rPr>
        <w:br w:type="page"/>
      </w:r>
    </w:p>
    <w:p>
      <w:pPr>
        <w:spacing w:line="360" w:lineRule="auto"/>
        <w:jc w:val="center"/>
        <w:rPr>
          <w:rFonts w:ascii="黑体" w:hAnsi="黑体" w:eastAsia="黑体"/>
          <w:bCs/>
          <w:sz w:val="30"/>
          <w:szCs w:val="30"/>
        </w:rPr>
      </w:pPr>
      <w:bookmarkStart w:id="56" w:name="_Toc55147053"/>
      <w:r>
        <w:rPr>
          <w:rFonts w:hint="eastAsia" w:ascii="黑体" w:hAnsi="黑体" w:eastAsia="黑体"/>
          <w:bCs/>
          <w:sz w:val="30"/>
          <w:szCs w:val="30"/>
        </w:rPr>
        <w:t>响应文件主要目录</w:t>
      </w:r>
    </w:p>
    <w:p>
      <w:pPr>
        <w:spacing w:line="560" w:lineRule="exact"/>
        <w:jc w:val="center"/>
        <w:rPr>
          <w:rFonts w:ascii="宋体" w:hAnsi="宋体"/>
          <w:b/>
          <w:bCs/>
          <w:sz w:val="24"/>
          <w:szCs w:val="24"/>
        </w:rPr>
      </w:pPr>
    </w:p>
    <w:p>
      <w:pPr>
        <w:ind w:firstLine="640" w:firstLineChars="200"/>
        <w:rPr>
          <w:rFonts w:ascii="宋体" w:hAnsi="宋体"/>
          <w:sz w:val="32"/>
          <w:szCs w:val="32"/>
        </w:rPr>
      </w:pPr>
      <w:r>
        <w:rPr>
          <w:rFonts w:hint="eastAsia" w:ascii="宋体" w:hAnsi="宋体"/>
          <w:sz w:val="32"/>
          <w:szCs w:val="32"/>
        </w:rPr>
        <w:t>一、投标人情况说明</w:t>
      </w:r>
    </w:p>
    <w:p>
      <w:pPr>
        <w:ind w:firstLine="640" w:firstLineChars="200"/>
        <w:rPr>
          <w:rFonts w:ascii="宋体" w:hAnsi="宋体"/>
          <w:sz w:val="32"/>
          <w:szCs w:val="32"/>
        </w:rPr>
      </w:pPr>
      <w:r>
        <w:rPr>
          <w:rFonts w:hint="eastAsia" w:ascii="宋体" w:hAnsi="宋体"/>
          <w:sz w:val="32"/>
          <w:szCs w:val="32"/>
        </w:rPr>
        <w:t>二、资格审查响应对照表</w:t>
      </w:r>
    </w:p>
    <w:p>
      <w:pPr>
        <w:ind w:left="480" w:firstLine="160" w:firstLineChars="50"/>
        <w:rPr>
          <w:rFonts w:ascii="宋体" w:hAnsi="宋体"/>
          <w:sz w:val="32"/>
          <w:szCs w:val="32"/>
        </w:rPr>
      </w:pPr>
      <w:r>
        <w:rPr>
          <w:rFonts w:hint="eastAsia" w:ascii="宋体" w:hAnsi="宋体"/>
          <w:sz w:val="32"/>
          <w:szCs w:val="32"/>
        </w:rPr>
        <w:t>三、符合性审查响应对照表</w:t>
      </w:r>
    </w:p>
    <w:p>
      <w:pPr>
        <w:ind w:left="480" w:firstLine="160" w:firstLineChars="50"/>
        <w:rPr>
          <w:rFonts w:ascii="宋体" w:hAnsi="宋体"/>
          <w:sz w:val="32"/>
          <w:szCs w:val="32"/>
        </w:rPr>
      </w:pPr>
      <w:r>
        <w:rPr>
          <w:rFonts w:hint="eastAsia" w:ascii="宋体" w:hAnsi="宋体"/>
          <w:sz w:val="32"/>
          <w:szCs w:val="32"/>
        </w:rPr>
        <w:t>四、评分索引表</w:t>
      </w:r>
    </w:p>
    <w:p>
      <w:pPr>
        <w:ind w:firstLine="640" w:firstLineChars="200"/>
        <w:rPr>
          <w:rFonts w:ascii="宋体" w:hAnsi="宋体"/>
          <w:sz w:val="32"/>
          <w:szCs w:val="32"/>
        </w:rPr>
      </w:pPr>
      <w:r>
        <w:rPr>
          <w:rFonts w:hint="eastAsia" w:ascii="宋体" w:hAnsi="宋体"/>
          <w:sz w:val="32"/>
          <w:szCs w:val="32"/>
        </w:rPr>
        <w:t>五、资格、资信证明文件</w:t>
      </w:r>
    </w:p>
    <w:p>
      <w:pPr>
        <w:ind w:firstLine="640" w:firstLineChars="200"/>
        <w:rPr>
          <w:rFonts w:ascii="宋体" w:hAnsi="宋体"/>
          <w:sz w:val="32"/>
          <w:szCs w:val="32"/>
        </w:rPr>
      </w:pPr>
      <w:r>
        <w:rPr>
          <w:rFonts w:hint="eastAsia" w:ascii="宋体" w:hAnsi="宋体"/>
          <w:sz w:val="32"/>
          <w:szCs w:val="32"/>
        </w:rPr>
        <w:t>六、报价一览表</w:t>
      </w:r>
    </w:p>
    <w:p>
      <w:pPr>
        <w:ind w:firstLine="640" w:firstLineChars="200"/>
        <w:rPr>
          <w:rFonts w:ascii="宋体" w:hAnsi="宋体"/>
          <w:sz w:val="32"/>
          <w:szCs w:val="32"/>
        </w:rPr>
      </w:pPr>
      <w:r>
        <w:rPr>
          <w:rFonts w:hint="eastAsia" w:ascii="宋体" w:hAnsi="宋体"/>
          <w:sz w:val="32"/>
          <w:szCs w:val="32"/>
        </w:rPr>
        <w:t>七、明细报价表</w:t>
      </w:r>
    </w:p>
    <w:p>
      <w:pPr>
        <w:ind w:firstLine="640" w:firstLineChars="200"/>
        <w:rPr>
          <w:rFonts w:ascii="宋体" w:hAnsi="宋体"/>
          <w:sz w:val="32"/>
          <w:szCs w:val="32"/>
        </w:rPr>
      </w:pPr>
      <w:r>
        <w:rPr>
          <w:rFonts w:hint="eastAsia" w:ascii="宋体" w:hAnsi="宋体"/>
          <w:sz w:val="32"/>
          <w:szCs w:val="32"/>
        </w:rPr>
        <w:t>八、技术参数响应及偏离表</w:t>
      </w:r>
    </w:p>
    <w:p>
      <w:pPr>
        <w:ind w:firstLine="640" w:firstLineChars="200"/>
        <w:rPr>
          <w:rFonts w:ascii="宋体" w:hAnsi="宋体"/>
          <w:sz w:val="32"/>
          <w:szCs w:val="32"/>
        </w:rPr>
      </w:pPr>
      <w:r>
        <w:rPr>
          <w:rFonts w:hint="eastAsia" w:ascii="宋体" w:hAnsi="宋体"/>
          <w:sz w:val="32"/>
          <w:szCs w:val="32"/>
        </w:rPr>
        <w:t>九、商务条款响应及偏离表</w:t>
      </w:r>
    </w:p>
    <w:p>
      <w:pPr>
        <w:ind w:firstLine="640" w:firstLineChars="200"/>
        <w:rPr>
          <w:rFonts w:ascii="宋体" w:hAnsi="宋体"/>
          <w:sz w:val="32"/>
          <w:szCs w:val="32"/>
        </w:rPr>
      </w:pPr>
      <w:r>
        <w:rPr>
          <w:rFonts w:hint="eastAsia" w:ascii="宋体" w:hAnsi="宋体"/>
          <w:sz w:val="32"/>
          <w:szCs w:val="32"/>
        </w:rPr>
        <w:t>十、技术方案、服务承诺、培训承诺</w:t>
      </w:r>
    </w:p>
    <w:p>
      <w:pPr>
        <w:ind w:firstLine="640" w:firstLineChars="200"/>
        <w:rPr>
          <w:rFonts w:ascii="宋体" w:hAnsi="宋体"/>
          <w:sz w:val="32"/>
          <w:szCs w:val="32"/>
        </w:rPr>
      </w:pPr>
      <w:r>
        <w:rPr>
          <w:rFonts w:hint="eastAsia" w:ascii="宋体" w:hAnsi="宋体"/>
          <w:sz w:val="32"/>
          <w:szCs w:val="32"/>
        </w:rPr>
        <w:t>十一、其他格式附表</w:t>
      </w:r>
    </w:p>
    <w:p>
      <w:pPr>
        <w:ind w:firstLine="640" w:firstLineChars="200"/>
        <w:rPr>
          <w:rFonts w:ascii="宋体" w:hAnsi="宋体"/>
          <w:sz w:val="32"/>
          <w:szCs w:val="32"/>
        </w:rPr>
      </w:pPr>
    </w:p>
    <w:p>
      <w:pPr>
        <w:jc w:val="center"/>
        <w:rPr>
          <w:rFonts w:ascii="宋体" w:hAnsi="宋体"/>
          <w:b/>
          <w:sz w:val="24"/>
          <w:szCs w:val="24"/>
        </w:rPr>
      </w:pPr>
      <w:r>
        <w:rPr>
          <w:rFonts w:ascii="宋体" w:hAnsi="宋体"/>
          <w:b/>
          <w:sz w:val="32"/>
          <w:szCs w:val="32"/>
        </w:rPr>
        <w:br w:type="page"/>
      </w:r>
    </w:p>
    <w:p>
      <w:pPr>
        <w:spacing w:line="360" w:lineRule="auto"/>
        <w:rPr>
          <w:rFonts w:ascii="黑体" w:hAnsi="黑体" w:eastAsia="黑体"/>
          <w:sz w:val="28"/>
          <w:szCs w:val="28"/>
        </w:rPr>
      </w:pPr>
      <w:r>
        <w:rPr>
          <w:rFonts w:hint="eastAsia" w:ascii="黑体" w:hAnsi="黑体" w:eastAsia="黑体"/>
          <w:sz w:val="28"/>
          <w:szCs w:val="28"/>
        </w:rPr>
        <w:t>一、投标人情况说明</w:t>
      </w:r>
    </w:p>
    <w:p>
      <w:pPr>
        <w:snapToGrid w:val="0"/>
        <w:spacing w:line="360" w:lineRule="auto"/>
        <w:ind w:firstLine="560" w:firstLineChars="200"/>
        <w:rPr>
          <w:rFonts w:ascii="宋体" w:hAnsi="宋体"/>
          <w:sz w:val="28"/>
          <w:szCs w:val="28"/>
        </w:rPr>
      </w:pPr>
      <w:r>
        <w:rPr>
          <w:rFonts w:hint="eastAsia" w:ascii="宋体" w:hAnsi="宋体"/>
          <w:sz w:val="28"/>
          <w:szCs w:val="28"/>
        </w:rPr>
        <w:t>投标人简要情况介绍，含投标人规模、银行资信、技术能力及装备水平等、人员情况、典型项目等。投标人自行以文字形式说明。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2"/>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具有独立承担民事责任能力的报价人营业执照或相关部门的登记证明文件复印件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缴纳社保的证明（由相关主管部门出具，新成立公司除外、法定代表人亲自参加报价的除外）</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rPr>
                <w:rFonts w:asciiTheme="minorEastAsia" w:hAnsiTheme="minorEastAsia"/>
                <w:iCs/>
                <w:sz w:val="24"/>
                <w:szCs w:val="24"/>
              </w:rPr>
            </w:pPr>
            <w:r>
              <w:rPr>
                <w:rFonts w:hint="eastAsia" w:asciiTheme="minorEastAsia" w:hAnsiTheme="minorEastAsia"/>
                <w:iCs/>
                <w:sz w:val="24"/>
                <w:szCs w:val="24"/>
              </w:rPr>
              <w:t>报价人近三个月中任意一个月份(不含报价当月)的依法缴纳税收的相关材料（提供相关主管部门证明或银行代扣证明）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5447" w:type="dxa"/>
            <w:vAlign w:val="center"/>
          </w:tcPr>
          <w:p>
            <w:pPr>
              <w:snapToGrid w:val="0"/>
              <w:spacing w:line="0" w:lineRule="atLeast"/>
              <w:rPr>
                <w:rFonts w:asciiTheme="minorEastAsia" w:hAnsiTheme="minorEastAsia"/>
                <w:iCs/>
                <w:sz w:val="24"/>
                <w:szCs w:val="24"/>
              </w:rPr>
            </w:pPr>
            <w:r>
              <w:rPr>
                <w:rFonts w:hint="eastAsia" w:asciiTheme="minorEastAsia" w:hAnsiTheme="minorEastAsia"/>
                <w:iCs/>
                <w:sz w:val="24"/>
                <w:szCs w:val="24"/>
              </w:rPr>
              <w:t>报价人近三个月中任意一个月份(不含报价当月)的依法缴纳社会保障资金的相关材料（提供相关主管部门证明或银行代扣证明）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具备履行合同所必需的设备和专业技术能力的书面声明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参加政府采购活动前 3 年内在经营活动中没有重大违法记录的书面声明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宋体" w:hAnsi="宋体"/>
              </w:rPr>
              <w:t>8</w:t>
            </w:r>
          </w:p>
        </w:tc>
        <w:tc>
          <w:tcPr>
            <w:tcW w:w="5447" w:type="dxa"/>
            <w:vAlign w:val="center"/>
          </w:tcPr>
          <w:p>
            <w:pPr>
              <w:snapToGrid w:val="0"/>
              <w:spacing w:line="0" w:lineRule="atLeast"/>
              <w:jc w:val="left"/>
              <w:rPr>
                <w:rFonts w:asciiTheme="minorEastAsia" w:hAnsiTheme="minorEastAsia"/>
                <w:iCs/>
                <w:sz w:val="24"/>
                <w:szCs w:val="24"/>
              </w:rPr>
            </w:pPr>
            <w:r>
              <w:rPr>
                <w:rFonts w:hint="eastAsia" w:ascii="宋体" w:hAnsi="宋体"/>
                <w:sz w:val="24"/>
              </w:rPr>
              <w:t>投标人资格要求涉及的其它证明材料</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宋体" w:hAnsi="宋体"/>
              </w:rPr>
              <w:t>…</w:t>
            </w:r>
          </w:p>
        </w:tc>
        <w:tc>
          <w:tcPr>
            <w:tcW w:w="5447" w:type="dxa"/>
            <w:vAlign w:val="center"/>
          </w:tcPr>
          <w:p>
            <w:pPr>
              <w:snapToGrid w:val="0"/>
              <w:spacing w:line="0" w:lineRule="atLeast"/>
              <w:jc w:val="left"/>
              <w:rPr>
                <w:rFonts w:ascii="宋体" w:hAnsi="宋体"/>
                <w:sz w:val="24"/>
              </w:rPr>
            </w:pPr>
            <w:r>
              <w:rPr>
                <w:rFonts w:ascii="宋体" w:hAnsi="宋体"/>
                <w:sz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hint="eastAsia" w:asciiTheme="minorEastAsia" w:hAnsiTheme="minorEastAsia"/>
                <w:iCs/>
                <w:sz w:val="24"/>
                <w:szCs w:val="24"/>
              </w:rPr>
              <w:t>资格的声明函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10</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响应函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sz w:val="24"/>
                <w:szCs w:val="24"/>
              </w:rPr>
            </w:pP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sz w:val="24"/>
                <w:szCs w:val="24"/>
              </w:rPr>
            </w:pP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widowControl/>
        <w:jc w:val="left"/>
        <w:rPr>
          <w:rFonts w:ascii="宋体" w:hAnsi="宋体"/>
          <w:sz w:val="24"/>
          <w:szCs w:val="24"/>
        </w:rPr>
      </w:pPr>
      <w:r>
        <w:rPr>
          <w:rFonts w:hint="eastAsia" w:ascii="黑体" w:hAnsi="黑体" w:eastAsia="黑体"/>
          <w:sz w:val="28"/>
          <w:szCs w:val="28"/>
        </w:rPr>
        <w:t>三、符合性审查响应对照表</w:t>
      </w:r>
    </w:p>
    <w:tbl>
      <w:tblPr>
        <w:tblStyle w:val="32"/>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8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符合性审查响应内容</w:t>
            </w:r>
          </w:p>
        </w:tc>
        <w:tc>
          <w:tcPr>
            <w:tcW w:w="1812"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采购需求中必须满足的实质性要求（每条详细列出的内容）</w:t>
            </w:r>
          </w:p>
        </w:tc>
        <w:tc>
          <w:tcPr>
            <w:tcW w:w="1812"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pacing w:line="0" w:lineRule="atLeast"/>
              <w:rPr>
                <w:rFonts w:asciiTheme="minorEastAsia" w:hAnsiTheme="minorEastAsia"/>
                <w:iCs/>
                <w:sz w:val="24"/>
                <w:szCs w:val="24"/>
              </w:rPr>
            </w:pP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pacing w:line="0" w:lineRule="atLeast"/>
              <w:rPr>
                <w:rFonts w:asciiTheme="minorEastAsia" w:hAnsiTheme="minorEastAsia"/>
                <w:iCs/>
                <w:sz w:val="24"/>
                <w:szCs w:val="24"/>
              </w:rPr>
            </w:pP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rPr>
          <w:rFonts w:ascii="黑体" w:hAnsi="黑体" w:eastAsia="黑体"/>
          <w:sz w:val="28"/>
          <w:szCs w:val="28"/>
        </w:rPr>
      </w:pPr>
      <w:r>
        <w:rPr>
          <w:rFonts w:hint="eastAsia" w:ascii="黑体" w:hAnsi="黑体" w:eastAsia="黑体"/>
          <w:sz w:val="28"/>
          <w:szCs w:val="28"/>
        </w:rPr>
        <w:t>四、评分索引表</w:t>
      </w:r>
    </w:p>
    <w:tbl>
      <w:tblPr>
        <w:tblStyle w:val="32"/>
        <w:tblW w:w="9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861"/>
        <w:gridCol w:w="449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97" w:type="dxa"/>
            <w:tcBorders>
              <w:top w:val="single" w:color="auto" w:sz="4" w:space="0"/>
              <w:left w:val="single" w:color="auto" w:sz="4" w:space="0"/>
              <w:bottom w:val="single" w:color="auto" w:sz="4" w:space="0"/>
              <w:right w:val="single" w:color="auto" w:sz="4" w:space="0"/>
            </w:tcBorders>
            <w:vAlign w:val="center"/>
          </w:tcPr>
          <w:p>
            <w:pPr>
              <w:pStyle w:val="131"/>
              <w:shd w:val="clear" w:color="auto" w:fill="FFFFFF"/>
              <w:spacing w:line="265" w:lineRule="atLeast"/>
              <w:ind w:left="0"/>
              <w:jc w:val="center"/>
              <w:rPr>
                <w:rFonts w:ascii="宋体" w:hAnsi="宋体"/>
                <w:b/>
                <w:kern w:val="2"/>
                <w:lang w:eastAsia="zh-CN"/>
              </w:rPr>
            </w:pPr>
            <w:r>
              <w:rPr>
                <w:rFonts w:hint="eastAsia" w:ascii="宋体" w:hAnsi="宋体"/>
                <w:b/>
                <w:kern w:val="2"/>
                <w:lang w:eastAsia="zh-CN"/>
              </w:rPr>
              <w:t>序号</w:t>
            </w:r>
          </w:p>
        </w:tc>
        <w:tc>
          <w:tcPr>
            <w:tcW w:w="1861" w:type="dxa"/>
            <w:tcBorders>
              <w:top w:val="single" w:color="auto" w:sz="4" w:space="0"/>
              <w:left w:val="single" w:color="auto" w:sz="4" w:space="0"/>
              <w:bottom w:val="single" w:color="auto" w:sz="4" w:space="0"/>
              <w:right w:val="single" w:color="auto" w:sz="4" w:space="0"/>
            </w:tcBorders>
            <w:vAlign w:val="center"/>
          </w:tcPr>
          <w:p>
            <w:pPr>
              <w:pStyle w:val="131"/>
              <w:shd w:val="clear" w:color="auto" w:fill="FFFFFF"/>
              <w:spacing w:line="265" w:lineRule="atLeast"/>
              <w:ind w:left="0"/>
              <w:jc w:val="center"/>
              <w:rPr>
                <w:rFonts w:ascii="宋体" w:hAnsi="宋体"/>
                <w:b/>
                <w:kern w:val="2"/>
              </w:rPr>
            </w:pPr>
            <w:r>
              <w:rPr>
                <w:rFonts w:hint="eastAsia" w:ascii="宋体" w:hAnsi="宋体"/>
                <w:b/>
                <w:kern w:val="2"/>
              </w:rPr>
              <w:t>评分项目</w:t>
            </w:r>
          </w:p>
        </w:tc>
        <w:tc>
          <w:tcPr>
            <w:tcW w:w="4497" w:type="dxa"/>
            <w:tcBorders>
              <w:top w:val="single" w:color="auto" w:sz="4" w:space="0"/>
              <w:left w:val="single" w:color="auto" w:sz="4" w:space="0"/>
              <w:bottom w:val="single" w:color="auto" w:sz="4" w:space="0"/>
              <w:right w:val="single" w:color="auto" w:sz="4" w:space="0"/>
            </w:tcBorders>
            <w:vAlign w:val="center"/>
          </w:tcPr>
          <w:p>
            <w:pPr>
              <w:pStyle w:val="131"/>
              <w:shd w:val="clear" w:color="auto" w:fill="FFFFFF"/>
              <w:spacing w:line="265" w:lineRule="atLeast"/>
              <w:ind w:left="0"/>
              <w:jc w:val="center"/>
              <w:rPr>
                <w:rFonts w:ascii="宋体" w:hAnsi="宋体"/>
                <w:b/>
                <w:bCs/>
                <w:kern w:val="2"/>
                <w:lang w:eastAsia="zh-CN"/>
              </w:rPr>
            </w:pPr>
            <w:r>
              <w:rPr>
                <w:rFonts w:hint="eastAsia" w:ascii="宋体" w:hAnsi="宋体"/>
                <w:b/>
                <w:bCs/>
                <w:kern w:val="2"/>
                <w:lang w:eastAsia="zh-CN"/>
              </w:rPr>
              <w:t>评分标准</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kern w:val="0"/>
                <w:sz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4497" w:type="dxa"/>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1861" w:type="dxa"/>
            <w:tcBorders>
              <w:top w:val="single" w:color="auto" w:sz="4" w:space="0"/>
              <w:left w:val="single" w:color="auto" w:sz="4" w:space="0"/>
              <w:bottom w:val="single" w:color="auto" w:sz="4" w:space="0"/>
              <w:right w:val="single" w:color="auto" w:sz="4" w:space="0"/>
            </w:tcBorders>
          </w:tcPr>
          <w:p>
            <w:pPr>
              <w:rPr>
                <w:rFonts w:ascii="宋体" w:hAnsi="宋体"/>
              </w:rPr>
            </w:pPr>
          </w:p>
        </w:tc>
      </w:tr>
    </w:tbl>
    <w:p>
      <w:pPr>
        <w:snapToGrid w:val="0"/>
        <w:spacing w:before="50" w:after="50"/>
        <w:rPr>
          <w:rFonts w:ascii="黑体" w:hAnsi="Times New Roman" w:eastAsia="黑体"/>
          <w:sz w:val="44"/>
          <w:szCs w:val="21"/>
        </w:rPr>
      </w:pPr>
    </w:p>
    <w:p>
      <w:pPr>
        <w:spacing w:line="440" w:lineRule="exact"/>
        <w:ind w:firstLine="480" w:firstLineChars="200"/>
        <w:rPr>
          <w:rFonts w:ascii="宋体" w:hAnsi="宋体"/>
          <w:sz w:val="24"/>
        </w:rPr>
      </w:pPr>
      <w:r>
        <w:rPr>
          <w:rFonts w:hint="eastAsia" w:ascii="宋体" w:hAnsi="宋体"/>
          <w:sz w:val="24"/>
        </w:rPr>
        <w:t>注：本表仅纸质投标（响应）文件需要提供。</w:t>
      </w: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五、资格、资信证明文件</w:t>
      </w:r>
    </w:p>
    <w:p>
      <w:pPr>
        <w:snapToGrid w:val="0"/>
        <w:spacing w:line="360" w:lineRule="auto"/>
        <w:ind w:firstLine="480" w:firstLineChars="200"/>
        <w:rPr>
          <w:rFonts w:ascii="宋体" w:hAnsi="宋体"/>
          <w:sz w:val="24"/>
          <w:szCs w:val="20"/>
        </w:rPr>
      </w:pPr>
      <w:r>
        <w:rPr>
          <w:rFonts w:hint="eastAsia" w:ascii="宋体" w:hAnsi="宋体"/>
          <w:b/>
          <w:bCs/>
          <w:sz w:val="24"/>
          <w:szCs w:val="24"/>
        </w:rPr>
        <w:t>1、资格证明文件目录</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文件1  </w:t>
      </w:r>
      <w:r>
        <w:rPr>
          <w:rFonts w:hint="eastAsia" w:ascii="宋体" w:hAnsi="宋体" w:cs="Arial"/>
          <w:sz w:val="24"/>
          <w:szCs w:val="24"/>
        </w:rPr>
        <w:t>法人或者其他组织的营业执照等证明文件，自然人的身份证明（复印件，如投标人组成联合体投标，参加联合体的各方均需提供）</w:t>
      </w:r>
    </w:p>
    <w:p>
      <w:pPr>
        <w:snapToGrid w:val="0"/>
        <w:spacing w:line="360" w:lineRule="auto"/>
        <w:ind w:firstLine="480" w:firstLineChars="200"/>
        <w:jc w:val="left"/>
        <w:rPr>
          <w:rFonts w:ascii="宋体" w:hAnsi="宋体" w:cs="Arial"/>
          <w:sz w:val="24"/>
          <w:szCs w:val="24"/>
        </w:rPr>
      </w:pPr>
      <w:r>
        <w:rPr>
          <w:rFonts w:hint="eastAsia" w:ascii="宋体" w:hAnsi="宋体"/>
          <w:b/>
          <w:sz w:val="24"/>
          <w:szCs w:val="24"/>
        </w:rPr>
        <w:t xml:space="preserve">文件2 </w:t>
      </w:r>
      <w:r>
        <w:rPr>
          <w:rFonts w:hint="eastAsia" w:ascii="宋体" w:hAnsi="宋体"/>
          <w:sz w:val="24"/>
          <w:szCs w:val="24"/>
        </w:rPr>
        <w:t xml:space="preserve"> 报价人近三个月中任意一个月份(不含报价当月)的财务状况报告（资产负债表和利润表）或由会计师事务所出具的近两年中任意一个年度的审计报告和所附已审财务报告（复印件，</w:t>
      </w:r>
      <w:r>
        <w:rPr>
          <w:rFonts w:hint="eastAsia" w:ascii="宋体" w:hAnsi="宋体" w:cs="Arial"/>
          <w:sz w:val="24"/>
          <w:szCs w:val="24"/>
        </w:rPr>
        <w:t>如投标人组成联合体投标，参加联合体的各方均需提供，</w:t>
      </w:r>
      <w:r>
        <w:rPr>
          <w:rFonts w:hint="eastAsia" w:ascii="宋体" w:hAnsi="宋体"/>
          <w:sz w:val="24"/>
          <w:szCs w:val="24"/>
        </w:rPr>
        <w:t>成立不满一年不需提供）</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文件3 </w:t>
      </w:r>
      <w:r>
        <w:rPr>
          <w:rFonts w:hint="eastAsia" w:ascii="宋体" w:hAnsi="宋体"/>
          <w:sz w:val="24"/>
          <w:szCs w:val="24"/>
        </w:rPr>
        <w:t xml:space="preserve"> 报价人近三个月中任意一个月份(不含报价当月)的</w:t>
      </w:r>
      <w:r>
        <w:rPr>
          <w:rFonts w:hint="eastAsia" w:ascii="宋体" w:hAnsi="宋体" w:cs="Arial"/>
          <w:sz w:val="24"/>
          <w:szCs w:val="24"/>
        </w:rPr>
        <w:t>依法缴纳税收和社会保障资金的相关材料（复印件，如投标人组成联合体投标，参加联合体的各方均需提供）</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文件4  </w:t>
      </w:r>
      <w:r>
        <w:rPr>
          <w:rFonts w:hint="eastAsia" w:ascii="宋体" w:hAnsi="宋体" w:cs="Arial"/>
          <w:sz w:val="24"/>
          <w:szCs w:val="24"/>
        </w:rPr>
        <w:t>具备履行合同所必需的设备和专业技术能力的书面声明（如投标人组成联合体投标，参加联合体的各方均需提供）</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文件5  </w:t>
      </w:r>
      <w:r>
        <w:rPr>
          <w:rFonts w:hint="eastAsia" w:ascii="宋体" w:hAnsi="宋体" w:cs="Arial"/>
          <w:sz w:val="24"/>
          <w:szCs w:val="24"/>
        </w:rPr>
        <w:t>参加政府采购活动前 3 年内在经营活动中没有重大违法记录的书面声明（如投标人组成联合体投标，参加联合体的各方均需提供）</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文件6  </w:t>
      </w:r>
      <w:r>
        <w:rPr>
          <w:rFonts w:hint="eastAsia" w:ascii="宋体" w:hAnsi="宋体"/>
          <w:sz w:val="24"/>
          <w:szCs w:val="24"/>
        </w:rPr>
        <w:t>响应函（原件，</w:t>
      </w:r>
      <w:r>
        <w:rPr>
          <w:rFonts w:hint="eastAsia" w:ascii="宋体" w:hAnsi="宋体" w:cs="Arial"/>
          <w:sz w:val="24"/>
          <w:szCs w:val="24"/>
        </w:rPr>
        <w:t>如投标人组成联合体投标，参加联合体的各方均需</w:t>
      </w:r>
      <w:r>
        <w:rPr>
          <w:rFonts w:hint="eastAsia" w:ascii="宋体" w:hAnsi="宋体"/>
          <w:sz w:val="24"/>
          <w:szCs w:val="24"/>
        </w:rPr>
        <w:t>加盖公章）</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文件7  </w:t>
      </w:r>
      <w:r>
        <w:rPr>
          <w:rFonts w:hint="eastAsia" w:ascii="宋体" w:hAnsi="宋体"/>
          <w:sz w:val="24"/>
          <w:szCs w:val="24"/>
        </w:rPr>
        <w:t>法定代表人资格证明书（原件，</w:t>
      </w:r>
      <w:r>
        <w:rPr>
          <w:rFonts w:hint="eastAsia" w:ascii="宋体" w:hAnsi="宋体" w:cs="Arial"/>
          <w:sz w:val="24"/>
          <w:szCs w:val="24"/>
        </w:rPr>
        <w:t>如投标人组成联合体投标，参加联合体的各方均需</w:t>
      </w:r>
      <w:r>
        <w:rPr>
          <w:rFonts w:hint="eastAsia" w:ascii="宋体" w:hAnsi="宋体"/>
          <w:sz w:val="24"/>
          <w:szCs w:val="24"/>
        </w:rPr>
        <w:t>加盖公章）或法人授权委托书（原件，</w:t>
      </w:r>
      <w:r>
        <w:rPr>
          <w:rFonts w:hint="eastAsia" w:ascii="宋体" w:hAnsi="宋体" w:cs="Arial"/>
          <w:sz w:val="24"/>
          <w:szCs w:val="24"/>
        </w:rPr>
        <w:t>如投标人组成联合体投标，参加联合体的各方均需</w:t>
      </w:r>
      <w:r>
        <w:rPr>
          <w:rFonts w:hint="eastAsia" w:ascii="宋体" w:hAnsi="宋体"/>
          <w:sz w:val="24"/>
          <w:szCs w:val="24"/>
        </w:rPr>
        <w:t>加盖公章）</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文件8  </w:t>
      </w:r>
      <w:r>
        <w:rPr>
          <w:rFonts w:hint="eastAsia" w:ascii="宋体" w:hAnsi="宋体"/>
          <w:sz w:val="24"/>
          <w:szCs w:val="24"/>
        </w:rPr>
        <w:t>联合体协议（以联合体形式参加投标的提供，</w:t>
      </w:r>
      <w:r>
        <w:rPr>
          <w:rFonts w:hint="eastAsia" w:ascii="宋体" w:hAnsi="宋体" w:cs="Arial"/>
          <w:sz w:val="24"/>
          <w:szCs w:val="24"/>
        </w:rPr>
        <w:t>参加联合体的各方均需</w:t>
      </w:r>
      <w:r>
        <w:rPr>
          <w:rFonts w:hint="eastAsia" w:ascii="宋体" w:hAnsi="宋体"/>
          <w:sz w:val="24"/>
          <w:szCs w:val="24"/>
        </w:rPr>
        <w:t>加盖公章</w:t>
      </w:r>
      <w:r>
        <w:rPr>
          <w:rFonts w:hint="eastAsia" w:ascii="宋体" w:hAnsi="宋体" w:cs="Arial"/>
          <w:sz w:val="24"/>
          <w:szCs w:val="24"/>
        </w:rPr>
        <w:t>，</w:t>
      </w:r>
      <w:r>
        <w:rPr>
          <w:rFonts w:hint="eastAsia" w:ascii="宋体" w:hAnsi="宋体"/>
          <w:sz w:val="24"/>
          <w:szCs w:val="24"/>
        </w:rPr>
        <w:t>原件）</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文件9  </w:t>
      </w:r>
      <w:r>
        <w:rPr>
          <w:rFonts w:hint="eastAsia" w:ascii="宋体" w:hAnsi="宋体"/>
          <w:sz w:val="24"/>
          <w:szCs w:val="24"/>
        </w:rPr>
        <w:t>本项目投标人资格要求涉及的其它证明材料（如有）</w:t>
      </w:r>
    </w:p>
    <w:p>
      <w:pPr>
        <w:snapToGrid w:val="0"/>
        <w:spacing w:line="360" w:lineRule="auto"/>
        <w:ind w:firstLine="480" w:firstLineChars="200"/>
        <w:jc w:val="left"/>
        <w:rPr>
          <w:rFonts w:ascii="宋体" w:hAnsi="宋体"/>
          <w:sz w:val="24"/>
          <w:szCs w:val="24"/>
        </w:rPr>
      </w:pPr>
      <w:r>
        <w:rPr>
          <w:rFonts w:hint="eastAsia" w:ascii="宋体" w:hAnsi="宋体"/>
          <w:sz w:val="24"/>
          <w:szCs w:val="24"/>
        </w:rPr>
        <w:t>以上资格证明文件中要求加盖公章的，必须加盖公章；如供应商组成联合体参加投标，则联合体各方均须加盖公章，否则视为无效投标。</w:t>
      </w:r>
    </w:p>
    <w:p>
      <w:pPr>
        <w:snapToGrid w:val="0"/>
        <w:spacing w:line="360" w:lineRule="auto"/>
        <w:ind w:firstLine="200"/>
        <w:rPr>
          <w:rFonts w:ascii="宋体" w:hAnsi="宋体"/>
          <w:b/>
          <w:bCs/>
          <w:sz w:val="24"/>
        </w:rPr>
      </w:pPr>
    </w:p>
    <w:p>
      <w:pPr>
        <w:snapToGrid w:val="0"/>
        <w:spacing w:line="360" w:lineRule="auto"/>
        <w:ind w:firstLine="480" w:firstLineChars="200"/>
        <w:rPr>
          <w:rFonts w:ascii="宋体" w:hAnsi="宋体"/>
          <w:b/>
          <w:bCs/>
          <w:sz w:val="24"/>
          <w:szCs w:val="24"/>
        </w:rPr>
      </w:pPr>
      <w:r>
        <w:rPr>
          <w:rFonts w:hint="eastAsia" w:ascii="宋体" w:hAnsi="宋体"/>
          <w:b/>
          <w:bCs/>
          <w:sz w:val="24"/>
          <w:szCs w:val="24"/>
        </w:rPr>
        <w:t>2、非实质性资信证明文件目录</w:t>
      </w:r>
    </w:p>
    <w:p>
      <w:pPr>
        <w:pStyle w:val="9"/>
        <w:spacing w:line="360" w:lineRule="auto"/>
        <w:ind w:firstLine="480" w:firstLineChars="200"/>
        <w:rPr>
          <w:rFonts w:ascii="宋体" w:hAnsi="宋体"/>
          <w:sz w:val="24"/>
          <w:szCs w:val="24"/>
        </w:rPr>
      </w:pPr>
      <w:r>
        <w:rPr>
          <w:rFonts w:hint="eastAsia" w:ascii="宋体" w:hAnsi="宋体"/>
          <w:sz w:val="24"/>
          <w:szCs w:val="24"/>
        </w:rPr>
        <w:t>格式1 《中小企业声明函》</w:t>
      </w:r>
      <w:r>
        <w:rPr>
          <w:rFonts w:hint="eastAsia" w:ascii="宋体" w:hAnsi="宋体"/>
          <w:b/>
          <w:sz w:val="24"/>
          <w:szCs w:val="24"/>
        </w:rPr>
        <w:t>（格式见附件）</w:t>
      </w:r>
    </w:p>
    <w:p>
      <w:pPr>
        <w:spacing w:line="360" w:lineRule="auto"/>
        <w:ind w:firstLine="480" w:firstLineChars="200"/>
        <w:rPr>
          <w:rFonts w:ascii="宋体" w:hAnsi="宋体"/>
          <w:sz w:val="24"/>
          <w:szCs w:val="24"/>
        </w:rPr>
      </w:pPr>
      <w:r>
        <w:rPr>
          <w:rFonts w:hint="eastAsia" w:ascii="宋体" w:hAnsi="宋体"/>
          <w:sz w:val="24"/>
          <w:szCs w:val="24"/>
        </w:rPr>
        <w:t>格式2 《残疾人福利性单位声明函》</w:t>
      </w:r>
      <w:r>
        <w:rPr>
          <w:rFonts w:hint="eastAsia" w:ascii="宋体" w:hAnsi="宋体"/>
          <w:b/>
          <w:sz w:val="24"/>
          <w:szCs w:val="24"/>
        </w:rPr>
        <w:t>（格式见附件）</w:t>
      </w:r>
    </w:p>
    <w:p>
      <w:pPr>
        <w:rPr>
          <w:rFonts w:ascii="宋体" w:hAnsi="宋体"/>
          <w:bCs/>
          <w:sz w:val="24"/>
        </w:rPr>
      </w:pPr>
      <w:r>
        <w:rPr>
          <w:rFonts w:ascii="黑体" w:hAnsi="黑体" w:eastAsia="黑体"/>
          <w:b/>
          <w:sz w:val="32"/>
          <w:szCs w:val="32"/>
        </w:rPr>
        <w:br w:type="page"/>
      </w:r>
      <w:bookmarkEnd w:id="56"/>
    </w:p>
    <w:p>
      <w:pPr>
        <w:spacing w:line="580" w:lineRule="exact"/>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六、</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报价人名称（盖章）：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tbl>
      <w:tblPr>
        <w:tblStyle w:val="32"/>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394"/>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57"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2394" w:type="dxa"/>
            <w:vAlign w:val="center"/>
          </w:tcPr>
          <w:p>
            <w:pPr>
              <w:autoSpaceDE w:val="0"/>
              <w:autoSpaceDN w:val="0"/>
              <w:adjustRightInd w:val="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税率%</w:t>
            </w:r>
          </w:p>
        </w:tc>
        <w:tc>
          <w:tcPr>
            <w:tcW w:w="2394" w:type="dxa"/>
            <w:vAlign w:val="center"/>
          </w:tcPr>
          <w:p>
            <w:pPr>
              <w:autoSpaceDE w:val="0"/>
              <w:autoSpaceDN w:val="0"/>
              <w:adjustRightInd w:val="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税金</w:t>
            </w:r>
          </w:p>
        </w:tc>
        <w:tc>
          <w:tcPr>
            <w:tcW w:w="2392"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不含税总报价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2957" w:type="dxa"/>
            <w:vAlign w:val="center"/>
          </w:tcPr>
          <w:p>
            <w:pPr>
              <w:pStyle w:val="104"/>
              <w:spacing w:line="400" w:lineRule="exact"/>
              <w:jc w:val="center"/>
              <w:rPr>
                <w:rFonts w:hAnsi="宋体"/>
                <w:bCs/>
                <w:color w:val="000000" w:themeColor="text1"/>
                <w:szCs w:val="24"/>
                <w14:textFill>
                  <w14:solidFill>
                    <w14:schemeClr w14:val="tx1"/>
                  </w14:solidFill>
                </w14:textFill>
              </w:rPr>
            </w:pPr>
          </w:p>
        </w:tc>
        <w:tc>
          <w:tcPr>
            <w:tcW w:w="2394" w:type="dxa"/>
          </w:tcPr>
          <w:p>
            <w:pPr>
              <w:pStyle w:val="104"/>
              <w:rPr>
                <w:rFonts w:hAnsi="宋体"/>
                <w:b/>
                <w:color w:val="000000" w:themeColor="text1"/>
                <w:szCs w:val="24"/>
                <w14:textFill>
                  <w14:solidFill>
                    <w14:schemeClr w14:val="tx1"/>
                  </w14:solidFill>
                </w14:textFill>
              </w:rPr>
            </w:pPr>
          </w:p>
        </w:tc>
        <w:tc>
          <w:tcPr>
            <w:tcW w:w="2394" w:type="dxa"/>
          </w:tcPr>
          <w:p>
            <w:pPr>
              <w:pStyle w:val="104"/>
              <w:rPr>
                <w:rFonts w:hAnsi="宋体"/>
                <w:b/>
                <w:color w:val="000000" w:themeColor="text1"/>
                <w:szCs w:val="24"/>
                <w14:textFill>
                  <w14:solidFill>
                    <w14:schemeClr w14:val="tx1"/>
                  </w14:solidFill>
                </w14:textFill>
              </w:rPr>
            </w:pPr>
          </w:p>
        </w:tc>
        <w:tc>
          <w:tcPr>
            <w:tcW w:w="2392" w:type="dxa"/>
            <w:vAlign w:val="center"/>
          </w:tcPr>
          <w:p>
            <w:pPr>
              <w:pStyle w:val="104"/>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137" w:type="dxa"/>
            <w:gridSpan w:val="4"/>
          </w:tcPr>
          <w:p>
            <w:pPr>
              <w:autoSpaceDE w:val="0"/>
              <w:autoSpaceDN w:val="0"/>
              <w:adjustRightInd w:val="0"/>
              <w:rPr>
                <w:rFonts w:asci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不含税总报价（大写）：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rPr>
          <w:rFonts w:ascii="黑体" w:hAnsi="黑体" w:eastAsia="黑体"/>
          <w:sz w:val="28"/>
          <w:szCs w:val="28"/>
        </w:rPr>
      </w:pPr>
      <w:r>
        <w:rPr>
          <w:rFonts w:ascii="宋体" w:hAnsi="宋体"/>
          <w:b/>
          <w:sz w:val="44"/>
        </w:rPr>
        <w:br w:type="page"/>
      </w:r>
      <w:r>
        <w:rPr>
          <w:rFonts w:hint="eastAsia" w:ascii="黑体" w:hAnsi="黑体" w:eastAsia="黑体"/>
          <w:sz w:val="28"/>
          <w:szCs w:val="28"/>
        </w:rPr>
        <w:t>七、明细报价表</w:t>
      </w:r>
    </w:p>
    <w:p>
      <w:pPr>
        <w:spacing w:line="400" w:lineRule="exact"/>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报价人名称（盖章）：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2"/>
        <w:tblW w:w="1031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210"/>
        <w:gridCol w:w="840"/>
        <w:gridCol w:w="945"/>
        <w:gridCol w:w="2572"/>
        <w:gridCol w:w="473"/>
        <w:gridCol w:w="31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10" w:type="dxa"/>
            <w:tcMar>
              <w:top w:w="15" w:type="dxa"/>
              <w:left w:w="15" w:type="dxa"/>
              <w:bottom w:w="0" w:type="dxa"/>
              <w:right w:w="15" w:type="dxa"/>
            </w:tcMar>
            <w:vAlign w:val="center"/>
          </w:tcPr>
          <w:p>
            <w:pPr>
              <w:spacing w:before="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050" w:type="dxa"/>
            <w:gridSpan w:val="2"/>
            <w:tcMar>
              <w:top w:w="15" w:type="dxa"/>
              <w:left w:w="15" w:type="dxa"/>
              <w:bottom w:w="0" w:type="dxa"/>
              <w:right w:w="15" w:type="dxa"/>
            </w:tcMar>
            <w:vAlign w:val="center"/>
          </w:tcPr>
          <w:p>
            <w:pPr>
              <w:spacing w:before="5"/>
              <w:jc w:val="center"/>
              <w:rPr>
                <w:color w:val="000000" w:themeColor="text1"/>
                <w:szCs w:val="21"/>
                <w:u w:color="FF0000"/>
                <w14:textFill>
                  <w14:solidFill>
                    <w14:schemeClr w14:val="tx1"/>
                  </w14:solidFill>
                </w14:textFill>
              </w:rPr>
            </w:pPr>
            <w:r>
              <w:rPr>
                <w:rFonts w:hint="eastAsia"/>
                <w:color w:val="000000" w:themeColor="text1"/>
                <w:szCs w:val="21"/>
                <w14:textFill>
                  <w14:solidFill>
                    <w14:schemeClr w14:val="tx1"/>
                  </w14:solidFill>
                </w14:textFill>
              </w:rPr>
              <w:t>名称</w:t>
            </w:r>
          </w:p>
        </w:tc>
        <w:tc>
          <w:tcPr>
            <w:tcW w:w="945" w:type="dxa"/>
            <w:tcMar>
              <w:top w:w="15" w:type="dxa"/>
              <w:left w:w="15" w:type="dxa"/>
              <w:bottom w:w="0" w:type="dxa"/>
              <w:right w:w="15" w:type="dxa"/>
            </w:tcMar>
            <w:vAlign w:val="center"/>
          </w:tcPr>
          <w:p>
            <w:pPr>
              <w:spacing w:before="5"/>
              <w:jc w:val="center"/>
              <w:rPr>
                <w:color w:val="000000" w:themeColor="text1"/>
                <w:szCs w:val="21"/>
                <w:u w:color="FF0000"/>
                <w14:textFill>
                  <w14:solidFill>
                    <w14:schemeClr w14:val="tx1"/>
                  </w14:solidFill>
                </w14:textFill>
              </w:rPr>
            </w:pPr>
            <w:r>
              <w:rPr>
                <w:rFonts w:hint="eastAsia"/>
                <w:color w:val="000000" w:themeColor="text1"/>
                <w:szCs w:val="21"/>
                <w:u w:color="FF0000"/>
                <w14:textFill>
                  <w14:solidFill>
                    <w14:schemeClr w14:val="tx1"/>
                  </w14:solidFill>
                </w14:textFill>
              </w:rPr>
              <w:t>品牌型号</w:t>
            </w:r>
          </w:p>
        </w:tc>
        <w:tc>
          <w:tcPr>
            <w:tcW w:w="3045" w:type="dxa"/>
            <w:gridSpan w:val="2"/>
            <w:tcMar>
              <w:top w:w="15" w:type="dxa"/>
              <w:left w:w="15" w:type="dxa"/>
              <w:bottom w:w="0" w:type="dxa"/>
              <w:right w:w="15" w:type="dxa"/>
            </w:tcMar>
            <w:vAlign w:val="center"/>
          </w:tcPr>
          <w:p>
            <w:pPr>
              <w:spacing w:before="5"/>
              <w:jc w:val="center"/>
              <w:rPr>
                <w:color w:val="000000" w:themeColor="text1"/>
                <w:szCs w:val="21"/>
                <w14:textFill>
                  <w14:solidFill>
                    <w14:schemeClr w14:val="tx1"/>
                  </w14:solidFill>
                </w14:textFill>
              </w:rPr>
            </w:pPr>
            <w:r>
              <w:rPr>
                <w:rFonts w:hint="eastAsia"/>
                <w:color w:val="000000" w:themeColor="text1"/>
                <w:szCs w:val="21"/>
                <w:u w:color="FF0000"/>
                <w14:textFill>
                  <w14:solidFill>
                    <w14:schemeClr w14:val="tx1"/>
                  </w14:solidFill>
                </w14:textFill>
              </w:rPr>
              <w:t>性能指标</w:t>
            </w:r>
          </w:p>
        </w:tc>
        <w:tc>
          <w:tcPr>
            <w:tcW w:w="3150" w:type="dxa"/>
            <w:tcMar>
              <w:top w:w="15" w:type="dxa"/>
              <w:left w:w="15" w:type="dxa"/>
              <w:bottom w:w="0" w:type="dxa"/>
              <w:right w:w="15" w:type="dxa"/>
            </w:tcMar>
            <w:vAlign w:val="center"/>
          </w:tcPr>
          <w:p>
            <w:pPr>
              <w:spacing w:before="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709" w:type="dxa"/>
            <w:vAlign w:val="center"/>
          </w:tcPr>
          <w:p>
            <w:pPr>
              <w:spacing w:before="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单价</w:t>
            </w:r>
          </w:p>
        </w:tc>
        <w:tc>
          <w:tcPr>
            <w:tcW w:w="709" w:type="dxa"/>
            <w:vAlign w:val="center"/>
          </w:tcPr>
          <w:p>
            <w:pPr>
              <w:spacing w:before="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710" w:type="dxa"/>
            <w:tcMar>
              <w:top w:w="15" w:type="dxa"/>
              <w:left w:w="15" w:type="dxa"/>
              <w:bottom w:w="0" w:type="dxa"/>
              <w:right w:w="15" w:type="dxa"/>
            </w:tcMar>
            <w:vAlign w:val="center"/>
          </w:tcPr>
          <w:p>
            <w:pPr>
              <w:pStyle w:val="22"/>
              <w:pBdr>
                <w:bottom w:val="none" w:color="auto" w:sz="0" w:space="0"/>
              </w:pBdr>
              <w:tabs>
                <w:tab w:val="clear" w:pos="4153"/>
                <w:tab w:val="clear" w:pos="8306"/>
              </w:tabs>
              <w:snapToGrid/>
              <w:spacing w:before="5"/>
              <w:rPr>
                <w:rFonts w:ascii="宋体"/>
                <w:color w:val="000000" w:themeColor="text1"/>
                <w:kern w:val="2"/>
                <w:sz w:val="21"/>
                <w:szCs w:val="21"/>
                <w14:textFill>
                  <w14:solidFill>
                    <w14:schemeClr w14:val="tx1"/>
                  </w14:solidFill>
                </w14:textFill>
              </w:rPr>
            </w:pPr>
            <w:r>
              <w:rPr>
                <w:rFonts w:hint="eastAsia" w:ascii="宋体"/>
                <w:color w:val="000000" w:themeColor="text1"/>
                <w:kern w:val="2"/>
                <w:sz w:val="21"/>
                <w:szCs w:val="21"/>
                <w14:textFill>
                  <w14:solidFill>
                    <w14:schemeClr w14:val="tx1"/>
                  </w14:solidFill>
                </w14:textFill>
              </w:rPr>
              <w:t>1</w:t>
            </w:r>
          </w:p>
        </w:tc>
        <w:tc>
          <w:tcPr>
            <w:tcW w:w="1050" w:type="dxa"/>
            <w:gridSpan w:val="2"/>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Cs/>
                <w:color w:val="000000" w:themeColor="text1"/>
                <w:kern w:val="2"/>
                <w:sz w:val="21"/>
                <w:szCs w:val="21"/>
                <w14:textFill>
                  <w14:solidFill>
                    <w14:schemeClr w14:val="tx1"/>
                  </w14:solidFill>
                </w14:textFill>
              </w:rPr>
            </w:pPr>
          </w:p>
        </w:tc>
        <w:tc>
          <w:tcPr>
            <w:tcW w:w="945" w:type="dxa"/>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Cs/>
                <w:color w:val="000000" w:themeColor="text1"/>
                <w:kern w:val="2"/>
                <w:sz w:val="21"/>
                <w:szCs w:val="21"/>
                <w14:textFill>
                  <w14:solidFill>
                    <w14:schemeClr w14:val="tx1"/>
                  </w14:solidFill>
                </w14:textFill>
              </w:rPr>
            </w:pPr>
          </w:p>
        </w:tc>
        <w:tc>
          <w:tcPr>
            <w:tcW w:w="3045" w:type="dxa"/>
            <w:gridSpan w:val="2"/>
            <w:tcMar>
              <w:top w:w="15" w:type="dxa"/>
              <w:left w:w="15" w:type="dxa"/>
              <w:bottom w:w="0" w:type="dxa"/>
              <w:right w:w="15" w:type="dxa"/>
            </w:tcMar>
          </w:tcPr>
          <w:p>
            <w:pPr>
              <w:jc w:val="center"/>
              <w:rPr>
                <w:rFonts w:ascii="宋体"/>
                <w:bCs/>
                <w:color w:val="000000" w:themeColor="text1"/>
                <w:szCs w:val="21"/>
                <w14:textFill>
                  <w14:solidFill>
                    <w14:schemeClr w14:val="tx1"/>
                  </w14:solidFill>
                </w14:textFill>
              </w:rPr>
            </w:pPr>
          </w:p>
        </w:tc>
        <w:tc>
          <w:tcPr>
            <w:tcW w:w="3150" w:type="dxa"/>
            <w:tcMar>
              <w:top w:w="15" w:type="dxa"/>
              <w:left w:w="15" w:type="dxa"/>
              <w:bottom w:w="0" w:type="dxa"/>
              <w:right w:w="15" w:type="dxa"/>
            </w:tcMar>
            <w:vAlign w:val="center"/>
          </w:tcPr>
          <w:p>
            <w:pPr>
              <w:jc w:val="center"/>
              <w:rPr>
                <w:rFonts w:ascii="黑体" w:hAnsi="宋体" w:eastAsia="黑体"/>
                <w:b/>
                <w:bCs/>
                <w:color w:val="000000" w:themeColor="text1"/>
                <w:szCs w:val="21"/>
                <w14:textFill>
                  <w14:solidFill>
                    <w14:schemeClr w14:val="tx1"/>
                  </w14:solidFill>
                </w14:textFill>
              </w:rPr>
            </w:pPr>
            <w:r>
              <w:rPr>
                <w:rFonts w:hint="eastAsia" w:ascii="黑体" w:eastAsia="黑体"/>
                <w:b/>
                <w:bCs/>
                <w:color w:val="000000" w:themeColor="text1"/>
                <w:szCs w:val="21"/>
                <w14:textFill>
                  <w14:solidFill>
                    <w14:schemeClr w14:val="tx1"/>
                  </w14:solidFill>
                </w14:textFill>
              </w:rPr>
              <w:t>　</w:t>
            </w:r>
          </w:p>
        </w:tc>
        <w:tc>
          <w:tcPr>
            <w:tcW w:w="709" w:type="dxa"/>
            <w:vAlign w:val="center"/>
          </w:tcPr>
          <w:p>
            <w:pPr>
              <w:jc w:val="center"/>
              <w:rPr>
                <w:rFonts w:ascii="黑体" w:hAnsi="宋体" w:eastAsia="黑体"/>
                <w:b/>
                <w:bCs/>
                <w:color w:val="000000" w:themeColor="text1"/>
                <w:szCs w:val="21"/>
                <w14:textFill>
                  <w14:solidFill>
                    <w14:schemeClr w14:val="tx1"/>
                  </w14:solidFill>
                </w14:textFill>
              </w:rPr>
            </w:pPr>
          </w:p>
        </w:tc>
        <w:tc>
          <w:tcPr>
            <w:tcW w:w="709" w:type="dxa"/>
            <w:vAlign w:val="center"/>
          </w:tcPr>
          <w:p>
            <w:pPr>
              <w:jc w:val="center"/>
              <w:rPr>
                <w:rFonts w:ascii="黑体" w:hAnsi="宋体" w:eastAsia="黑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trPr>
        <w:tc>
          <w:tcPr>
            <w:tcW w:w="710" w:type="dxa"/>
            <w:tcMar>
              <w:top w:w="15" w:type="dxa"/>
              <w:left w:w="15" w:type="dxa"/>
              <w:bottom w:w="0" w:type="dxa"/>
              <w:right w:w="15" w:type="dxa"/>
            </w:tcMar>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w:t>
            </w:r>
          </w:p>
        </w:tc>
        <w:tc>
          <w:tcPr>
            <w:tcW w:w="1050" w:type="dxa"/>
            <w:gridSpan w:val="2"/>
            <w:tcMar>
              <w:top w:w="15" w:type="dxa"/>
              <w:left w:w="15" w:type="dxa"/>
              <w:bottom w:w="0" w:type="dxa"/>
              <w:right w:w="15" w:type="dxa"/>
            </w:tcMar>
            <w:vAlign w:val="center"/>
          </w:tcPr>
          <w:p>
            <w:pPr>
              <w:jc w:val="center"/>
              <w:rPr>
                <w:rFonts w:ascii="宋体"/>
                <w:color w:val="000000" w:themeColor="text1"/>
                <w:szCs w:val="21"/>
                <w14:textFill>
                  <w14:solidFill>
                    <w14:schemeClr w14:val="tx1"/>
                  </w14:solidFill>
                </w14:textFill>
              </w:rPr>
            </w:pPr>
          </w:p>
        </w:tc>
        <w:tc>
          <w:tcPr>
            <w:tcW w:w="945" w:type="dxa"/>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Cs/>
                <w:color w:val="000000" w:themeColor="text1"/>
                <w:kern w:val="2"/>
                <w:sz w:val="21"/>
                <w:szCs w:val="21"/>
                <w14:textFill>
                  <w14:solidFill>
                    <w14:schemeClr w14:val="tx1"/>
                  </w14:solidFill>
                </w14:textFill>
              </w:rPr>
            </w:pPr>
          </w:p>
        </w:tc>
        <w:tc>
          <w:tcPr>
            <w:tcW w:w="3045" w:type="dxa"/>
            <w:gridSpan w:val="2"/>
            <w:tcMar>
              <w:top w:w="15" w:type="dxa"/>
              <w:left w:w="15" w:type="dxa"/>
              <w:bottom w:w="0" w:type="dxa"/>
              <w:right w:w="15" w:type="dxa"/>
            </w:tcMar>
            <w:vAlign w:val="center"/>
          </w:tcPr>
          <w:p>
            <w:pPr>
              <w:jc w:val="center"/>
              <w:rPr>
                <w:rFonts w:ascii="宋体"/>
                <w:bCs/>
                <w:color w:val="000000" w:themeColor="text1"/>
                <w:szCs w:val="21"/>
                <w14:textFill>
                  <w14:solidFill>
                    <w14:schemeClr w14:val="tx1"/>
                  </w14:solidFill>
                </w14:textFill>
              </w:rPr>
            </w:pPr>
          </w:p>
        </w:tc>
        <w:tc>
          <w:tcPr>
            <w:tcW w:w="3150" w:type="dxa"/>
            <w:tcMar>
              <w:top w:w="15" w:type="dxa"/>
              <w:left w:w="15" w:type="dxa"/>
              <w:bottom w:w="0" w:type="dxa"/>
              <w:right w:w="15" w:type="dxa"/>
            </w:tcMar>
            <w:vAlign w:val="center"/>
          </w:tcPr>
          <w:p>
            <w:pPr>
              <w:jc w:val="center"/>
              <w:rPr>
                <w:rFonts w:ascii="黑体" w:hAnsi="宋体" w:eastAsia="黑体"/>
                <w:b/>
                <w:bCs/>
                <w:color w:val="000000" w:themeColor="text1"/>
                <w:szCs w:val="21"/>
                <w14:textFill>
                  <w14:solidFill>
                    <w14:schemeClr w14:val="tx1"/>
                  </w14:solidFill>
                </w14:textFill>
              </w:rPr>
            </w:pPr>
            <w:r>
              <w:rPr>
                <w:rFonts w:hint="eastAsia" w:ascii="黑体" w:eastAsia="黑体"/>
                <w:b/>
                <w:bCs/>
                <w:color w:val="000000" w:themeColor="text1"/>
                <w:szCs w:val="21"/>
                <w14:textFill>
                  <w14:solidFill>
                    <w14:schemeClr w14:val="tx1"/>
                  </w14:solidFill>
                </w14:textFill>
              </w:rPr>
              <w:t>　</w:t>
            </w:r>
          </w:p>
        </w:tc>
        <w:tc>
          <w:tcPr>
            <w:tcW w:w="709" w:type="dxa"/>
            <w:vAlign w:val="center"/>
          </w:tcPr>
          <w:p>
            <w:pPr>
              <w:jc w:val="center"/>
              <w:rPr>
                <w:rFonts w:ascii="黑体" w:hAnsi="宋体" w:eastAsia="黑体"/>
                <w:b/>
                <w:bCs/>
                <w:color w:val="000000" w:themeColor="text1"/>
                <w:szCs w:val="21"/>
                <w14:textFill>
                  <w14:solidFill>
                    <w14:schemeClr w14:val="tx1"/>
                  </w14:solidFill>
                </w14:textFill>
              </w:rPr>
            </w:pPr>
          </w:p>
        </w:tc>
        <w:tc>
          <w:tcPr>
            <w:tcW w:w="709" w:type="dxa"/>
            <w:vAlign w:val="center"/>
          </w:tcPr>
          <w:p>
            <w:pPr>
              <w:jc w:val="center"/>
              <w:rPr>
                <w:rFonts w:ascii="黑体" w:hAnsi="宋体" w:eastAsia="黑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trPr>
        <w:tc>
          <w:tcPr>
            <w:tcW w:w="710" w:type="dxa"/>
            <w:tcMar>
              <w:top w:w="15" w:type="dxa"/>
              <w:left w:w="15" w:type="dxa"/>
              <w:bottom w:w="0" w:type="dxa"/>
              <w:right w:w="15" w:type="dxa"/>
            </w:tcMar>
            <w:vAlign w:val="center"/>
          </w:tcPr>
          <w:p>
            <w:pPr>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w:t>
            </w:r>
          </w:p>
        </w:tc>
        <w:tc>
          <w:tcPr>
            <w:tcW w:w="1050" w:type="dxa"/>
            <w:gridSpan w:val="2"/>
            <w:tcMar>
              <w:top w:w="15" w:type="dxa"/>
              <w:left w:w="15" w:type="dxa"/>
              <w:bottom w:w="0" w:type="dxa"/>
              <w:right w:w="15" w:type="dxa"/>
            </w:tcMar>
            <w:vAlign w:val="center"/>
          </w:tcPr>
          <w:p>
            <w:pPr>
              <w:jc w:val="center"/>
              <w:rPr>
                <w:rFonts w:ascii="宋体"/>
                <w:color w:val="000000" w:themeColor="text1"/>
                <w:szCs w:val="21"/>
                <w14:textFill>
                  <w14:solidFill>
                    <w14:schemeClr w14:val="tx1"/>
                  </w14:solidFill>
                </w14:textFill>
              </w:rPr>
            </w:pPr>
          </w:p>
        </w:tc>
        <w:tc>
          <w:tcPr>
            <w:tcW w:w="945" w:type="dxa"/>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Cs/>
                <w:color w:val="000000" w:themeColor="text1"/>
                <w:kern w:val="2"/>
                <w:sz w:val="21"/>
                <w:szCs w:val="21"/>
                <w14:textFill>
                  <w14:solidFill>
                    <w14:schemeClr w14:val="tx1"/>
                  </w14:solidFill>
                </w14:textFill>
              </w:rPr>
            </w:pPr>
          </w:p>
        </w:tc>
        <w:tc>
          <w:tcPr>
            <w:tcW w:w="3045" w:type="dxa"/>
            <w:gridSpan w:val="2"/>
            <w:tcMar>
              <w:top w:w="15" w:type="dxa"/>
              <w:left w:w="15" w:type="dxa"/>
              <w:bottom w:w="0" w:type="dxa"/>
              <w:right w:w="15" w:type="dxa"/>
            </w:tcMar>
            <w:vAlign w:val="center"/>
          </w:tcPr>
          <w:p>
            <w:pPr>
              <w:jc w:val="center"/>
              <w:rPr>
                <w:rFonts w:ascii="宋体"/>
                <w:bCs/>
                <w:color w:val="000000" w:themeColor="text1"/>
                <w:szCs w:val="21"/>
                <w14:textFill>
                  <w14:solidFill>
                    <w14:schemeClr w14:val="tx1"/>
                  </w14:solidFill>
                </w14:textFill>
              </w:rPr>
            </w:pPr>
          </w:p>
        </w:tc>
        <w:tc>
          <w:tcPr>
            <w:tcW w:w="3150" w:type="dxa"/>
            <w:tcMar>
              <w:top w:w="15" w:type="dxa"/>
              <w:left w:w="15" w:type="dxa"/>
              <w:bottom w:w="0" w:type="dxa"/>
              <w:right w:w="15" w:type="dxa"/>
            </w:tcMar>
            <w:vAlign w:val="center"/>
          </w:tcPr>
          <w:p>
            <w:pPr>
              <w:jc w:val="center"/>
              <w:rPr>
                <w:rFonts w:ascii="黑体" w:eastAsia="黑体"/>
                <w:b/>
                <w:bCs/>
                <w:color w:val="000000" w:themeColor="text1"/>
                <w:szCs w:val="21"/>
                <w14:textFill>
                  <w14:solidFill>
                    <w14:schemeClr w14:val="tx1"/>
                  </w14:solidFill>
                </w14:textFill>
              </w:rPr>
            </w:pPr>
          </w:p>
        </w:tc>
        <w:tc>
          <w:tcPr>
            <w:tcW w:w="709" w:type="dxa"/>
            <w:vAlign w:val="center"/>
          </w:tcPr>
          <w:p>
            <w:pPr>
              <w:jc w:val="center"/>
              <w:rPr>
                <w:rFonts w:ascii="黑体" w:hAnsi="宋体" w:eastAsia="黑体"/>
                <w:b/>
                <w:bCs/>
                <w:color w:val="000000" w:themeColor="text1"/>
                <w:szCs w:val="21"/>
                <w14:textFill>
                  <w14:solidFill>
                    <w14:schemeClr w14:val="tx1"/>
                  </w14:solidFill>
                </w14:textFill>
              </w:rPr>
            </w:pPr>
          </w:p>
        </w:tc>
        <w:tc>
          <w:tcPr>
            <w:tcW w:w="709" w:type="dxa"/>
            <w:vAlign w:val="center"/>
          </w:tcPr>
          <w:p>
            <w:pPr>
              <w:jc w:val="center"/>
              <w:rPr>
                <w:rFonts w:ascii="黑体" w:hAnsi="宋体" w:eastAsia="黑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705" w:type="dxa"/>
            <w:gridSpan w:val="4"/>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
                <w:bCs/>
                <w:color w:val="000000" w:themeColor="text1"/>
                <w:kern w:val="2"/>
                <w:sz w:val="21"/>
                <w:szCs w:val="21"/>
                <w14:textFill>
                  <w14:solidFill>
                    <w14:schemeClr w14:val="tx1"/>
                  </w14:solidFill>
                </w14:textFill>
              </w:rPr>
            </w:pPr>
            <w:r>
              <w:rPr>
                <w:rFonts w:hint="eastAsia" w:ascii="宋体"/>
                <w:b/>
                <w:bCs/>
                <w:color w:val="000000" w:themeColor="text1"/>
                <w:kern w:val="2"/>
                <w:sz w:val="21"/>
                <w:szCs w:val="21"/>
                <w14:textFill>
                  <w14:solidFill>
                    <w14:schemeClr w14:val="tx1"/>
                  </w14:solidFill>
                </w14:textFill>
              </w:rPr>
              <w:t>合计</w:t>
            </w:r>
          </w:p>
        </w:tc>
        <w:tc>
          <w:tcPr>
            <w:tcW w:w="7613" w:type="dxa"/>
            <w:gridSpan w:val="5"/>
            <w:tcMar>
              <w:top w:w="15" w:type="dxa"/>
              <w:left w:w="15" w:type="dxa"/>
              <w:bottom w:w="0" w:type="dxa"/>
              <w:right w:w="15" w:type="dxa"/>
            </w:tcMar>
            <w:vAlign w:val="center"/>
          </w:tcPr>
          <w:p>
            <w:pPr>
              <w:jc w:val="center"/>
              <w:rPr>
                <w:rFonts w:ascii="黑体" w:hAnsi="宋体" w:eastAsia="黑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705" w:type="dxa"/>
            <w:gridSpan w:val="4"/>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
                <w:bCs/>
                <w:color w:val="000000" w:themeColor="text1"/>
                <w:kern w:val="2"/>
                <w:sz w:val="21"/>
                <w:szCs w:val="21"/>
                <w14:textFill>
                  <w14:solidFill>
                    <w14:schemeClr w14:val="tx1"/>
                  </w14:solidFill>
                </w14:textFill>
              </w:rPr>
            </w:pPr>
            <w:r>
              <w:rPr>
                <w:rFonts w:hint="eastAsia" w:ascii="宋体"/>
                <w:b/>
                <w:bCs/>
                <w:color w:val="000000" w:themeColor="text1"/>
                <w:kern w:val="2"/>
                <w:sz w:val="21"/>
                <w:szCs w:val="21"/>
                <w14:textFill>
                  <w14:solidFill>
                    <w14:schemeClr w14:val="tx1"/>
                  </w14:solidFill>
                </w14:textFill>
              </w:rPr>
              <w:t>完工期</w:t>
            </w:r>
          </w:p>
        </w:tc>
        <w:tc>
          <w:tcPr>
            <w:tcW w:w="7613" w:type="dxa"/>
            <w:gridSpan w:val="5"/>
            <w:tcMar>
              <w:top w:w="15" w:type="dxa"/>
              <w:left w:w="15" w:type="dxa"/>
              <w:bottom w:w="0" w:type="dxa"/>
              <w:right w:w="15" w:type="dxa"/>
            </w:tcMar>
            <w:vAlign w:val="center"/>
          </w:tcPr>
          <w:p>
            <w:pPr>
              <w:jc w:val="center"/>
              <w:rPr>
                <w:rFonts w:ascii="黑体" w:hAnsi="宋体" w:eastAsia="黑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705" w:type="dxa"/>
            <w:gridSpan w:val="4"/>
            <w:tcMar>
              <w:top w:w="15" w:type="dxa"/>
              <w:left w:w="15" w:type="dxa"/>
              <w:bottom w:w="0" w:type="dxa"/>
              <w:right w:w="15" w:type="dxa"/>
            </w:tcMar>
            <w:vAlign w:val="center"/>
          </w:tcPr>
          <w:p>
            <w:pPr>
              <w:pStyle w:val="22"/>
              <w:pBdr>
                <w:bottom w:val="none" w:color="auto" w:sz="0" w:space="0"/>
              </w:pBdr>
              <w:tabs>
                <w:tab w:val="clear" w:pos="4153"/>
                <w:tab w:val="clear" w:pos="8306"/>
              </w:tabs>
              <w:snapToGrid/>
              <w:rPr>
                <w:rFonts w:ascii="宋体"/>
                <w:b/>
                <w:bCs/>
                <w:color w:val="000000" w:themeColor="text1"/>
                <w:kern w:val="2"/>
                <w:sz w:val="21"/>
                <w:szCs w:val="21"/>
                <w14:textFill>
                  <w14:solidFill>
                    <w14:schemeClr w14:val="tx1"/>
                  </w14:solidFill>
                </w14:textFill>
              </w:rPr>
            </w:pPr>
            <w:r>
              <w:rPr>
                <w:rFonts w:hint="eastAsia" w:ascii="宋体"/>
                <w:b/>
                <w:bCs/>
                <w:color w:val="000000" w:themeColor="text1"/>
                <w:kern w:val="2"/>
                <w:sz w:val="21"/>
                <w:szCs w:val="21"/>
                <w14:textFill>
                  <w14:solidFill>
                    <w14:schemeClr w14:val="tx1"/>
                  </w14:solidFill>
                </w14:textFill>
              </w:rPr>
              <w:t>项目整体质保期</w:t>
            </w:r>
          </w:p>
        </w:tc>
        <w:tc>
          <w:tcPr>
            <w:tcW w:w="7613" w:type="dxa"/>
            <w:gridSpan w:val="5"/>
            <w:tcMar>
              <w:top w:w="15" w:type="dxa"/>
              <w:left w:w="15" w:type="dxa"/>
              <w:bottom w:w="0" w:type="dxa"/>
              <w:right w:w="15" w:type="dxa"/>
            </w:tcMar>
            <w:vAlign w:val="center"/>
          </w:tcPr>
          <w:p>
            <w:pPr>
              <w:jc w:val="center"/>
              <w:rPr>
                <w:rFonts w:ascii="黑体" w:hAnsi="宋体" w:eastAsia="黑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trPr>
        <w:tc>
          <w:tcPr>
            <w:tcW w:w="5277" w:type="dxa"/>
            <w:gridSpan w:val="5"/>
            <w:tcMar>
              <w:top w:w="15" w:type="dxa"/>
              <w:left w:w="15" w:type="dxa"/>
              <w:bottom w:w="0" w:type="dxa"/>
              <w:right w:w="15" w:type="dxa"/>
            </w:tcMar>
            <w:vAlign w:val="center"/>
          </w:tcPr>
          <w:p>
            <w:pPr>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其中属于小、微型企业产品的价格合计（小写）</w:t>
            </w:r>
          </w:p>
        </w:tc>
        <w:tc>
          <w:tcPr>
            <w:tcW w:w="5041" w:type="dxa"/>
            <w:gridSpan w:val="4"/>
            <w:vAlign w:val="center"/>
          </w:tcPr>
          <w:p>
            <w:pPr>
              <w:rPr>
                <w:rFonts w:ascii="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920" w:type="dxa"/>
            <w:gridSpan w:val="2"/>
            <w:vMerge w:val="restart"/>
            <w:vAlign w:val="center"/>
          </w:tcPr>
          <w:p>
            <w:pPr>
              <w:pStyle w:val="29"/>
              <w:spacing w:line="400" w:lineRule="exact"/>
              <w:ind w:firstLine="105" w:firstLineChars="50"/>
              <w:rPr>
                <w:rFonts w:ascii="宋体"/>
                <w:b/>
                <w:bCs/>
                <w:color w:val="000000" w:themeColor="text1"/>
                <w:kern w:val="2"/>
                <w:sz w:val="21"/>
                <w:szCs w:val="21"/>
                <w14:textFill>
                  <w14:solidFill>
                    <w14:schemeClr w14:val="tx1"/>
                  </w14:solidFill>
                </w14:textFill>
              </w:rPr>
            </w:pPr>
            <w:r>
              <w:rPr>
                <w:rFonts w:hint="eastAsia" w:ascii="宋体" w:hAnsi="宋体"/>
                <w:b/>
                <w:bCs/>
                <w:color w:val="000000" w:themeColor="text1"/>
                <w:kern w:val="2"/>
                <w:sz w:val="21"/>
                <w:szCs w:val="21"/>
                <w14:textFill>
                  <w14:solidFill>
                    <w14:schemeClr w14:val="tx1"/>
                  </w14:solidFill>
                </w14:textFill>
              </w:rPr>
              <w:t>服</w:t>
            </w:r>
          </w:p>
          <w:p>
            <w:pPr>
              <w:pStyle w:val="29"/>
              <w:spacing w:line="400" w:lineRule="exact"/>
              <w:rPr>
                <w:rFonts w:ascii="宋体"/>
                <w:b/>
                <w:bCs/>
                <w:color w:val="000000" w:themeColor="text1"/>
                <w:kern w:val="2"/>
                <w:sz w:val="21"/>
                <w:szCs w:val="21"/>
                <w14:textFill>
                  <w14:solidFill>
                    <w14:schemeClr w14:val="tx1"/>
                  </w14:solidFill>
                </w14:textFill>
              </w:rPr>
            </w:pPr>
          </w:p>
          <w:p>
            <w:pPr>
              <w:pStyle w:val="29"/>
              <w:spacing w:line="400" w:lineRule="exact"/>
              <w:ind w:firstLine="105" w:firstLineChars="50"/>
              <w:rPr>
                <w:rFonts w:ascii="宋体"/>
                <w:b/>
                <w:bCs/>
                <w:color w:val="000000" w:themeColor="text1"/>
                <w:kern w:val="2"/>
                <w:sz w:val="21"/>
                <w:szCs w:val="21"/>
                <w14:textFill>
                  <w14:solidFill>
                    <w14:schemeClr w14:val="tx1"/>
                  </w14:solidFill>
                </w14:textFill>
              </w:rPr>
            </w:pPr>
            <w:r>
              <w:rPr>
                <w:rFonts w:hint="eastAsia" w:ascii="宋体" w:hAnsi="宋体"/>
                <w:b/>
                <w:bCs/>
                <w:color w:val="000000" w:themeColor="text1"/>
                <w:kern w:val="2"/>
                <w:sz w:val="21"/>
                <w:szCs w:val="21"/>
                <w14:textFill>
                  <w14:solidFill>
                    <w14:schemeClr w14:val="tx1"/>
                  </w14:solidFill>
                </w14:textFill>
              </w:rPr>
              <w:t>务</w:t>
            </w:r>
          </w:p>
          <w:p>
            <w:pPr>
              <w:pStyle w:val="29"/>
              <w:spacing w:line="400" w:lineRule="exact"/>
              <w:rPr>
                <w:rFonts w:ascii="宋体"/>
                <w:b/>
                <w:bCs/>
                <w:color w:val="000000" w:themeColor="text1"/>
                <w:kern w:val="2"/>
                <w:sz w:val="21"/>
                <w:szCs w:val="21"/>
                <w14:textFill>
                  <w14:solidFill>
                    <w14:schemeClr w14:val="tx1"/>
                  </w14:solidFill>
                </w14:textFill>
              </w:rPr>
            </w:pPr>
          </w:p>
          <w:p>
            <w:pPr>
              <w:pStyle w:val="29"/>
              <w:spacing w:line="400" w:lineRule="exact"/>
              <w:ind w:firstLine="105" w:firstLineChars="50"/>
              <w:rPr>
                <w:rFonts w:ascii="宋体"/>
                <w:b/>
                <w:bCs/>
                <w:color w:val="000000" w:themeColor="text1"/>
                <w:kern w:val="2"/>
                <w:sz w:val="21"/>
                <w:szCs w:val="21"/>
                <w14:textFill>
                  <w14:solidFill>
                    <w14:schemeClr w14:val="tx1"/>
                  </w14:solidFill>
                </w14:textFill>
              </w:rPr>
            </w:pPr>
            <w:r>
              <w:rPr>
                <w:rFonts w:hint="eastAsia" w:ascii="宋体" w:hAnsi="宋体"/>
                <w:b/>
                <w:bCs/>
                <w:color w:val="000000" w:themeColor="text1"/>
                <w:kern w:val="2"/>
                <w:sz w:val="21"/>
                <w:szCs w:val="21"/>
                <w14:textFill>
                  <w14:solidFill>
                    <w14:schemeClr w14:val="tx1"/>
                  </w14:solidFill>
                </w14:textFill>
              </w:rPr>
              <w:t>承</w:t>
            </w:r>
          </w:p>
          <w:p>
            <w:pPr>
              <w:pStyle w:val="29"/>
              <w:spacing w:line="400" w:lineRule="exact"/>
              <w:rPr>
                <w:rFonts w:ascii="宋体"/>
                <w:b/>
                <w:bCs/>
                <w:color w:val="000000" w:themeColor="text1"/>
                <w:kern w:val="2"/>
                <w:sz w:val="21"/>
                <w:szCs w:val="21"/>
                <w14:textFill>
                  <w14:solidFill>
                    <w14:schemeClr w14:val="tx1"/>
                  </w14:solidFill>
                </w14:textFill>
              </w:rPr>
            </w:pPr>
          </w:p>
          <w:p>
            <w:pPr>
              <w:pStyle w:val="29"/>
              <w:spacing w:line="400" w:lineRule="exact"/>
              <w:ind w:firstLine="105" w:firstLineChars="50"/>
              <w:rPr>
                <w:rFonts w:ascii="宋体"/>
                <w:bCs/>
                <w:color w:val="000000" w:themeColor="text1"/>
                <w:kern w:val="2"/>
                <w:sz w:val="21"/>
                <w:szCs w:val="21"/>
                <w14:textFill>
                  <w14:solidFill>
                    <w14:schemeClr w14:val="tx1"/>
                  </w14:solidFill>
                </w14:textFill>
              </w:rPr>
            </w:pPr>
            <w:r>
              <w:rPr>
                <w:rFonts w:hint="eastAsia" w:ascii="宋体" w:hAnsi="宋体"/>
                <w:b/>
                <w:bCs/>
                <w:color w:val="000000" w:themeColor="text1"/>
                <w:kern w:val="2"/>
                <w:sz w:val="21"/>
                <w:szCs w:val="21"/>
                <w14:textFill>
                  <w14:solidFill>
                    <w14:schemeClr w14:val="tx1"/>
                  </w14:solidFill>
                </w14:textFill>
              </w:rPr>
              <w:t>诺</w:t>
            </w:r>
          </w:p>
        </w:tc>
        <w:tc>
          <w:tcPr>
            <w:tcW w:w="9398" w:type="dxa"/>
            <w:gridSpan w:val="7"/>
            <w:vAlign w:val="center"/>
          </w:tcPr>
          <w:p>
            <w:pPr>
              <w:tabs>
                <w:tab w:val="left" w:pos="210"/>
              </w:tabs>
              <w:rPr>
                <w:rFonts w:asci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质量</w:t>
            </w:r>
            <w:r>
              <w:rPr>
                <w:rFonts w:ascii="宋体" w:hAnsi="宋体"/>
                <w:bCs/>
                <w:color w:val="000000" w:themeColor="text1"/>
                <w:szCs w:val="21"/>
                <w14:textFill>
                  <w14:solidFill>
                    <w14:schemeClr w14:val="tx1"/>
                  </w14:solidFill>
                </w14:textFill>
              </w:rPr>
              <w:t xml:space="preserve"> 2.</w:t>
            </w:r>
            <w:r>
              <w:rPr>
                <w:rFonts w:hint="eastAsia" w:ascii="宋体" w:hAnsi="宋体"/>
                <w:bCs/>
                <w:color w:val="000000" w:themeColor="text1"/>
                <w:szCs w:val="21"/>
                <w14:textFill>
                  <w14:solidFill>
                    <w14:schemeClr w14:val="tx1"/>
                  </w14:solidFill>
                </w14:textFill>
              </w:rPr>
              <w:t>安装</w:t>
            </w:r>
            <w:r>
              <w:rPr>
                <w:rFonts w:ascii="宋体" w:hAnsi="宋体"/>
                <w:bCs/>
                <w:color w:val="000000" w:themeColor="text1"/>
                <w:szCs w:val="21"/>
                <w14:textFill>
                  <w14:solidFill>
                    <w14:schemeClr w14:val="tx1"/>
                  </w14:solidFill>
                </w14:textFill>
              </w:rPr>
              <w:t xml:space="preserve"> 3."</w:t>
            </w:r>
            <w:r>
              <w:rPr>
                <w:rFonts w:hint="eastAsia" w:ascii="宋体" w:hAnsi="宋体"/>
                <w:bCs/>
                <w:color w:val="000000" w:themeColor="text1"/>
                <w:szCs w:val="21"/>
                <w14:textFill>
                  <w14:solidFill>
                    <w14:schemeClr w14:val="tx1"/>
                  </w14:solidFill>
                </w14:textFill>
              </w:rPr>
              <w:t>三包</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包修、包退、包换</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4</w:t>
            </w:r>
            <w:r>
              <w:rPr>
                <w:rFonts w:asci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其他承诺</w:t>
            </w:r>
          </w:p>
          <w:p>
            <w:pPr>
              <w:rPr>
                <w:rFonts w:asci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（以上是主要承诺，供报价人参考，报价人应在满足采购文件要求的基础上，根据自己单位的情况作出具体承诺）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trPr>
        <w:tc>
          <w:tcPr>
            <w:tcW w:w="920" w:type="dxa"/>
            <w:gridSpan w:val="2"/>
            <w:vMerge w:val="continue"/>
            <w:vAlign w:val="center"/>
          </w:tcPr>
          <w:p>
            <w:pPr>
              <w:pStyle w:val="29"/>
              <w:spacing w:line="400" w:lineRule="exact"/>
              <w:rPr>
                <w:rFonts w:ascii="宋体"/>
                <w:bCs/>
                <w:color w:val="000000" w:themeColor="text1"/>
                <w:kern w:val="2"/>
                <w:sz w:val="21"/>
                <w:szCs w:val="21"/>
                <w14:textFill>
                  <w14:solidFill>
                    <w14:schemeClr w14:val="tx1"/>
                  </w14:solidFill>
                </w14:textFill>
              </w:rPr>
            </w:pPr>
          </w:p>
        </w:tc>
        <w:tc>
          <w:tcPr>
            <w:tcW w:w="9398" w:type="dxa"/>
            <w:gridSpan w:val="7"/>
            <w:vAlign w:val="center"/>
          </w:tcPr>
          <w:p>
            <w:pPr>
              <w:rPr>
                <w:rFonts w:ascii="宋体"/>
                <w:bCs/>
                <w:color w:val="000000" w:themeColor="text1"/>
                <w:szCs w:val="21"/>
                <w14:textFill>
                  <w14:solidFill>
                    <w14:schemeClr w14:val="tx1"/>
                  </w14:solidFill>
                </w14:textFill>
              </w:rPr>
            </w:pP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rPr>
          <w:rFonts w:ascii="宋体" w:hAnsi="宋体" w:eastAsia="宋体"/>
          <w:bCs/>
          <w:sz w:val="24"/>
          <w:szCs w:val="24"/>
        </w:rPr>
      </w:pPr>
      <w:r>
        <w:rPr>
          <w:rFonts w:hint="eastAsia" w:ascii="宋体" w:hAnsi="宋体" w:eastAsia="宋体"/>
          <w:b/>
          <w:sz w:val="24"/>
          <w:szCs w:val="24"/>
        </w:rPr>
        <w:t>注：</w:t>
      </w: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）报价人应当根据“项目技术要求和有关说明”的内容在上表中详细填写；</w:t>
      </w:r>
    </w:p>
    <w:p>
      <w:pPr>
        <w:ind w:firstLine="360" w:firstLineChars="15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）表格不够可自行延长。</w:t>
      </w:r>
    </w:p>
    <w:p>
      <w:pPr>
        <w:widowControl/>
        <w:jc w:val="left"/>
        <w:rPr>
          <w:rFonts w:ascii="黑体" w:hAnsi="宋体" w:eastAsia="黑体"/>
          <w:bCs/>
          <w:sz w:val="24"/>
          <w:szCs w:val="24"/>
        </w:rPr>
      </w:pPr>
      <w:r>
        <w:rPr>
          <w:rFonts w:ascii="黑体" w:hAnsi="宋体" w:eastAsia="黑体"/>
          <w:bCs/>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八、技术参数响应及偏离表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报价人名称（盖章）：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2"/>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bCs/>
          <w:color w:val="000000" w:themeColor="text1"/>
          <w:sz w:val="30"/>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）本表不得删除；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spacing w:line="360" w:lineRule="auto"/>
        <w:rPr>
          <w:rFonts w:ascii="黑体" w:hAnsi="黑体" w:eastAsia="黑体"/>
          <w:sz w:val="28"/>
          <w:szCs w:val="28"/>
        </w:rPr>
      </w:pPr>
      <w:r>
        <w:rPr>
          <w:rFonts w:hint="eastAsia" w:ascii="黑体" w:hAnsi="黑体" w:eastAsia="黑体"/>
          <w:sz w:val="28"/>
          <w:szCs w:val="28"/>
        </w:rPr>
        <w:t>九、商务条款响应及偏离表</w:t>
      </w:r>
    </w:p>
    <w:tbl>
      <w:tblPr>
        <w:tblStyle w:val="32"/>
        <w:tblW w:w="101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9"/>
        <w:gridCol w:w="3206"/>
        <w:gridCol w:w="1496"/>
        <w:gridCol w:w="3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项目</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采购文件要求</w:t>
            </w: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是否响应</w:t>
            </w: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质保期</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售后技术服务要求</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交付时间及地点</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付款条件</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备品备件及耗材等要求</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83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其他</w:t>
            </w:r>
          </w:p>
        </w:tc>
        <w:tc>
          <w:tcPr>
            <w:tcW w:w="320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bl>
    <w:p>
      <w:pP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p>
    <w:p>
      <w:pPr>
        <w:spacing w:line="360" w:lineRule="auto"/>
        <w:rPr>
          <w:rFonts w:ascii="黑体" w:hAnsi="黑体" w:eastAsia="黑体"/>
          <w:bCs/>
          <w:sz w:val="28"/>
          <w:szCs w:val="28"/>
        </w:rPr>
      </w:pPr>
      <w:r>
        <w:rPr>
          <w:rFonts w:hint="eastAsia" w:ascii="黑体" w:hAnsi="黑体" w:eastAsia="黑体"/>
          <w:sz w:val="28"/>
          <w:szCs w:val="28"/>
        </w:rPr>
        <w:t>十、技术方案、服务承诺、培训承诺</w:t>
      </w:r>
    </w:p>
    <w:p>
      <w:bookmarkStart w:id="57" w:name="_Toc59000746"/>
    </w:p>
    <w:p>
      <w:r>
        <w:rPr>
          <w:rFonts w:hint="eastAsia"/>
        </w:rPr>
        <w:t>（内容格式自定）</w:t>
      </w:r>
      <w:bookmarkEnd w:id="57"/>
    </w:p>
    <w:p>
      <w:pPr>
        <w:rPr>
          <w:sz w:val="30"/>
        </w:rPr>
      </w:pPr>
      <w:r>
        <w:rPr>
          <w:rFonts w:hint="eastAsia"/>
          <w:sz w:val="30"/>
        </w:rPr>
        <w:t xml:space="preserve">    </w:t>
      </w:r>
      <w:r>
        <w:rPr>
          <w:sz w:val="30"/>
        </w:rPr>
        <w:t>……</w:t>
      </w:r>
    </w:p>
    <w:p>
      <w:pPr>
        <w:rPr>
          <w:rFonts w:ascii="黑体" w:eastAsia="黑体"/>
          <w:bCs/>
          <w:color w:val="000000" w:themeColor="text1"/>
          <w:kern w:val="0"/>
          <w:sz w:val="24"/>
          <w:szCs w:val="24"/>
          <w14:textFill>
            <w14:solidFill>
              <w14:schemeClr w14:val="tx1"/>
            </w14:solidFill>
          </w14:textFill>
        </w:rPr>
      </w:pPr>
      <w:bookmarkStart w:id="58" w:name="_Toc55147059"/>
      <w:r>
        <w:br w:type="page"/>
      </w:r>
    </w:p>
    <w:bookmarkEnd w:id="58"/>
    <w:p>
      <w:pPr>
        <w:spacing w:line="360" w:lineRule="auto"/>
        <w:rPr>
          <w:rFonts w:ascii="黑体" w:hAnsi="黑体" w:eastAsia="黑体"/>
          <w:bCs/>
          <w:sz w:val="28"/>
          <w:szCs w:val="28"/>
        </w:rPr>
      </w:pPr>
      <w:bookmarkStart w:id="59" w:name="_Toc55147061"/>
      <w:r>
        <w:rPr>
          <w:rFonts w:hint="eastAsia" w:ascii="黑体" w:hAnsi="黑体" w:eastAsia="黑体"/>
          <w:sz w:val="28"/>
          <w:szCs w:val="28"/>
        </w:rPr>
        <w:t>十一、其他格式附件</w:t>
      </w:r>
    </w:p>
    <w:p>
      <w:pPr>
        <w:rPr>
          <w:rFonts w:ascii="黑体" w:hAnsi="黑体" w:eastAsia="黑体"/>
          <w:sz w:val="24"/>
          <w:szCs w:val="24"/>
        </w:rPr>
      </w:pPr>
      <w:r>
        <w:rPr>
          <w:rFonts w:hint="eastAsia" w:ascii="黑体" w:hAnsi="黑体" w:eastAsia="黑体"/>
          <w:sz w:val="24"/>
          <w:szCs w:val="24"/>
        </w:rPr>
        <w:t>（一）响应函（格式）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8"/>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8"/>
        </w:numPr>
        <w:tabs>
          <w:tab w:val="left" w:pos="0"/>
          <w:tab w:val="left" w:pos="315"/>
          <w:tab w:val="left" w:pos="525"/>
          <w:tab w:val="left" w:pos="840"/>
          <w:tab w:val="left" w:pos="945"/>
          <w:tab w:val="left" w:pos="1050"/>
          <w:tab w:val="clear" w:pos="552"/>
        </w:tabs>
        <w:spacing w:line="360" w:lineRule="auto"/>
        <w:ind w:left="0" w:firstLine="523" w:firstLineChars="218"/>
        <w:rPr>
          <w:rStyle w:val="38"/>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我方愿意遵守《中华人民共</w:t>
      </w:r>
      <w:r>
        <w:rPr>
          <w:rFonts w:hint="eastAsia" w:ascii="宋体" w:hAnsi="宋体"/>
          <w:bCs/>
          <w:sz w:val="24"/>
          <w:szCs w:val="24"/>
        </w:rPr>
        <w:t>和国政府采购法》，并按《中华人民共和国合同法》、财政部《政府采购货物和服务招标投标管理办法》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文件的规定填写《投标（报价）承诺函》。如我方在报价截止期后撤回响应及成交后拒绝遵守报价承诺或拒绝在规定的时间内与采购人签订合同，则接受政府采购监督管理部门的处理。</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如果我方被确定为成交供应商，我方愿意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文件的相关要求对我方进行的处理。</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360" w:lineRule="auto"/>
        <w:rPr>
          <w:rFonts w:ascii="宋体"/>
          <w:bCs/>
          <w:color w:val="000000" w:themeColor="text1"/>
          <w:sz w:val="24"/>
          <w:szCs w:val="24"/>
          <w14:textFill>
            <w14:solidFill>
              <w14:schemeClr w14:val="tx1"/>
            </w14:solidFill>
          </w14:textFill>
        </w:rPr>
      </w:pP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报价人（盖章）：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p>
    <w:p>
      <w:pPr>
        <w:rPr>
          <w:rFonts w:ascii="黑体" w:hAnsi="黑体" w:eastAsia="黑体"/>
          <w:sz w:val="24"/>
          <w:szCs w:val="24"/>
        </w:rPr>
      </w:pPr>
      <w:bookmarkStart w:id="60" w:name="_Toc55147054"/>
    </w:p>
    <w:p>
      <w:pPr>
        <w:rPr>
          <w:rFonts w:ascii="黑体" w:hAnsi="黑体" w:eastAsia="黑体"/>
          <w:sz w:val="24"/>
          <w:szCs w:val="24"/>
        </w:rPr>
      </w:pPr>
      <w:r>
        <w:rPr>
          <w:rFonts w:hint="eastAsia" w:ascii="黑体" w:hAnsi="黑体" w:eastAsia="黑体"/>
          <w:sz w:val="24"/>
          <w:szCs w:val="24"/>
        </w:rPr>
        <w:t>（二）</w:t>
      </w:r>
      <w:bookmarkEnd w:id="60"/>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61" w:name="报价方关于资格的声明函（格式）"/>
      <w:bookmarkEnd w:id="61"/>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常州中采招投标有限公司：</w:t>
      </w:r>
    </w:p>
    <w:p>
      <w:pPr>
        <w:spacing w:line="480" w:lineRule="auto"/>
        <w:rPr>
          <w:rFonts w:ascii="宋体"/>
          <w:bCs/>
          <w:color w:val="000000" w:themeColor="text1"/>
          <w:sz w:val="24"/>
          <w:szCs w:val="24"/>
          <w14:textFill>
            <w14:solidFill>
              <w14:schemeClr w14:val="tx1"/>
            </w14:solidFill>
          </w14:textFill>
        </w:rPr>
      </w:pP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政府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报价人（盖章）：</w:t>
      </w: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rPr>
          <w:rFonts w:ascii="黑体" w:hAnsi="黑体" w:eastAsia="黑体"/>
          <w:sz w:val="24"/>
          <w:szCs w:val="24"/>
        </w:rPr>
      </w:pPr>
      <w:r>
        <w:rPr>
          <w:rFonts w:hint="eastAsia" w:ascii="黑体" w:hAnsi="黑体" w:eastAsia="黑体"/>
          <w:sz w:val="24"/>
          <w:szCs w:val="24"/>
        </w:rPr>
        <w:t>（三）联合体协议（格式）</w:t>
      </w: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联合体协议</w:t>
      </w:r>
    </w:p>
    <w:p>
      <w:pPr>
        <w:spacing w:line="560" w:lineRule="exact"/>
        <w:rPr>
          <w:rFonts w:ascii="宋体" w:hAnsi="宋体"/>
          <w:sz w:val="24"/>
          <w:szCs w:val="21"/>
        </w:rPr>
      </w:pPr>
      <w:r>
        <w:rPr>
          <w:rFonts w:hint="eastAsia" w:ascii="宋体" w:hAnsi="宋体"/>
          <w:sz w:val="24"/>
          <w:szCs w:val="21"/>
        </w:rPr>
        <w:t>（联合体中各供应商全称）在此达成以下协议：</w:t>
      </w:r>
    </w:p>
    <w:p>
      <w:pPr>
        <w:spacing w:line="560" w:lineRule="exact"/>
        <w:ind w:firstLine="645"/>
        <w:rPr>
          <w:rFonts w:ascii="宋体" w:hAnsi="宋体"/>
          <w:sz w:val="24"/>
          <w:szCs w:val="21"/>
        </w:rPr>
      </w:pPr>
      <w:r>
        <w:rPr>
          <w:rFonts w:ascii="宋体" w:hAnsi="宋体"/>
          <w:sz w:val="24"/>
          <w:szCs w:val="21"/>
        </w:rPr>
        <w:t>1</w:t>
      </w:r>
      <w:r>
        <w:rPr>
          <w:rFonts w:hint="eastAsia" w:ascii="宋体" w:hAnsi="宋体"/>
          <w:sz w:val="24"/>
          <w:szCs w:val="21"/>
        </w:rPr>
        <w:t>、我们</w:t>
      </w:r>
      <w:r>
        <w:rPr>
          <w:rFonts w:hint="eastAsia" w:ascii="宋体" w:hAnsi="宋体"/>
          <w:sz w:val="24"/>
          <w:szCs w:val="21"/>
          <w:u w:val="single"/>
        </w:rPr>
        <w:t xml:space="preserve"> （供应商1），（供应商2） ，</w:t>
      </w:r>
      <w:r>
        <w:rPr>
          <w:rFonts w:ascii="宋体" w:hAnsi="宋体"/>
          <w:sz w:val="24"/>
          <w:szCs w:val="21"/>
          <w:u w:val="single"/>
        </w:rPr>
        <w:t>……</w:t>
      </w:r>
      <w:r>
        <w:rPr>
          <w:rFonts w:hint="eastAsia" w:ascii="宋体" w:hAnsi="宋体"/>
          <w:sz w:val="24"/>
          <w:szCs w:val="21"/>
        </w:rPr>
        <w:t>自愿组成联合体，参加江苏省政府采购中心组织的采购编号为</w:t>
      </w:r>
      <w:r>
        <w:rPr>
          <w:rFonts w:hint="eastAsia" w:ascii="宋体" w:hAnsi="宋体"/>
          <w:sz w:val="24"/>
          <w:szCs w:val="21"/>
          <w:u w:val="single"/>
        </w:rPr>
        <w:t>（编号全称），（项目全称）</w:t>
      </w:r>
      <w:r>
        <w:rPr>
          <w:rFonts w:hint="eastAsia" w:ascii="宋体" w:hAnsi="宋体"/>
          <w:sz w:val="24"/>
          <w:szCs w:val="21"/>
        </w:rPr>
        <w:t>项目的政府采购活动，我联合体指定</w:t>
      </w:r>
      <w:r>
        <w:rPr>
          <w:rFonts w:hint="eastAsia" w:ascii="宋体" w:hAnsi="宋体"/>
          <w:sz w:val="24"/>
          <w:szCs w:val="21"/>
          <w:u w:val="single"/>
        </w:rPr>
        <w:t>（供应商*）</w:t>
      </w:r>
      <w:r>
        <w:rPr>
          <w:rFonts w:hint="eastAsia" w:ascii="宋体" w:hAnsi="宋体"/>
          <w:sz w:val="24"/>
          <w:szCs w:val="21"/>
        </w:rPr>
        <w:t>为牵头单位（牵头单位必须为联合体成员）。</w:t>
      </w:r>
    </w:p>
    <w:p>
      <w:pPr>
        <w:spacing w:line="560" w:lineRule="exact"/>
        <w:ind w:firstLine="645"/>
        <w:rPr>
          <w:rFonts w:ascii="宋体" w:hAnsi="宋体"/>
          <w:sz w:val="24"/>
          <w:szCs w:val="21"/>
        </w:rPr>
      </w:pPr>
      <w:r>
        <w:rPr>
          <w:rFonts w:ascii="宋体" w:hAnsi="宋体"/>
          <w:sz w:val="24"/>
          <w:szCs w:val="21"/>
        </w:rPr>
        <w:t>2</w:t>
      </w:r>
      <w:r>
        <w:rPr>
          <w:rFonts w:hint="eastAsia" w:ascii="宋体" w:hAnsi="宋体"/>
          <w:sz w:val="24"/>
          <w:szCs w:val="21"/>
        </w:rPr>
        <w:t>、若我们联合中标、成交，（供应商单位</w:t>
      </w:r>
      <w:r>
        <w:rPr>
          <w:rFonts w:ascii="宋体" w:hAnsi="宋体"/>
          <w:sz w:val="24"/>
          <w:szCs w:val="21"/>
        </w:rPr>
        <w:t>1</w:t>
      </w:r>
      <w:r>
        <w:rPr>
          <w:rFonts w:hint="eastAsia" w:ascii="宋体" w:hAnsi="宋体"/>
          <w:sz w:val="24"/>
          <w:szCs w:val="21"/>
        </w:rPr>
        <w:t>全称）实施项目中（工作内容）部分工作，并承担相应的责任。（供应商单位</w:t>
      </w:r>
      <w:r>
        <w:rPr>
          <w:rFonts w:ascii="宋体" w:hAnsi="宋体"/>
          <w:sz w:val="24"/>
          <w:szCs w:val="21"/>
        </w:rPr>
        <w:t>2</w:t>
      </w:r>
      <w:r>
        <w:rPr>
          <w:rFonts w:hint="eastAsia" w:ascii="宋体" w:hAnsi="宋体"/>
          <w:sz w:val="24"/>
          <w:szCs w:val="21"/>
        </w:rPr>
        <w:t>全称）实施项目中（工作内容）部分工作，并承担相应的责任……。（注：联合体中各供应商都应明示所承担的工作和相应的责任）。</w:t>
      </w:r>
    </w:p>
    <w:p>
      <w:pPr>
        <w:spacing w:line="560" w:lineRule="exact"/>
        <w:ind w:firstLine="645"/>
        <w:rPr>
          <w:rFonts w:ascii="宋体" w:hAnsi="宋体"/>
          <w:sz w:val="24"/>
          <w:szCs w:val="21"/>
        </w:rPr>
      </w:pPr>
      <w:r>
        <w:rPr>
          <w:rFonts w:ascii="宋体" w:hAnsi="宋体"/>
          <w:sz w:val="24"/>
          <w:szCs w:val="21"/>
        </w:rPr>
        <w:t>3</w:t>
      </w:r>
      <w:r>
        <w:rPr>
          <w:rFonts w:hint="eastAsia" w:ascii="宋体" w:hAnsi="宋体"/>
          <w:sz w:val="24"/>
          <w:szCs w:val="21"/>
        </w:rPr>
        <w:t>、其中</w:t>
      </w:r>
      <w:r>
        <w:rPr>
          <w:rFonts w:ascii="宋体" w:hAnsi="宋体"/>
          <w:sz w:val="24"/>
          <w:szCs w:val="21"/>
          <w:u w:val="single"/>
        </w:rPr>
        <w:t xml:space="preserve">      </w:t>
      </w:r>
      <w:r>
        <w:rPr>
          <w:rFonts w:hint="eastAsia" w:ascii="宋体" w:hAnsi="宋体"/>
          <w:sz w:val="24"/>
          <w:szCs w:val="21"/>
        </w:rPr>
        <w:t>（小型、微型企业/残疾人福利性单位/监狱企业全称）为</w:t>
      </w:r>
      <w:r>
        <w:rPr>
          <w:rFonts w:ascii="宋体" w:hAnsi="宋体"/>
          <w:sz w:val="24"/>
          <w:szCs w:val="21"/>
          <w:u w:val="single"/>
        </w:rPr>
        <w:t xml:space="preserve">    </w:t>
      </w:r>
      <w:r>
        <w:rPr>
          <w:rFonts w:hint="eastAsia" w:ascii="宋体" w:hAnsi="宋体"/>
          <w:sz w:val="24"/>
          <w:szCs w:val="21"/>
        </w:rPr>
        <w:t>（小型、微型企业/残疾人福利性单位/监狱企业）企业，且我们约定该公司/单位所承担的合同金额将占本项目合同总金额的</w:t>
      </w:r>
      <w:r>
        <w:rPr>
          <w:rFonts w:ascii="宋体" w:hAnsi="宋体"/>
          <w:sz w:val="24"/>
          <w:szCs w:val="21"/>
          <w:u w:val="single"/>
        </w:rPr>
        <w:t xml:space="preserve">  </w:t>
      </w:r>
      <w:r>
        <w:rPr>
          <w:rFonts w:ascii="宋体" w:hAnsi="宋体"/>
          <w:sz w:val="24"/>
          <w:szCs w:val="21"/>
        </w:rPr>
        <w:t xml:space="preserve"> %</w:t>
      </w:r>
      <w:r>
        <w:rPr>
          <w:rFonts w:hint="eastAsia" w:ascii="宋体" w:hAnsi="宋体"/>
          <w:sz w:val="24"/>
          <w:szCs w:val="21"/>
        </w:rPr>
        <w:t>。</w:t>
      </w:r>
    </w:p>
    <w:p>
      <w:pPr>
        <w:spacing w:line="560" w:lineRule="exact"/>
        <w:ind w:firstLine="645"/>
        <w:rPr>
          <w:rFonts w:ascii="宋体" w:hAnsi="宋体"/>
          <w:sz w:val="24"/>
          <w:szCs w:val="21"/>
        </w:rPr>
      </w:pPr>
      <w:r>
        <w:rPr>
          <w:rFonts w:ascii="宋体" w:hAnsi="宋体"/>
          <w:sz w:val="24"/>
          <w:szCs w:val="21"/>
        </w:rPr>
        <w:t xml:space="preserve">                   </w:t>
      </w:r>
      <w:r>
        <w:rPr>
          <w:rFonts w:hint="eastAsia" w:ascii="宋体" w:hAnsi="宋体"/>
          <w:sz w:val="24"/>
          <w:szCs w:val="21"/>
        </w:rPr>
        <w:t xml:space="preserve">                       </w:t>
      </w:r>
    </w:p>
    <w:p>
      <w:pPr>
        <w:spacing w:line="560" w:lineRule="exact"/>
        <w:ind w:right="1200" w:firstLine="645"/>
        <w:jc w:val="right"/>
        <w:rPr>
          <w:rFonts w:ascii="宋体" w:hAnsi="宋体"/>
          <w:sz w:val="24"/>
          <w:szCs w:val="21"/>
        </w:rPr>
      </w:pPr>
      <w:r>
        <w:rPr>
          <w:rFonts w:hint="eastAsia" w:ascii="宋体" w:hAnsi="宋体"/>
          <w:bCs/>
          <w:color w:val="000000" w:themeColor="text1"/>
          <w:sz w:val="24"/>
          <w:szCs w:val="24"/>
          <w14:textFill>
            <w14:solidFill>
              <w14:schemeClr w14:val="tx1"/>
            </w14:solidFill>
          </w14:textFill>
        </w:rPr>
        <w:t>单位名称</w:t>
      </w:r>
      <w:r>
        <w:rPr>
          <w:rFonts w:hint="eastAsia" w:ascii="宋体" w:hAnsi="宋体"/>
          <w:sz w:val="24"/>
          <w:szCs w:val="21"/>
        </w:rPr>
        <w:t>（公章）：</w:t>
      </w:r>
      <w:r>
        <w:rPr>
          <w:rFonts w:ascii="宋体" w:hAnsi="宋体"/>
          <w:sz w:val="24"/>
          <w:szCs w:val="21"/>
        </w:rPr>
        <w:t xml:space="preserve">     </w:t>
      </w:r>
    </w:p>
    <w:p>
      <w:pPr>
        <w:spacing w:line="560" w:lineRule="exact"/>
        <w:ind w:firstLine="645"/>
        <w:rPr>
          <w:rFonts w:ascii="宋体" w:hAnsi="宋体"/>
          <w:sz w:val="24"/>
          <w:szCs w:val="21"/>
        </w:rPr>
      </w:pPr>
      <w:r>
        <w:rPr>
          <w:rFonts w:ascii="宋体" w:hAnsi="宋体"/>
          <w:sz w:val="24"/>
          <w:szCs w:val="21"/>
        </w:rPr>
        <w:t xml:space="preserve">                   </w:t>
      </w:r>
      <w:r>
        <w:rPr>
          <w:rFonts w:hint="eastAsia" w:ascii="宋体" w:hAnsi="宋体"/>
          <w:sz w:val="24"/>
          <w:szCs w:val="21"/>
        </w:rPr>
        <w:t xml:space="preserve">                                </w:t>
      </w: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560" w:lineRule="exact"/>
        <w:ind w:firstLine="645"/>
        <w:rPr>
          <w:rFonts w:ascii="宋体" w:hAnsi="宋体"/>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560" w:lineRule="exact"/>
        <w:ind w:firstLine="240" w:firstLineChars="100"/>
        <w:rPr>
          <w:rFonts w:ascii="宋体" w:hAnsi="宋体"/>
          <w:sz w:val="24"/>
          <w:szCs w:val="21"/>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62" w:name="_Toc55147055"/>
      <w:r>
        <w:rPr>
          <w:rFonts w:hint="eastAsia" w:ascii="黑体" w:hAnsi="宋体" w:eastAsia="黑体"/>
          <w:bCs/>
          <w:color w:val="000000" w:themeColor="text1"/>
          <w:sz w:val="24"/>
          <w:szCs w:val="24"/>
          <w14:textFill>
            <w14:solidFill>
              <w14:schemeClr w14:val="tx1"/>
            </w14:solidFill>
          </w14:textFill>
        </w:rPr>
        <w:t>（四）法定代表人资格证明书/法定代表人授权委托书</w:t>
      </w:r>
      <w:bookmarkEnd w:id="62"/>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560" w:lineRule="exact"/>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（报价人名称）的法定代表人。为实施</w:t>
      </w:r>
      <w:r>
        <w:rPr>
          <w:rFonts w:ascii="宋体" w:hAnsi="宋体"/>
          <w:sz w:val="24"/>
        </w:rPr>
        <w:t xml:space="preserve"> </w:t>
      </w:r>
      <w:r>
        <w:rPr>
          <w:rFonts w:hint="eastAsia" w:ascii="宋体" w:hAnsi="宋体"/>
          <w:sz w:val="24"/>
          <w:u w:val="single"/>
        </w:rPr>
        <w:t xml:space="preserve">                 </w:t>
      </w:r>
      <w:r>
        <w:rPr>
          <w:rFonts w:hint="eastAsia" w:ascii="宋体" w:hAnsi="宋体"/>
          <w:sz w:val="24"/>
        </w:rPr>
        <w:t>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）的工作，签署上述项目的响应文件、进行合同谈判、签署合同和处理与之有关的一切事务。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ascii="宋体" w:hAnsi="宋体"/>
          <w:sz w:val="24"/>
        </w:rPr>
        <w:t xml:space="preserve">                   </w:t>
      </w:r>
      <w:r>
        <w:rPr>
          <w:rFonts w:hint="eastAsia" w:ascii="宋体" w:hAnsi="宋体"/>
          <w:sz w:val="24"/>
        </w:rPr>
        <w:t>报价人：（公章）</w:t>
      </w:r>
    </w:p>
    <w:p>
      <w:pPr>
        <w:spacing w:line="560" w:lineRule="exact"/>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560" w:lineRule="exact"/>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spacing w:line="560" w:lineRule="exact"/>
        <w:rPr>
          <w:rFonts w:ascii="宋体" w:hAnsi="宋体"/>
          <w:sz w:val="24"/>
        </w:rPr>
      </w:pPr>
      <w:r>
        <w:rPr>
          <w:rFonts w:hint="eastAsia" w:ascii="宋体" w:hAnsi="宋体"/>
          <w:sz w:val="24"/>
        </w:rPr>
        <w:t>法定代表人身份证复印件：</w:t>
      </w:r>
    </w:p>
    <w:tbl>
      <w:tblPr>
        <w:tblStyle w:val="33"/>
        <w:tblW w:w="1013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068"/>
        <w:gridCol w:w="506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9" w:hRule="atLeast"/>
        </w:trPr>
        <w:tc>
          <w:tcPr>
            <w:tcW w:w="5068"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法定代表人身份证复印件（正面）</w:t>
            </w:r>
          </w:p>
        </w:tc>
        <w:tc>
          <w:tcPr>
            <w:tcW w:w="5069"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法定代表人身份证复印件（背面）</w:t>
            </w:r>
          </w:p>
        </w:tc>
      </w:tr>
    </w:tbl>
    <w:p>
      <w:pPr>
        <w:autoSpaceDE w:val="0"/>
        <w:autoSpaceDN w:val="0"/>
        <w:adjustRightInd w:val="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备注：</w:t>
      </w:r>
    </w:p>
    <w:p>
      <w:pPr>
        <w:snapToGrid w:val="0"/>
        <w:spacing w:line="360" w:lineRule="auto"/>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rPr>
          <w:rFonts w:ascii="宋体" w:hAnsi="宋体" w:cs="宋体"/>
          <w:sz w:val="24"/>
        </w:rPr>
      </w:pPr>
      <w:r>
        <w:rPr>
          <w:rFonts w:hint="eastAsia" w:ascii="宋体" w:hAnsi="宋体" w:cs="宋体"/>
          <w:sz w:val="24"/>
        </w:rPr>
        <w:t>2.代理人参加报价时，需携带法定代表人授权委托书和本人身份证原件。</w:t>
      </w: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63"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u w:val="single"/>
        </w:rPr>
        <w:t>______________________</w:t>
      </w:r>
      <w:r>
        <w:rPr>
          <w:rFonts w:hint="eastAsia" w:ascii="宋体" w:hAnsi="宋体"/>
          <w:sz w:val="24"/>
        </w:rPr>
        <w:t>（报价人名称）的</w:t>
      </w:r>
      <w:r>
        <w:rPr>
          <w:rFonts w:ascii="宋体" w:hAnsi="宋体"/>
          <w:sz w:val="24"/>
          <w:u w:val="single"/>
        </w:rPr>
        <w:t>____________</w:t>
      </w:r>
      <w:r>
        <w:rPr>
          <w:rFonts w:hint="eastAsia" w:ascii="宋体" w:hAnsi="宋体"/>
          <w:sz w:val="24"/>
        </w:rPr>
        <w:t>（法定代表人姓名、职务）代表报价人授权</w:t>
      </w:r>
      <w:r>
        <w:rPr>
          <w:rFonts w:ascii="宋体" w:hAnsi="宋体"/>
          <w:sz w:val="24"/>
          <w:u w:val="single"/>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）报价的合法代理人，全权负责参加本次政府采购项目的报价、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以及与之相关的各项工作。本报价人对代理人的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p>
    <w:p>
      <w:pPr>
        <w:spacing w:line="360" w:lineRule="auto"/>
        <w:ind w:firstLine="480" w:firstLineChars="200"/>
        <w:rPr>
          <w:rFonts w:ascii="宋体"/>
          <w:bCs/>
          <w:color w:val="000000" w:themeColor="text1"/>
          <w:sz w:val="24"/>
          <w:szCs w:val="24"/>
          <w14:textFill>
            <w14:solidFill>
              <w14:schemeClr w14:val="tx1"/>
            </w14:solidFill>
          </w14:textFill>
        </w:rPr>
      </w:pPr>
      <w:r>
        <w:rPr>
          <w:rFonts w:ascii="宋体"/>
          <w:bCs/>
          <w:color w:val="000000" w:themeColor="text1"/>
          <w:sz w:val="24"/>
          <w:szCs w:val="24"/>
          <w14:textFill>
            <w14:solidFill>
              <w14:schemeClr w14:val="tx1"/>
            </w14:solidFill>
          </w14:textFill>
        </w:rPr>
        <w:t>代理人</w:t>
      </w:r>
      <w:r>
        <w:rPr>
          <w:rFonts w:hint="eastAsia" w:ascii="宋体" w:hAnsi="宋体"/>
          <w:bCs/>
          <w:color w:val="000000" w:themeColor="text1"/>
          <w:sz w:val="24"/>
          <w:szCs w:val="24"/>
          <w14:textFill>
            <w14:solidFill>
              <w14:schemeClr w14:val="tx1"/>
            </w14:solidFill>
          </w14:textFill>
        </w:rPr>
        <w:t>（签字或盖章）：</w:t>
      </w:r>
    </w:p>
    <w:p>
      <w:pPr>
        <w:spacing w:line="360" w:lineRule="auto"/>
        <w:ind w:firstLine="480" w:firstLineChars="200"/>
        <w:rPr>
          <w:rFonts w:ascii="宋体" w:hAnsi="宋体"/>
          <w:sz w:val="24"/>
        </w:rPr>
      </w:pPr>
      <w:r>
        <w:rPr>
          <w:rFonts w:hint="eastAsia" w:ascii="宋体" w:hAnsi="宋体"/>
          <w:sz w:val="24"/>
        </w:rPr>
        <w:t>代理人身份证复印件：</w:t>
      </w:r>
    </w:p>
    <w:tbl>
      <w:tblPr>
        <w:tblStyle w:val="33"/>
        <w:tblW w:w="952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62"/>
        <w:gridCol w:w="47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57" w:hRule="atLeast"/>
          <w:jc w:val="center"/>
        </w:trPr>
        <w:tc>
          <w:tcPr>
            <w:tcW w:w="4762"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被授权代表身份证复印件（正面）</w:t>
            </w:r>
          </w:p>
        </w:tc>
        <w:tc>
          <w:tcPr>
            <w:tcW w:w="4763"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被授权代表身份证复印件（背面）</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widowControl/>
        <w:jc w:val="left"/>
        <w:rPr>
          <w:rFonts w:ascii="宋体" w:hAnsi="宋体" w:cs="宋体"/>
          <w:sz w:val="24"/>
        </w:rPr>
      </w:pPr>
      <w:r>
        <w:rPr>
          <w:rFonts w:hint="eastAsia" w:ascii="黑体" w:hAnsi="宋体" w:eastAsia="黑体"/>
          <w:bCs/>
          <w:color w:val="000000" w:themeColor="text1"/>
          <w:sz w:val="24"/>
          <w:szCs w:val="24"/>
          <w14:textFill>
            <w14:solidFill>
              <w14:schemeClr w14:val="tx1"/>
            </w14:solidFill>
          </w14:textFill>
        </w:rPr>
        <w:t>（五）中小企业声明函</w:t>
      </w:r>
      <w:bookmarkEnd w:id="63"/>
      <w:r>
        <w:rPr>
          <w:rFonts w:hint="eastAsia" w:ascii="黑体" w:hAnsi="黑体" w:eastAsia="黑体"/>
          <w:sz w:val="24"/>
          <w:szCs w:val="24"/>
        </w:rPr>
        <w:t>（格式）</w:t>
      </w:r>
    </w:p>
    <w:p>
      <w:pPr>
        <w:spacing w:line="480" w:lineRule="auto"/>
        <w:rPr>
          <w:rFonts w:ascii="宋体"/>
          <w:bCs/>
          <w:color w:val="000000" w:themeColor="text1"/>
          <w:sz w:val="24"/>
          <w:szCs w:val="24"/>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中小企业声明函</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本公司(联合体)郑重声明，根据《政府采购促进中小企业发展管理办法》(财库〔2020〕46号)的规定，本公司(联合体)参加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 况如下:</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hint="eastAsia" w:asciiTheme="minorEastAsia" w:hAnsiTheme="minorEastAsia"/>
          <w:sz w:val="24"/>
          <w:szCs w:val="24"/>
        </w:rPr>
        <w:t>；</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w:t>
      </w:r>
      <w:r>
        <w:rPr>
          <w:rFonts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 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以上企业，不属于大企业的分支机构，不存在控股股东 为大企业的情形，也不存在与大企业的负责人为同一人的情形。</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spacing w:line="360" w:lineRule="auto"/>
        <w:ind w:right="560" w:firstLine="480" w:firstLineChars="200"/>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单位</w:t>
      </w:r>
      <w:r>
        <w:rPr>
          <w:rFonts w:asciiTheme="minorEastAsia" w:hAnsiTheme="minorEastAsia"/>
          <w:sz w:val="24"/>
          <w:szCs w:val="24"/>
        </w:rPr>
        <w:t xml:space="preserve">名称(盖章): </w:t>
      </w:r>
    </w:p>
    <w:p>
      <w:pPr>
        <w:spacing w:line="360" w:lineRule="auto"/>
        <w:ind w:right="560" w:firstLine="480" w:firstLineChars="200"/>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right="560" w:firstLine="480" w:firstLineChars="200"/>
        <w:jc w:val="center"/>
        <w:rPr>
          <w:rFonts w:asciiTheme="minorEastAsia" w:hAnsiTheme="minorEastAsia"/>
          <w:sz w:val="24"/>
          <w:szCs w:val="24"/>
        </w:rPr>
      </w:pPr>
    </w:p>
    <w:p>
      <w:pPr>
        <w:spacing w:line="360" w:lineRule="auto"/>
        <w:ind w:right="560" w:firstLine="480" w:firstLineChars="200"/>
        <w:jc w:val="center"/>
        <w:rPr>
          <w:rFonts w:asciiTheme="minorEastAsia" w:hAnsiTheme="minorEastAsia"/>
          <w:sz w:val="24"/>
          <w:szCs w:val="24"/>
        </w:rPr>
      </w:pPr>
    </w:p>
    <w:p>
      <w:pPr>
        <w:spacing w:line="360" w:lineRule="auto"/>
        <w:ind w:right="560" w:firstLine="480" w:firstLineChars="200"/>
        <w:jc w:val="center"/>
        <w:rPr>
          <w:rFonts w:asciiTheme="minorEastAsia" w:hAnsiTheme="minorEastAsia"/>
          <w:sz w:val="24"/>
          <w:szCs w:val="24"/>
        </w:rPr>
      </w:pPr>
    </w:p>
    <w:p>
      <w:pPr>
        <w:spacing w:line="360" w:lineRule="auto"/>
        <w:ind w:firstLine="420" w:firstLineChars="200"/>
        <w:rPr>
          <w:rFonts w:asciiTheme="minorEastAsia" w:hAnsiTheme="minorEastAsia"/>
          <w:b/>
          <w:szCs w:val="21"/>
        </w:rPr>
      </w:pPr>
      <w:r>
        <w:rPr>
          <w:rFonts w:hint="eastAsia" w:asciiTheme="minorEastAsia" w:hAnsiTheme="minorEastAsia"/>
          <w:b/>
          <w:szCs w:val="21"/>
        </w:rPr>
        <w:t>注：投标人如属于以上情形的请提供。如不提供此声明函的，价格将不做相应扣除。为便于开标，本表可以另行单独密封。</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rPr>
          <w:rFonts w:ascii="宋体" w:hAnsi="宋体" w:eastAsia="宋体"/>
          <w:u w:val="single"/>
        </w:rPr>
      </w:pPr>
      <w:r>
        <w:rPr>
          <w:rFonts w:hint="eastAsia" w:ascii="宋体" w:hAnsi="宋体" w:eastAsia="宋体"/>
          <w:u w:val="single"/>
        </w:rPr>
        <w:t xml:space="preserve"> </w:t>
      </w:r>
      <w:r>
        <w:rPr>
          <w:rFonts w:ascii="宋体" w:hAnsi="宋体" w:eastAsia="宋体"/>
          <w:u w:val="single"/>
        </w:rPr>
        <w:t xml:space="preserve">                     </w:t>
      </w:r>
    </w:p>
    <w:p>
      <w:pPr>
        <w:spacing w:line="480" w:lineRule="auto"/>
        <w:rPr>
          <w:rFonts w:ascii="宋体"/>
          <w:bCs/>
          <w:color w:val="000000" w:themeColor="text1"/>
          <w:szCs w:val="21"/>
          <w14:textFill>
            <w14:solidFill>
              <w14:schemeClr w14:val="tx1"/>
            </w14:solidFill>
          </w14:textFill>
        </w:rPr>
      </w:pPr>
      <w:r>
        <w:rPr>
          <w:rFonts w:ascii="宋体" w:hAnsi="宋体" w:eastAsia="宋体"/>
          <w:szCs w:val="21"/>
          <w:vertAlign w:val="superscript"/>
        </w:rPr>
        <w:t>1</w:t>
      </w:r>
      <w:r>
        <w:rPr>
          <w:rFonts w:ascii="宋体" w:hAnsi="宋体" w:eastAsia="宋体"/>
          <w:szCs w:val="21"/>
        </w:rPr>
        <w:t>从业人员、营业收入、资产总额填报上一年度数据，无上一年度数据的新成立企业可不填报</w:t>
      </w:r>
      <w:r>
        <w:rPr>
          <w:rFonts w:hint="eastAsia" w:ascii="宋体" w:hAnsi="宋体" w:eastAsia="宋体"/>
          <w:szCs w:val="21"/>
        </w:rPr>
        <w:t>。</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64" w:name="_Toc55147057"/>
      <w:r>
        <w:rPr>
          <w:rFonts w:hint="eastAsia" w:ascii="黑体" w:hAnsi="宋体" w:eastAsia="黑体"/>
          <w:bCs/>
          <w:color w:val="000000" w:themeColor="text1"/>
          <w:sz w:val="24"/>
          <w:szCs w:val="24"/>
          <w14:textFill>
            <w14:solidFill>
              <w14:schemeClr w14:val="tx1"/>
            </w14:solidFill>
          </w14:textFill>
        </w:rPr>
        <w:t>（六）</w:t>
      </w:r>
      <w:bookmarkStart w:id="65" w:name="OLE_LINK13"/>
      <w:bookmarkStart w:id="66" w:name="OLE_LINK14"/>
      <w:r>
        <w:rPr>
          <w:rFonts w:hint="eastAsia" w:ascii="黑体" w:hAnsi="宋体" w:eastAsia="黑体"/>
          <w:bCs/>
          <w:color w:val="000000" w:themeColor="text1"/>
          <w:sz w:val="24"/>
          <w:szCs w:val="24"/>
          <w14:textFill>
            <w14:solidFill>
              <w14:schemeClr w14:val="tx1"/>
            </w14:solidFill>
          </w14:textFill>
        </w:rPr>
        <w:t>残疾人福利性单位声明函</w:t>
      </w:r>
      <w:bookmarkEnd w:id="64"/>
      <w:r>
        <w:rPr>
          <w:rFonts w:hint="eastAsia" w:ascii="黑体" w:hAnsi="黑体" w:eastAsia="黑体"/>
          <w:sz w:val="24"/>
          <w:szCs w:val="24"/>
        </w:rPr>
        <w:t>（格式）</w:t>
      </w:r>
    </w:p>
    <w:bookmarkEnd w:id="65"/>
    <w:bookmarkEnd w:id="66"/>
    <w:p>
      <w:pPr>
        <w:spacing w:line="588" w:lineRule="exact"/>
        <w:rPr>
          <w:rFonts w:ascii="仿宋_GB2312" w:eastAsia="仿宋_GB2312"/>
          <w:b/>
          <w:color w:val="000000" w:themeColor="text1"/>
          <w:spacing w:val="6"/>
          <w:sz w:val="30"/>
          <w:szCs w:val="30"/>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残疾人福利性单位声明函</w:t>
      </w:r>
    </w:p>
    <w:p>
      <w:pPr>
        <w:jc w:val="center"/>
        <w:rPr>
          <w:rFonts w:ascii="黑体" w:eastAsia="黑体"/>
          <w:bCs/>
          <w:color w:val="000000" w:themeColor="text1"/>
          <w:sz w:val="28"/>
          <w:szCs w:val="28"/>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bCs/>
          <w:color w:val="000000" w:themeColor="text1"/>
          <w:sz w:val="24"/>
          <w:szCs w:val="24"/>
          <w:u w:val="single"/>
          <w14:textFill>
            <w14:solidFill>
              <w14:schemeClr w14:val="tx1"/>
            </w14:solidFill>
          </w14:textFill>
        </w:rPr>
        <w:t>加__            ____</w:t>
      </w:r>
      <w:r>
        <w:rPr>
          <w:rFonts w:hint="eastAsia" w:ascii="宋体" w:hAnsi="宋体"/>
          <w:bCs/>
          <w:color w:val="000000" w:themeColor="text1"/>
          <w:sz w:val="24"/>
          <w:szCs w:val="24"/>
          <w14:textFill>
            <w14:solidFill>
              <w14:schemeClr w14:val="tx1"/>
            </w14:solidFill>
          </w14:textFill>
        </w:rPr>
        <w:t>单位的</w:t>
      </w:r>
      <w:r>
        <w:rPr>
          <w:rFonts w:hint="eastAsia" w:ascii="宋体" w:hAnsi="宋体"/>
          <w:bCs/>
          <w:color w:val="000000" w:themeColor="text1"/>
          <w:sz w:val="24"/>
          <w:szCs w:val="24"/>
          <w:u w:val="single"/>
          <w14:textFill>
            <w14:solidFill>
              <w14:schemeClr w14:val="tx1"/>
            </w14:solidFill>
          </w14:textFill>
        </w:rPr>
        <w:t>___              ___</w:t>
      </w:r>
      <w:r>
        <w:rPr>
          <w:rFonts w:hint="eastAsia" w:ascii="宋体" w:hAnsi="宋体"/>
          <w:bCs/>
          <w:color w:val="000000" w:themeColor="text1"/>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本单位对上述声明的真实性负责。如有虚假，将依法承担相应责任。</w:t>
      </w: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right="1920" w:firstLine="480" w:firstLineChars="20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供应商</w:t>
      </w:r>
      <w:r>
        <w:rPr>
          <w:rFonts w:asciiTheme="minorEastAsia" w:hAnsiTheme="minorEastAsia"/>
          <w:sz w:val="24"/>
          <w:szCs w:val="24"/>
        </w:rPr>
        <w:t>名称</w:t>
      </w:r>
      <w:r>
        <w:rPr>
          <w:rFonts w:hint="eastAsia" w:ascii="宋体" w:hAnsi="宋体"/>
          <w:bCs/>
          <w:color w:val="000000" w:themeColor="text1"/>
          <w:sz w:val="24"/>
          <w:szCs w:val="24"/>
          <w14:textFill>
            <w14:solidFill>
              <w14:schemeClr w14:val="tx1"/>
            </w14:solidFill>
          </w14:textFill>
        </w:rPr>
        <w:t>（盖章）：</w:t>
      </w:r>
    </w:p>
    <w:p>
      <w:pPr>
        <w:spacing w:line="580" w:lineRule="exact"/>
        <w:ind w:right="960"/>
        <w:jc w:val="righ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r>
        <w:br w:type="page"/>
      </w:r>
      <w:bookmarkStart w:id="67" w:name="_Toc59000743"/>
      <w:r>
        <w:rPr>
          <w:rFonts w:hint="eastAsia" w:ascii="黑体" w:hAnsi="宋体" w:eastAsia="黑体"/>
          <w:bCs/>
          <w:color w:val="000000" w:themeColor="text1"/>
          <w:sz w:val="24"/>
          <w:szCs w:val="24"/>
          <w14:textFill>
            <w14:solidFill>
              <w14:schemeClr w14:val="tx1"/>
            </w14:solidFill>
          </w14:textFill>
        </w:rPr>
        <w:t>（七）具备履行合同所必需的设备和专业技术能力的书面声明（格式）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p>
      <w:pPr>
        <w:pStyle w:val="128"/>
      </w:pPr>
      <w:r>
        <w:rPr>
          <w:rFonts w:hint="eastAsia"/>
        </w:rPr>
        <w:t>具备履行合同所必需的设备和专业技术能力的书面声明</w:t>
      </w:r>
      <w:bookmarkEnd w:id="67"/>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w:t>
      </w:r>
      <w:r>
        <w:rPr>
          <w:rFonts w:hint="eastAsia" w:ascii="宋体" w:hAnsi="宋体"/>
          <w:bCs/>
          <w:sz w:val="24"/>
          <w:u w:val="single"/>
        </w:rPr>
        <w:t>_____________</w:t>
      </w:r>
    </w:p>
    <w:p>
      <w:pPr>
        <w:spacing w:line="460" w:lineRule="exact"/>
        <w:ind w:firstLine="3120" w:firstLineChars="1300"/>
        <w:jc w:val="left"/>
        <w:rPr>
          <w:rFonts w:ascii="宋体" w:hAnsi="宋体"/>
          <w:bCs/>
          <w:sz w:val="24"/>
        </w:rPr>
      </w:pPr>
      <w:r>
        <w:rPr>
          <w:rFonts w:hint="eastAsia" w:ascii="宋体" w:hAnsi="宋体"/>
          <w:bCs/>
          <w:sz w:val="24"/>
        </w:rPr>
        <w:t>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（八）参加政府采购活动前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pStyle w:val="128"/>
      </w:pPr>
      <w:bookmarkStart w:id="68" w:name="_Toc59000745"/>
      <w:r>
        <w:rPr>
          <w:rFonts w:hint="eastAsia"/>
        </w:rPr>
        <w:t>参加政府采购活动前 3 年内在经营活动中没有重大违法记录的书面声明</w:t>
      </w:r>
      <w:bookmarkEnd w:id="68"/>
    </w:p>
    <w:p>
      <w:pPr>
        <w:pStyle w:val="128"/>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郑重声明：参加本次政府采购活动前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w:t>
      </w:r>
      <w:r>
        <w:rPr>
          <w:rFonts w:hint="eastAsia" w:ascii="宋体" w:hAnsi="宋体"/>
          <w:sz w:val="24"/>
          <w:u w:val="single"/>
        </w:rPr>
        <w:t>_______________</w:t>
      </w:r>
    </w:p>
    <w:p>
      <w:pPr>
        <w:spacing w:line="560" w:lineRule="exact"/>
        <w:ind w:firstLine="495"/>
        <w:rPr>
          <w:rFonts w:ascii="宋体" w:hAnsi="宋体"/>
          <w:sz w:val="24"/>
        </w:rPr>
      </w:pPr>
      <w:r>
        <w:rPr>
          <w:rFonts w:hint="eastAsia" w:ascii="宋体" w:hAnsi="宋体"/>
          <w:sz w:val="24"/>
        </w:rPr>
        <w:t xml:space="preserve">                      日期: </w:t>
      </w:r>
      <w:r>
        <w:rPr>
          <w:rFonts w:hint="eastAsia" w:ascii="宋体" w:hAnsi="宋体"/>
          <w:sz w:val="24"/>
          <w:u w:val="single"/>
        </w:rPr>
        <w:t>______</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（九）项目人员配置表</w:t>
      </w:r>
      <w:bookmarkEnd w:id="59"/>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报价人名称（盖章）：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2"/>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表格不够可自行延长。</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 上表内容须提供连续三个月（至少包含近三个月中任意一个月份（不含报价当月））经社保部门确认的社保缴纳名单复印件（标注各人员所处位置）和相关证书复印件作为填列证明材料，证明材料请附在本表之后。</w:t>
      </w:r>
    </w:p>
    <w:p>
      <w:pPr>
        <w:widowControl/>
        <w:jc w:val="left"/>
        <w:rPr>
          <w:color w:val="000000" w:themeColor="text1"/>
          <w:sz w:val="24"/>
          <w:szCs w:val="24"/>
          <w14:textFill>
            <w14:solidFill>
              <w14:schemeClr w14:val="tx1"/>
            </w14:solidFill>
          </w14:textFill>
        </w:rPr>
      </w:pPr>
    </w:p>
    <w:p>
      <w:pPr>
        <w:spacing w:line="360" w:lineRule="auto"/>
        <w:rPr>
          <w:rFonts w:asciiTheme="minorEastAsia" w:hAnsiTheme="minorEastAsia"/>
          <w:color w:val="000000" w:themeColor="text1"/>
          <w:sz w:val="24"/>
          <w:szCs w:val="24"/>
          <w14:textFill>
            <w14:solidFill>
              <w14:schemeClr w14:val="tx1"/>
            </w14:solidFill>
          </w14:textFill>
        </w:rPr>
      </w:pPr>
      <w:r>
        <w:br w:type="page"/>
      </w:r>
      <w:r>
        <w:rPr>
          <w:rFonts w:hint="eastAsia" w:ascii="黑体" w:hAnsi="宋体" w:eastAsia="黑体"/>
          <w:bCs/>
          <w:color w:val="000000" w:themeColor="text1"/>
          <w:sz w:val="24"/>
          <w:szCs w:val="24"/>
          <w14:textFill>
            <w14:solidFill>
              <w14:schemeClr w14:val="tx1"/>
            </w14:solidFill>
          </w14:textFill>
        </w:rPr>
        <w:t>（十）疫情期间参与政府采购活动开评标人员健康信息登记表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疫情期间参与政府采购活动开评标人员健康信息登记表</w:t>
      </w:r>
    </w:p>
    <w:tbl>
      <w:tblPr>
        <w:tblStyle w:val="32"/>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pStyle w:val="110"/>
              <w:numPr>
                <w:ilvl w:val="0"/>
                <w:numId w:val="9"/>
              </w:numPr>
              <w:ind w:firstLineChars="0"/>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rPr>
          <w:color w:val="000000" w:themeColor="text1"/>
          <w:sz w:val="24"/>
          <w:szCs w:val="24"/>
          <w14:textFill>
            <w14:solidFill>
              <w14:schemeClr w14:val="tx1"/>
            </w14:solidFill>
          </w14:textFill>
        </w:rPr>
      </w:pPr>
    </w:p>
    <w:p>
      <w:pPr>
        <w:widowControl/>
        <w:jc w:val="left"/>
      </w:pPr>
      <w:r>
        <w:br w:type="page"/>
      </w:r>
    </w:p>
    <w:p>
      <w:pPr>
        <w:pStyle w:val="122"/>
      </w:pPr>
      <w:bookmarkStart w:id="69" w:name="_Toc69219083"/>
      <w:r>
        <w:rPr>
          <w:rFonts w:hint="eastAsia"/>
        </w:rPr>
        <w:t>友 情 提 醒</w:t>
      </w:r>
      <w:bookmarkEnd w:id="69"/>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各报价人：</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响应文件应按要求密封，电子光盘单独密封，并在封袋上加盖报价人公章。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响应文件须按采购文件《二、报价人须知》及《六、响应文件格式》中相关要求装订、密封、标记、盖章和签署。响应文件封袋须加盖供应商公章。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sectPr>
      <w:headerReference r:id="rId9" w:type="first"/>
      <w:footerReference r:id="rId11" w:type="first"/>
      <w:headerReference r:id="rId7" w:type="default"/>
      <w:footerReference r:id="rId10" w:type="default"/>
      <w:headerReference r:id="rId8" w:type="even"/>
      <w:pgSz w:w="11906" w:h="16838"/>
      <w:pgMar w:top="1101" w:right="851" w:bottom="567" w:left="1134" w:header="421" w:footer="90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389959"/>
    </w:sdtPr>
    <w:sdtContent>
      <w:sdt>
        <w:sdtPr>
          <w:id w:val="-870461020"/>
        </w:sdtPr>
        <w:sdtContent>
          <w:p>
            <w:pPr>
              <w:pStyle w:val="21"/>
              <w:jc w:val="cente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r>
              <w:rPr>
                <w:rFonts w:hint="eastAsia" w:asciiTheme="minorEastAsia" w:hAnsiTheme="minorEastAsia" w:eastAsiaTheme="minorEastAsia"/>
                <w:sz w:val="21"/>
                <w:szCs w:val="21"/>
                <w:lang w:val="zh-CN"/>
              </w:rPr>
              <w:t>共</w:t>
            </w:r>
            <w:r>
              <w:rPr>
                <w:rFonts w:asciiTheme="minorEastAsia" w:hAnsiTheme="minorEastAsia" w:eastAsiaTheme="minorEastAsia"/>
                <w:sz w:val="21"/>
                <w:szCs w:val="21"/>
                <w:lang w:val="zh-CN"/>
              </w:rPr>
              <w:t xml:space="preserve"> </w:t>
            </w:r>
            <w:r>
              <w:rPr>
                <w:rFonts w:hint="eastAsia" w:asciiTheme="minorEastAsia" w:hAnsiTheme="minorEastAsia" w:eastAsiaTheme="minorEastAsia"/>
                <w:bCs/>
                <w:sz w:val="21"/>
                <w:szCs w:val="21"/>
              </w:rPr>
              <w:t>47页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6"/>
      </w:rPr>
      <w:id w:val="-470059671"/>
    </w:sdtPr>
    <w:sdtEndPr>
      <w:rPr>
        <w:rStyle w:val="36"/>
      </w:rPr>
    </w:sdtEndPr>
    <w:sdtContent>
      <w:p>
        <w:pPr>
          <w:pStyle w:val="21"/>
          <w:framePr w:wrap="around" w:vAnchor="text" w:hAnchor="margin" w:xAlign="center" w:y="1"/>
          <w:rPr>
            <w:rStyle w:val="36"/>
          </w:rPr>
        </w:pPr>
        <w:r>
          <w:rPr>
            <w:rStyle w:val="36"/>
          </w:rPr>
          <w:fldChar w:fldCharType="begin"/>
        </w:r>
        <w:r>
          <w:rPr>
            <w:rStyle w:val="36"/>
          </w:rPr>
          <w:instrText xml:space="preserve"> PAGE </w:instrText>
        </w:r>
        <w:r>
          <w:rPr>
            <w:rStyle w:val="36"/>
          </w:rPr>
          <w:fldChar w:fldCharType="separate"/>
        </w:r>
        <w:r>
          <w:rPr>
            <w:rStyle w:val="36"/>
          </w:rPr>
          <w:t>1</w:t>
        </w:r>
        <w:r>
          <w:rPr>
            <w:rStyle w:val="36"/>
          </w:rP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华文新魏" w:hAnsi="华文新魏" w:eastAsia="华文新魏"/>
        <w:sz w:val="21"/>
        <w:szCs w:val="21"/>
      </w:rPr>
      <w:drawing>
        <wp:anchor distT="0" distB="0" distL="114300" distR="114300" simplePos="0" relativeHeight="251681792" behindDoc="0" locked="0" layoutInCell="1" allowOverlap="1">
          <wp:simplePos x="0" y="0"/>
          <wp:positionH relativeFrom="column">
            <wp:posOffset>2056765</wp:posOffset>
          </wp:positionH>
          <wp:positionV relativeFrom="paragraph">
            <wp:posOffset>-50800</wp:posOffset>
          </wp:positionV>
          <wp:extent cx="2016760" cy="204470"/>
          <wp:effectExtent l="0" t="0" r="2540" b="508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60950" cy="5080000"/>
          <wp:effectExtent l="0" t="0" r="6350" b="6350"/>
          <wp:wrapNone/>
          <wp:docPr id="2"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79744"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73600"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060950" cy="5080000"/>
          <wp:effectExtent l="0" t="0" r="0" b="0"/>
          <wp:wrapNone/>
          <wp:docPr id="10" name="图片 10"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060950" cy="5080000"/>
          <wp:effectExtent l="0" t="0" r="0" b="0"/>
          <wp:wrapNone/>
          <wp:docPr id="12" name="图片 12"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CB7A1"/>
    <w:multiLevelType w:val="singleLevel"/>
    <w:tmpl w:val="9B1CB7A1"/>
    <w:lvl w:ilvl="0" w:tentative="0">
      <w:start w:val="1"/>
      <w:numFmt w:val="decimal"/>
      <w:suff w:val="nothing"/>
      <w:lvlText w:val="%1．"/>
      <w:lvlJc w:val="left"/>
      <w:pPr>
        <w:ind w:left="0" w:firstLine="0"/>
      </w:pPr>
      <w:rPr>
        <w:rFonts w:hint="default"/>
      </w:r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lang w:val="en-US"/>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0C039990"/>
    <w:multiLevelType w:val="singleLevel"/>
    <w:tmpl w:val="0C039990"/>
    <w:lvl w:ilvl="0" w:tentative="0">
      <w:start w:val="1"/>
      <w:numFmt w:val="decimal"/>
      <w:lvlText w:val="%1."/>
      <w:lvlJc w:val="left"/>
      <w:pPr>
        <w:tabs>
          <w:tab w:val="left" w:pos="397"/>
        </w:tabs>
        <w:ind w:left="454" w:hanging="454"/>
      </w:pPr>
      <w:rPr>
        <w:rFonts w:hint="default"/>
      </w:rPr>
    </w:lvl>
  </w:abstractNum>
  <w:abstractNum w:abstractNumId="3">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5">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751EEFE"/>
    <w:multiLevelType w:val="singleLevel"/>
    <w:tmpl w:val="6751EEFE"/>
    <w:lvl w:ilvl="0" w:tentative="0">
      <w:start w:val="1"/>
      <w:numFmt w:val="decimal"/>
      <w:lvlText w:val="%1."/>
      <w:lvlJc w:val="left"/>
      <w:pPr>
        <w:ind w:left="425" w:hanging="425"/>
      </w:pPr>
      <w:rPr>
        <w:rFonts w:hint="default"/>
      </w:rPr>
    </w:lvl>
  </w:abstractNum>
  <w:abstractNum w:abstractNumId="7">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
  </w:num>
  <w:num w:numId="3">
    <w:abstractNumId w:val="4"/>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29AF"/>
    <w:rsid w:val="00002CEF"/>
    <w:rsid w:val="000048AE"/>
    <w:rsid w:val="00007D9A"/>
    <w:rsid w:val="00011B5A"/>
    <w:rsid w:val="00013662"/>
    <w:rsid w:val="00014B19"/>
    <w:rsid w:val="000207AD"/>
    <w:rsid w:val="00021B35"/>
    <w:rsid w:val="000221B5"/>
    <w:rsid w:val="00023F37"/>
    <w:rsid w:val="00024A18"/>
    <w:rsid w:val="00025CDA"/>
    <w:rsid w:val="00026EFF"/>
    <w:rsid w:val="00027136"/>
    <w:rsid w:val="000358C8"/>
    <w:rsid w:val="0003756D"/>
    <w:rsid w:val="00040D3C"/>
    <w:rsid w:val="00041F27"/>
    <w:rsid w:val="0004340F"/>
    <w:rsid w:val="000467D6"/>
    <w:rsid w:val="00047F4C"/>
    <w:rsid w:val="00050C6E"/>
    <w:rsid w:val="000532E3"/>
    <w:rsid w:val="000542BD"/>
    <w:rsid w:val="00055659"/>
    <w:rsid w:val="00056847"/>
    <w:rsid w:val="00056FC0"/>
    <w:rsid w:val="00057274"/>
    <w:rsid w:val="0006261F"/>
    <w:rsid w:val="000628AA"/>
    <w:rsid w:val="00064546"/>
    <w:rsid w:val="00064A53"/>
    <w:rsid w:val="00064F9E"/>
    <w:rsid w:val="00071CFE"/>
    <w:rsid w:val="00072395"/>
    <w:rsid w:val="000723C6"/>
    <w:rsid w:val="0007466C"/>
    <w:rsid w:val="000821CF"/>
    <w:rsid w:val="00085025"/>
    <w:rsid w:val="000853A3"/>
    <w:rsid w:val="0008643C"/>
    <w:rsid w:val="0009001D"/>
    <w:rsid w:val="00090DF6"/>
    <w:rsid w:val="00091725"/>
    <w:rsid w:val="00091930"/>
    <w:rsid w:val="000921D1"/>
    <w:rsid w:val="000935DA"/>
    <w:rsid w:val="00096B78"/>
    <w:rsid w:val="000A01C4"/>
    <w:rsid w:val="000A611A"/>
    <w:rsid w:val="000A6A2A"/>
    <w:rsid w:val="000B5A22"/>
    <w:rsid w:val="000B60E3"/>
    <w:rsid w:val="000B7BF4"/>
    <w:rsid w:val="000C394C"/>
    <w:rsid w:val="000C3CE0"/>
    <w:rsid w:val="000C5DB3"/>
    <w:rsid w:val="000D034A"/>
    <w:rsid w:val="000D3354"/>
    <w:rsid w:val="000D7793"/>
    <w:rsid w:val="000E0666"/>
    <w:rsid w:val="000E0A9C"/>
    <w:rsid w:val="000E5708"/>
    <w:rsid w:val="000F0234"/>
    <w:rsid w:val="000F08EC"/>
    <w:rsid w:val="000F13DD"/>
    <w:rsid w:val="000F18E1"/>
    <w:rsid w:val="000F3F52"/>
    <w:rsid w:val="000F4EF1"/>
    <w:rsid w:val="000F5E0F"/>
    <w:rsid w:val="000F5F4C"/>
    <w:rsid w:val="00101B15"/>
    <w:rsid w:val="0010372C"/>
    <w:rsid w:val="001059EA"/>
    <w:rsid w:val="0010690C"/>
    <w:rsid w:val="00110852"/>
    <w:rsid w:val="001111BA"/>
    <w:rsid w:val="00112B1F"/>
    <w:rsid w:val="00114F5B"/>
    <w:rsid w:val="00120495"/>
    <w:rsid w:val="00123E77"/>
    <w:rsid w:val="00125078"/>
    <w:rsid w:val="001313B9"/>
    <w:rsid w:val="0013250F"/>
    <w:rsid w:val="0013265E"/>
    <w:rsid w:val="00132C07"/>
    <w:rsid w:val="00133344"/>
    <w:rsid w:val="00133FEA"/>
    <w:rsid w:val="0013492C"/>
    <w:rsid w:val="00136D32"/>
    <w:rsid w:val="00136D88"/>
    <w:rsid w:val="001370A3"/>
    <w:rsid w:val="0013765A"/>
    <w:rsid w:val="00140402"/>
    <w:rsid w:val="00142070"/>
    <w:rsid w:val="00151AAE"/>
    <w:rsid w:val="00153554"/>
    <w:rsid w:val="00153F19"/>
    <w:rsid w:val="00161412"/>
    <w:rsid w:val="0016169A"/>
    <w:rsid w:val="00161974"/>
    <w:rsid w:val="001623C6"/>
    <w:rsid w:val="001645F2"/>
    <w:rsid w:val="00164C83"/>
    <w:rsid w:val="001661B4"/>
    <w:rsid w:val="00166A1C"/>
    <w:rsid w:val="00166B9F"/>
    <w:rsid w:val="00170876"/>
    <w:rsid w:val="00180119"/>
    <w:rsid w:val="0018151D"/>
    <w:rsid w:val="0018434D"/>
    <w:rsid w:val="00184781"/>
    <w:rsid w:val="00186C2A"/>
    <w:rsid w:val="0019702C"/>
    <w:rsid w:val="00197209"/>
    <w:rsid w:val="001A0B7A"/>
    <w:rsid w:val="001A3B01"/>
    <w:rsid w:val="001A3FBC"/>
    <w:rsid w:val="001A449A"/>
    <w:rsid w:val="001A4A68"/>
    <w:rsid w:val="001A6D24"/>
    <w:rsid w:val="001A706E"/>
    <w:rsid w:val="001A7A41"/>
    <w:rsid w:val="001B3832"/>
    <w:rsid w:val="001B4A4A"/>
    <w:rsid w:val="001B7080"/>
    <w:rsid w:val="001B76D5"/>
    <w:rsid w:val="001C0091"/>
    <w:rsid w:val="001C0741"/>
    <w:rsid w:val="001C0B47"/>
    <w:rsid w:val="001C0DBC"/>
    <w:rsid w:val="001C1987"/>
    <w:rsid w:val="001C1F22"/>
    <w:rsid w:val="001C4F4A"/>
    <w:rsid w:val="001C72EF"/>
    <w:rsid w:val="001D26CC"/>
    <w:rsid w:val="001D3F66"/>
    <w:rsid w:val="001E0760"/>
    <w:rsid w:val="001E150A"/>
    <w:rsid w:val="001E4668"/>
    <w:rsid w:val="001E4B61"/>
    <w:rsid w:val="001E58C3"/>
    <w:rsid w:val="001E6093"/>
    <w:rsid w:val="001F0A78"/>
    <w:rsid w:val="001F4C40"/>
    <w:rsid w:val="001F71FC"/>
    <w:rsid w:val="00201347"/>
    <w:rsid w:val="00201A79"/>
    <w:rsid w:val="00202940"/>
    <w:rsid w:val="00202D50"/>
    <w:rsid w:val="0020399D"/>
    <w:rsid w:val="002039D9"/>
    <w:rsid w:val="00203A18"/>
    <w:rsid w:val="00204136"/>
    <w:rsid w:val="00204689"/>
    <w:rsid w:val="00205254"/>
    <w:rsid w:val="00207EEF"/>
    <w:rsid w:val="00220ED1"/>
    <w:rsid w:val="00221E86"/>
    <w:rsid w:val="002225AE"/>
    <w:rsid w:val="0022401B"/>
    <w:rsid w:val="00226E8B"/>
    <w:rsid w:val="00230B6F"/>
    <w:rsid w:val="00230D81"/>
    <w:rsid w:val="002313E0"/>
    <w:rsid w:val="002372E7"/>
    <w:rsid w:val="00240134"/>
    <w:rsid w:val="002421C7"/>
    <w:rsid w:val="00242E47"/>
    <w:rsid w:val="002445B8"/>
    <w:rsid w:val="0024665D"/>
    <w:rsid w:val="00250429"/>
    <w:rsid w:val="002520C9"/>
    <w:rsid w:val="00255030"/>
    <w:rsid w:val="00257AFA"/>
    <w:rsid w:val="00260899"/>
    <w:rsid w:val="00261EC1"/>
    <w:rsid w:val="00264E19"/>
    <w:rsid w:val="0026604F"/>
    <w:rsid w:val="00274DB6"/>
    <w:rsid w:val="00277872"/>
    <w:rsid w:val="00277DD9"/>
    <w:rsid w:val="00280BDD"/>
    <w:rsid w:val="00282792"/>
    <w:rsid w:val="00283719"/>
    <w:rsid w:val="00284350"/>
    <w:rsid w:val="002856D4"/>
    <w:rsid w:val="0028759F"/>
    <w:rsid w:val="002910AF"/>
    <w:rsid w:val="00294538"/>
    <w:rsid w:val="002946D4"/>
    <w:rsid w:val="00294F38"/>
    <w:rsid w:val="002A00E4"/>
    <w:rsid w:val="002A7AF7"/>
    <w:rsid w:val="002B0BDB"/>
    <w:rsid w:val="002B150D"/>
    <w:rsid w:val="002B4BC3"/>
    <w:rsid w:val="002B685A"/>
    <w:rsid w:val="002B6AD1"/>
    <w:rsid w:val="002C6557"/>
    <w:rsid w:val="002C7CFF"/>
    <w:rsid w:val="002D03B7"/>
    <w:rsid w:val="002D2B4A"/>
    <w:rsid w:val="002D3797"/>
    <w:rsid w:val="002D5175"/>
    <w:rsid w:val="002D6B2A"/>
    <w:rsid w:val="002D7397"/>
    <w:rsid w:val="002E1DAC"/>
    <w:rsid w:val="002E1F11"/>
    <w:rsid w:val="002E23ED"/>
    <w:rsid w:val="002E2B64"/>
    <w:rsid w:val="002E2D89"/>
    <w:rsid w:val="002E6F43"/>
    <w:rsid w:val="002F260C"/>
    <w:rsid w:val="002F2892"/>
    <w:rsid w:val="002F342E"/>
    <w:rsid w:val="002F72C2"/>
    <w:rsid w:val="002F74F7"/>
    <w:rsid w:val="002F79C7"/>
    <w:rsid w:val="00301DEA"/>
    <w:rsid w:val="00301F3C"/>
    <w:rsid w:val="00305E08"/>
    <w:rsid w:val="003065D7"/>
    <w:rsid w:val="003128B5"/>
    <w:rsid w:val="003140CE"/>
    <w:rsid w:val="003160EC"/>
    <w:rsid w:val="00320153"/>
    <w:rsid w:val="003218BE"/>
    <w:rsid w:val="0032309C"/>
    <w:rsid w:val="003245E2"/>
    <w:rsid w:val="00326174"/>
    <w:rsid w:val="003268BA"/>
    <w:rsid w:val="00327E25"/>
    <w:rsid w:val="00331258"/>
    <w:rsid w:val="0033294C"/>
    <w:rsid w:val="003373D3"/>
    <w:rsid w:val="00342126"/>
    <w:rsid w:val="003453B0"/>
    <w:rsid w:val="00345ED2"/>
    <w:rsid w:val="00346850"/>
    <w:rsid w:val="00350549"/>
    <w:rsid w:val="00352A86"/>
    <w:rsid w:val="0035426D"/>
    <w:rsid w:val="00354B67"/>
    <w:rsid w:val="00356747"/>
    <w:rsid w:val="003606A1"/>
    <w:rsid w:val="003620EB"/>
    <w:rsid w:val="00362634"/>
    <w:rsid w:val="00362EAF"/>
    <w:rsid w:val="003631D4"/>
    <w:rsid w:val="003709CC"/>
    <w:rsid w:val="003724E1"/>
    <w:rsid w:val="00374F99"/>
    <w:rsid w:val="00375644"/>
    <w:rsid w:val="0037573B"/>
    <w:rsid w:val="003809DA"/>
    <w:rsid w:val="00387D89"/>
    <w:rsid w:val="00390DEB"/>
    <w:rsid w:val="003912E4"/>
    <w:rsid w:val="00393FB0"/>
    <w:rsid w:val="003973FB"/>
    <w:rsid w:val="003A2B32"/>
    <w:rsid w:val="003A30AE"/>
    <w:rsid w:val="003A3A31"/>
    <w:rsid w:val="003A58CE"/>
    <w:rsid w:val="003B1C96"/>
    <w:rsid w:val="003B413E"/>
    <w:rsid w:val="003B5D97"/>
    <w:rsid w:val="003C44D1"/>
    <w:rsid w:val="003C46E2"/>
    <w:rsid w:val="003C64FC"/>
    <w:rsid w:val="003D33EB"/>
    <w:rsid w:val="003D37D3"/>
    <w:rsid w:val="003D3D61"/>
    <w:rsid w:val="003E172E"/>
    <w:rsid w:val="003E2FFD"/>
    <w:rsid w:val="003F0A6E"/>
    <w:rsid w:val="003F191E"/>
    <w:rsid w:val="003F5DD0"/>
    <w:rsid w:val="0040069E"/>
    <w:rsid w:val="0040123D"/>
    <w:rsid w:val="004037FD"/>
    <w:rsid w:val="004049FA"/>
    <w:rsid w:val="00404C9E"/>
    <w:rsid w:val="0040669C"/>
    <w:rsid w:val="00410F06"/>
    <w:rsid w:val="00412113"/>
    <w:rsid w:val="0041222C"/>
    <w:rsid w:val="004128C0"/>
    <w:rsid w:val="00412CF3"/>
    <w:rsid w:val="00413FED"/>
    <w:rsid w:val="004173ED"/>
    <w:rsid w:val="00420198"/>
    <w:rsid w:val="00421BC3"/>
    <w:rsid w:val="00423A2F"/>
    <w:rsid w:val="00423D1A"/>
    <w:rsid w:val="004318E8"/>
    <w:rsid w:val="00431F42"/>
    <w:rsid w:val="0043247E"/>
    <w:rsid w:val="00433266"/>
    <w:rsid w:val="0043343C"/>
    <w:rsid w:val="00433AC3"/>
    <w:rsid w:val="00433CC1"/>
    <w:rsid w:val="004345F2"/>
    <w:rsid w:val="00434BBD"/>
    <w:rsid w:val="00435500"/>
    <w:rsid w:val="00436F70"/>
    <w:rsid w:val="004422B8"/>
    <w:rsid w:val="0044360E"/>
    <w:rsid w:val="004438AB"/>
    <w:rsid w:val="00443AAC"/>
    <w:rsid w:val="00444666"/>
    <w:rsid w:val="004466E4"/>
    <w:rsid w:val="00450228"/>
    <w:rsid w:val="004534D3"/>
    <w:rsid w:val="00457796"/>
    <w:rsid w:val="004609D9"/>
    <w:rsid w:val="00462729"/>
    <w:rsid w:val="00463218"/>
    <w:rsid w:val="004635E7"/>
    <w:rsid w:val="00463A00"/>
    <w:rsid w:val="004719BA"/>
    <w:rsid w:val="00471E03"/>
    <w:rsid w:val="004737EA"/>
    <w:rsid w:val="00473CE7"/>
    <w:rsid w:val="00475381"/>
    <w:rsid w:val="00476318"/>
    <w:rsid w:val="0048034F"/>
    <w:rsid w:val="00481371"/>
    <w:rsid w:val="00481673"/>
    <w:rsid w:val="004829BA"/>
    <w:rsid w:val="00482E88"/>
    <w:rsid w:val="00483830"/>
    <w:rsid w:val="00484AFF"/>
    <w:rsid w:val="00485546"/>
    <w:rsid w:val="00487809"/>
    <w:rsid w:val="00490A1F"/>
    <w:rsid w:val="00490AE2"/>
    <w:rsid w:val="00491052"/>
    <w:rsid w:val="00492B24"/>
    <w:rsid w:val="00494C86"/>
    <w:rsid w:val="00495540"/>
    <w:rsid w:val="004960B6"/>
    <w:rsid w:val="0049762D"/>
    <w:rsid w:val="004A154E"/>
    <w:rsid w:val="004A242D"/>
    <w:rsid w:val="004A27F7"/>
    <w:rsid w:val="004A339B"/>
    <w:rsid w:val="004A4748"/>
    <w:rsid w:val="004A5848"/>
    <w:rsid w:val="004B28CE"/>
    <w:rsid w:val="004B47A7"/>
    <w:rsid w:val="004B5D69"/>
    <w:rsid w:val="004C04C1"/>
    <w:rsid w:val="004C0608"/>
    <w:rsid w:val="004C152C"/>
    <w:rsid w:val="004C296E"/>
    <w:rsid w:val="004C4A91"/>
    <w:rsid w:val="004D261A"/>
    <w:rsid w:val="004D48F5"/>
    <w:rsid w:val="004D4D39"/>
    <w:rsid w:val="004E0145"/>
    <w:rsid w:val="004E1640"/>
    <w:rsid w:val="004E3B03"/>
    <w:rsid w:val="004E41A4"/>
    <w:rsid w:val="004E5FB8"/>
    <w:rsid w:val="004F08E1"/>
    <w:rsid w:val="004F15CD"/>
    <w:rsid w:val="004F243A"/>
    <w:rsid w:val="004F4FA2"/>
    <w:rsid w:val="004F580F"/>
    <w:rsid w:val="004F59A2"/>
    <w:rsid w:val="004F7E47"/>
    <w:rsid w:val="00500BF8"/>
    <w:rsid w:val="00506D80"/>
    <w:rsid w:val="00513459"/>
    <w:rsid w:val="005175EA"/>
    <w:rsid w:val="00520A06"/>
    <w:rsid w:val="00521C9B"/>
    <w:rsid w:val="005222A7"/>
    <w:rsid w:val="0052245F"/>
    <w:rsid w:val="00522535"/>
    <w:rsid w:val="00522834"/>
    <w:rsid w:val="00524369"/>
    <w:rsid w:val="00526482"/>
    <w:rsid w:val="00526615"/>
    <w:rsid w:val="00526B1D"/>
    <w:rsid w:val="00527C97"/>
    <w:rsid w:val="00530AD6"/>
    <w:rsid w:val="0053113B"/>
    <w:rsid w:val="005333BD"/>
    <w:rsid w:val="0053577E"/>
    <w:rsid w:val="005357A9"/>
    <w:rsid w:val="005404BB"/>
    <w:rsid w:val="00542479"/>
    <w:rsid w:val="005430CC"/>
    <w:rsid w:val="00543C1B"/>
    <w:rsid w:val="00544176"/>
    <w:rsid w:val="005445D1"/>
    <w:rsid w:val="00545525"/>
    <w:rsid w:val="00546D8E"/>
    <w:rsid w:val="0055195C"/>
    <w:rsid w:val="00552117"/>
    <w:rsid w:val="005522C5"/>
    <w:rsid w:val="00553339"/>
    <w:rsid w:val="00556294"/>
    <w:rsid w:val="00561A77"/>
    <w:rsid w:val="005626DE"/>
    <w:rsid w:val="0056335D"/>
    <w:rsid w:val="0056576F"/>
    <w:rsid w:val="005658EF"/>
    <w:rsid w:val="00565EB9"/>
    <w:rsid w:val="00570777"/>
    <w:rsid w:val="00570C84"/>
    <w:rsid w:val="005718D8"/>
    <w:rsid w:val="00576301"/>
    <w:rsid w:val="00576367"/>
    <w:rsid w:val="00576D88"/>
    <w:rsid w:val="005823CC"/>
    <w:rsid w:val="00584DE3"/>
    <w:rsid w:val="005856CE"/>
    <w:rsid w:val="005913F0"/>
    <w:rsid w:val="00592696"/>
    <w:rsid w:val="0059393F"/>
    <w:rsid w:val="005959A2"/>
    <w:rsid w:val="005A05DD"/>
    <w:rsid w:val="005A0768"/>
    <w:rsid w:val="005A1486"/>
    <w:rsid w:val="005A34BA"/>
    <w:rsid w:val="005A5511"/>
    <w:rsid w:val="005A662E"/>
    <w:rsid w:val="005B1391"/>
    <w:rsid w:val="005B2F1F"/>
    <w:rsid w:val="005B3341"/>
    <w:rsid w:val="005B3F52"/>
    <w:rsid w:val="005B67A5"/>
    <w:rsid w:val="005B78FF"/>
    <w:rsid w:val="005C05C5"/>
    <w:rsid w:val="005C1267"/>
    <w:rsid w:val="005C1C8D"/>
    <w:rsid w:val="005C2F0F"/>
    <w:rsid w:val="005D0719"/>
    <w:rsid w:val="005D3EB4"/>
    <w:rsid w:val="005E140C"/>
    <w:rsid w:val="005E15AD"/>
    <w:rsid w:val="005E4940"/>
    <w:rsid w:val="005E4D9F"/>
    <w:rsid w:val="005E53C9"/>
    <w:rsid w:val="005E5BA9"/>
    <w:rsid w:val="005F06CD"/>
    <w:rsid w:val="005F0F16"/>
    <w:rsid w:val="005F3817"/>
    <w:rsid w:val="005F3AC4"/>
    <w:rsid w:val="005F4C4E"/>
    <w:rsid w:val="005F59AD"/>
    <w:rsid w:val="005F6296"/>
    <w:rsid w:val="005F6732"/>
    <w:rsid w:val="0060125F"/>
    <w:rsid w:val="00601A43"/>
    <w:rsid w:val="00601C0F"/>
    <w:rsid w:val="00603685"/>
    <w:rsid w:val="006037CF"/>
    <w:rsid w:val="006045D2"/>
    <w:rsid w:val="00605B1E"/>
    <w:rsid w:val="00606F49"/>
    <w:rsid w:val="00607CEB"/>
    <w:rsid w:val="00610230"/>
    <w:rsid w:val="00610BFE"/>
    <w:rsid w:val="0061201B"/>
    <w:rsid w:val="00612E01"/>
    <w:rsid w:val="00613CEF"/>
    <w:rsid w:val="00614E3A"/>
    <w:rsid w:val="0061534B"/>
    <w:rsid w:val="0061622D"/>
    <w:rsid w:val="00616B3E"/>
    <w:rsid w:val="006205AA"/>
    <w:rsid w:val="006206E6"/>
    <w:rsid w:val="00621EF3"/>
    <w:rsid w:val="00624F73"/>
    <w:rsid w:val="0062745C"/>
    <w:rsid w:val="00627FF7"/>
    <w:rsid w:val="0063000B"/>
    <w:rsid w:val="00632FC5"/>
    <w:rsid w:val="00634FB9"/>
    <w:rsid w:val="00635C8B"/>
    <w:rsid w:val="00636C20"/>
    <w:rsid w:val="00636E84"/>
    <w:rsid w:val="00644095"/>
    <w:rsid w:val="006445BC"/>
    <w:rsid w:val="006446A8"/>
    <w:rsid w:val="00646147"/>
    <w:rsid w:val="006469F7"/>
    <w:rsid w:val="006474D8"/>
    <w:rsid w:val="006522E2"/>
    <w:rsid w:val="0065562E"/>
    <w:rsid w:val="00656D3B"/>
    <w:rsid w:val="0065723F"/>
    <w:rsid w:val="006605B2"/>
    <w:rsid w:val="00660C5F"/>
    <w:rsid w:val="00660DA3"/>
    <w:rsid w:val="00661355"/>
    <w:rsid w:val="0066527B"/>
    <w:rsid w:val="00675965"/>
    <w:rsid w:val="00676436"/>
    <w:rsid w:val="006777BA"/>
    <w:rsid w:val="0067785E"/>
    <w:rsid w:val="00680DF5"/>
    <w:rsid w:val="0068161F"/>
    <w:rsid w:val="006856D2"/>
    <w:rsid w:val="00691240"/>
    <w:rsid w:val="00696461"/>
    <w:rsid w:val="0069647A"/>
    <w:rsid w:val="0069738B"/>
    <w:rsid w:val="00697621"/>
    <w:rsid w:val="006A7A51"/>
    <w:rsid w:val="006B0021"/>
    <w:rsid w:val="006B1CC6"/>
    <w:rsid w:val="006C02D1"/>
    <w:rsid w:val="006C68A2"/>
    <w:rsid w:val="006C6D06"/>
    <w:rsid w:val="006C78E9"/>
    <w:rsid w:val="006C7D90"/>
    <w:rsid w:val="006D1C29"/>
    <w:rsid w:val="006D32B8"/>
    <w:rsid w:val="006D3F61"/>
    <w:rsid w:val="006D41F6"/>
    <w:rsid w:val="006D4A4D"/>
    <w:rsid w:val="006D6CD5"/>
    <w:rsid w:val="006D73B5"/>
    <w:rsid w:val="006F2EDA"/>
    <w:rsid w:val="006F4E3E"/>
    <w:rsid w:val="006F5130"/>
    <w:rsid w:val="006F545D"/>
    <w:rsid w:val="006F5AEB"/>
    <w:rsid w:val="006F5F68"/>
    <w:rsid w:val="006F62A7"/>
    <w:rsid w:val="006F6F4A"/>
    <w:rsid w:val="006F717D"/>
    <w:rsid w:val="007008D6"/>
    <w:rsid w:val="0070121E"/>
    <w:rsid w:val="007017C2"/>
    <w:rsid w:val="0070333F"/>
    <w:rsid w:val="00704DB6"/>
    <w:rsid w:val="007061C1"/>
    <w:rsid w:val="00715100"/>
    <w:rsid w:val="00716D34"/>
    <w:rsid w:val="00721EC5"/>
    <w:rsid w:val="00722856"/>
    <w:rsid w:val="00723A81"/>
    <w:rsid w:val="00723B1D"/>
    <w:rsid w:val="00723F71"/>
    <w:rsid w:val="00724587"/>
    <w:rsid w:val="00724C4E"/>
    <w:rsid w:val="00726083"/>
    <w:rsid w:val="00727356"/>
    <w:rsid w:val="00731841"/>
    <w:rsid w:val="00731A57"/>
    <w:rsid w:val="00732F82"/>
    <w:rsid w:val="00733BB2"/>
    <w:rsid w:val="0073514C"/>
    <w:rsid w:val="00736C16"/>
    <w:rsid w:val="00736C20"/>
    <w:rsid w:val="00741676"/>
    <w:rsid w:val="00741FF9"/>
    <w:rsid w:val="00743825"/>
    <w:rsid w:val="00744442"/>
    <w:rsid w:val="00745C42"/>
    <w:rsid w:val="007461A4"/>
    <w:rsid w:val="00747BFB"/>
    <w:rsid w:val="00750061"/>
    <w:rsid w:val="00754655"/>
    <w:rsid w:val="0075660E"/>
    <w:rsid w:val="00756F15"/>
    <w:rsid w:val="00761377"/>
    <w:rsid w:val="00762816"/>
    <w:rsid w:val="00763E37"/>
    <w:rsid w:val="00766BE9"/>
    <w:rsid w:val="00766C58"/>
    <w:rsid w:val="007707FD"/>
    <w:rsid w:val="00772D4E"/>
    <w:rsid w:val="007760F7"/>
    <w:rsid w:val="00777BC4"/>
    <w:rsid w:val="00780A28"/>
    <w:rsid w:val="00780BEC"/>
    <w:rsid w:val="00782E16"/>
    <w:rsid w:val="00786361"/>
    <w:rsid w:val="0079236A"/>
    <w:rsid w:val="0079249B"/>
    <w:rsid w:val="00792B4C"/>
    <w:rsid w:val="007931AD"/>
    <w:rsid w:val="007958D4"/>
    <w:rsid w:val="00796065"/>
    <w:rsid w:val="007A2784"/>
    <w:rsid w:val="007A4216"/>
    <w:rsid w:val="007A4CBA"/>
    <w:rsid w:val="007A6C6B"/>
    <w:rsid w:val="007B65BF"/>
    <w:rsid w:val="007C041F"/>
    <w:rsid w:val="007C200A"/>
    <w:rsid w:val="007D13A4"/>
    <w:rsid w:val="007D1D8A"/>
    <w:rsid w:val="007D1F93"/>
    <w:rsid w:val="007D2AE4"/>
    <w:rsid w:val="007D3D4F"/>
    <w:rsid w:val="007D409E"/>
    <w:rsid w:val="007D4FDA"/>
    <w:rsid w:val="007D6609"/>
    <w:rsid w:val="007D7487"/>
    <w:rsid w:val="007E7C05"/>
    <w:rsid w:val="007E7CF1"/>
    <w:rsid w:val="007F0718"/>
    <w:rsid w:val="007F08D6"/>
    <w:rsid w:val="007F265F"/>
    <w:rsid w:val="007F288F"/>
    <w:rsid w:val="007F29CE"/>
    <w:rsid w:val="007F2B33"/>
    <w:rsid w:val="007F2EE7"/>
    <w:rsid w:val="007F5F43"/>
    <w:rsid w:val="007F79AD"/>
    <w:rsid w:val="00801153"/>
    <w:rsid w:val="008023B6"/>
    <w:rsid w:val="00805A17"/>
    <w:rsid w:val="00806C06"/>
    <w:rsid w:val="00807505"/>
    <w:rsid w:val="00811E89"/>
    <w:rsid w:val="00812E0E"/>
    <w:rsid w:val="00813408"/>
    <w:rsid w:val="00824828"/>
    <w:rsid w:val="00824AC5"/>
    <w:rsid w:val="00827424"/>
    <w:rsid w:val="008317C3"/>
    <w:rsid w:val="008333AB"/>
    <w:rsid w:val="0083444F"/>
    <w:rsid w:val="008404A7"/>
    <w:rsid w:val="00842802"/>
    <w:rsid w:val="00845C90"/>
    <w:rsid w:val="0084602D"/>
    <w:rsid w:val="0084604C"/>
    <w:rsid w:val="00846AEC"/>
    <w:rsid w:val="00850AA2"/>
    <w:rsid w:val="0085451C"/>
    <w:rsid w:val="00855D06"/>
    <w:rsid w:val="00856B91"/>
    <w:rsid w:val="00861B70"/>
    <w:rsid w:val="00862560"/>
    <w:rsid w:val="00864082"/>
    <w:rsid w:val="00865EF6"/>
    <w:rsid w:val="008663DF"/>
    <w:rsid w:val="0086672B"/>
    <w:rsid w:val="0086699A"/>
    <w:rsid w:val="008712A3"/>
    <w:rsid w:val="00872832"/>
    <w:rsid w:val="00874EF3"/>
    <w:rsid w:val="00875A1D"/>
    <w:rsid w:val="00875BEC"/>
    <w:rsid w:val="00876B1C"/>
    <w:rsid w:val="00877260"/>
    <w:rsid w:val="0087730C"/>
    <w:rsid w:val="00880BD8"/>
    <w:rsid w:val="00881EA5"/>
    <w:rsid w:val="00883AEB"/>
    <w:rsid w:val="0088562E"/>
    <w:rsid w:val="0088637D"/>
    <w:rsid w:val="0088663F"/>
    <w:rsid w:val="00890027"/>
    <w:rsid w:val="00892432"/>
    <w:rsid w:val="0089291B"/>
    <w:rsid w:val="00893294"/>
    <w:rsid w:val="00894B56"/>
    <w:rsid w:val="00896C30"/>
    <w:rsid w:val="00896F95"/>
    <w:rsid w:val="0089731A"/>
    <w:rsid w:val="00897357"/>
    <w:rsid w:val="008A15DF"/>
    <w:rsid w:val="008A1C5A"/>
    <w:rsid w:val="008A22E0"/>
    <w:rsid w:val="008A24B0"/>
    <w:rsid w:val="008A2ECD"/>
    <w:rsid w:val="008A402F"/>
    <w:rsid w:val="008A5ECC"/>
    <w:rsid w:val="008A6412"/>
    <w:rsid w:val="008A6AEF"/>
    <w:rsid w:val="008A7E8D"/>
    <w:rsid w:val="008A7FF8"/>
    <w:rsid w:val="008B0C6D"/>
    <w:rsid w:val="008C0E76"/>
    <w:rsid w:val="008C3E2E"/>
    <w:rsid w:val="008C435E"/>
    <w:rsid w:val="008C5372"/>
    <w:rsid w:val="008C6F75"/>
    <w:rsid w:val="008D075F"/>
    <w:rsid w:val="008D0D50"/>
    <w:rsid w:val="008D1CFF"/>
    <w:rsid w:val="008D480A"/>
    <w:rsid w:val="008E1E9A"/>
    <w:rsid w:val="008E29C0"/>
    <w:rsid w:val="008E4535"/>
    <w:rsid w:val="008E711A"/>
    <w:rsid w:val="008F0B01"/>
    <w:rsid w:val="008F1893"/>
    <w:rsid w:val="008F1DE8"/>
    <w:rsid w:val="008F363C"/>
    <w:rsid w:val="008F68AC"/>
    <w:rsid w:val="008F7BCF"/>
    <w:rsid w:val="0090009F"/>
    <w:rsid w:val="00901172"/>
    <w:rsid w:val="009074EF"/>
    <w:rsid w:val="00911C20"/>
    <w:rsid w:val="009141DF"/>
    <w:rsid w:val="00914675"/>
    <w:rsid w:val="009152FE"/>
    <w:rsid w:val="0092183F"/>
    <w:rsid w:val="00921E07"/>
    <w:rsid w:val="00924DDB"/>
    <w:rsid w:val="00925A6F"/>
    <w:rsid w:val="00932960"/>
    <w:rsid w:val="0093404F"/>
    <w:rsid w:val="00935A8E"/>
    <w:rsid w:val="009409F6"/>
    <w:rsid w:val="00942491"/>
    <w:rsid w:val="00942E16"/>
    <w:rsid w:val="00943480"/>
    <w:rsid w:val="009438D9"/>
    <w:rsid w:val="0094561A"/>
    <w:rsid w:val="00945C18"/>
    <w:rsid w:val="00950746"/>
    <w:rsid w:val="009521C2"/>
    <w:rsid w:val="0095758D"/>
    <w:rsid w:val="009627B2"/>
    <w:rsid w:val="00963166"/>
    <w:rsid w:val="00963A6B"/>
    <w:rsid w:val="009672D8"/>
    <w:rsid w:val="009705FE"/>
    <w:rsid w:val="009717DD"/>
    <w:rsid w:val="00971EF0"/>
    <w:rsid w:val="00971F8D"/>
    <w:rsid w:val="00972BEB"/>
    <w:rsid w:val="0097392D"/>
    <w:rsid w:val="00975B86"/>
    <w:rsid w:val="00976596"/>
    <w:rsid w:val="00977902"/>
    <w:rsid w:val="00980FC6"/>
    <w:rsid w:val="00981606"/>
    <w:rsid w:val="00981814"/>
    <w:rsid w:val="009842D1"/>
    <w:rsid w:val="00985ECC"/>
    <w:rsid w:val="009863D4"/>
    <w:rsid w:val="009863E9"/>
    <w:rsid w:val="00987443"/>
    <w:rsid w:val="00987AD9"/>
    <w:rsid w:val="0099184F"/>
    <w:rsid w:val="00991BF9"/>
    <w:rsid w:val="00993817"/>
    <w:rsid w:val="0099412D"/>
    <w:rsid w:val="009942E5"/>
    <w:rsid w:val="00994A86"/>
    <w:rsid w:val="00995F4A"/>
    <w:rsid w:val="009A78DF"/>
    <w:rsid w:val="009B1867"/>
    <w:rsid w:val="009B25C6"/>
    <w:rsid w:val="009B28B8"/>
    <w:rsid w:val="009B7BB0"/>
    <w:rsid w:val="009C228A"/>
    <w:rsid w:val="009C3865"/>
    <w:rsid w:val="009C4A3C"/>
    <w:rsid w:val="009C5894"/>
    <w:rsid w:val="009C7E4A"/>
    <w:rsid w:val="009D2DC5"/>
    <w:rsid w:val="009D5E5A"/>
    <w:rsid w:val="009D7C01"/>
    <w:rsid w:val="009E01DF"/>
    <w:rsid w:val="009E0241"/>
    <w:rsid w:val="009F5499"/>
    <w:rsid w:val="00A02F7E"/>
    <w:rsid w:val="00A03484"/>
    <w:rsid w:val="00A044A8"/>
    <w:rsid w:val="00A10335"/>
    <w:rsid w:val="00A11D6B"/>
    <w:rsid w:val="00A12125"/>
    <w:rsid w:val="00A15462"/>
    <w:rsid w:val="00A16545"/>
    <w:rsid w:val="00A17C62"/>
    <w:rsid w:val="00A20671"/>
    <w:rsid w:val="00A24ADC"/>
    <w:rsid w:val="00A2675E"/>
    <w:rsid w:val="00A30862"/>
    <w:rsid w:val="00A30B3B"/>
    <w:rsid w:val="00A311C2"/>
    <w:rsid w:val="00A3237C"/>
    <w:rsid w:val="00A32AF8"/>
    <w:rsid w:val="00A33178"/>
    <w:rsid w:val="00A3373D"/>
    <w:rsid w:val="00A36AB2"/>
    <w:rsid w:val="00A431FE"/>
    <w:rsid w:val="00A44C50"/>
    <w:rsid w:val="00A45084"/>
    <w:rsid w:val="00A45208"/>
    <w:rsid w:val="00A452C4"/>
    <w:rsid w:val="00A46430"/>
    <w:rsid w:val="00A47566"/>
    <w:rsid w:val="00A52C98"/>
    <w:rsid w:val="00A52E96"/>
    <w:rsid w:val="00A53ED0"/>
    <w:rsid w:val="00A54422"/>
    <w:rsid w:val="00A63AA8"/>
    <w:rsid w:val="00A63FA0"/>
    <w:rsid w:val="00A666B2"/>
    <w:rsid w:val="00A70042"/>
    <w:rsid w:val="00A70373"/>
    <w:rsid w:val="00A7044D"/>
    <w:rsid w:val="00A7070F"/>
    <w:rsid w:val="00A74EB5"/>
    <w:rsid w:val="00A75069"/>
    <w:rsid w:val="00A76753"/>
    <w:rsid w:val="00A7765D"/>
    <w:rsid w:val="00A81174"/>
    <w:rsid w:val="00A82858"/>
    <w:rsid w:val="00A83D02"/>
    <w:rsid w:val="00A915B3"/>
    <w:rsid w:val="00A916D0"/>
    <w:rsid w:val="00A922DD"/>
    <w:rsid w:val="00A92D57"/>
    <w:rsid w:val="00A94252"/>
    <w:rsid w:val="00A94C4E"/>
    <w:rsid w:val="00A95566"/>
    <w:rsid w:val="00A97430"/>
    <w:rsid w:val="00AA0E3A"/>
    <w:rsid w:val="00AA1D00"/>
    <w:rsid w:val="00AA6090"/>
    <w:rsid w:val="00AB0A41"/>
    <w:rsid w:val="00AB1AAE"/>
    <w:rsid w:val="00AB2031"/>
    <w:rsid w:val="00AB22FB"/>
    <w:rsid w:val="00AB49D7"/>
    <w:rsid w:val="00AB5328"/>
    <w:rsid w:val="00AB62BB"/>
    <w:rsid w:val="00AC0DC3"/>
    <w:rsid w:val="00AC5887"/>
    <w:rsid w:val="00AC6297"/>
    <w:rsid w:val="00AC68A3"/>
    <w:rsid w:val="00AD1E17"/>
    <w:rsid w:val="00AD2FE6"/>
    <w:rsid w:val="00AD4F7A"/>
    <w:rsid w:val="00AD6A03"/>
    <w:rsid w:val="00AE0BF8"/>
    <w:rsid w:val="00AE18A3"/>
    <w:rsid w:val="00AE1D21"/>
    <w:rsid w:val="00AE2251"/>
    <w:rsid w:val="00AE5201"/>
    <w:rsid w:val="00AF1F7D"/>
    <w:rsid w:val="00AF2FCB"/>
    <w:rsid w:val="00AF3353"/>
    <w:rsid w:val="00AF4AB4"/>
    <w:rsid w:val="00B0737E"/>
    <w:rsid w:val="00B1059A"/>
    <w:rsid w:val="00B13B7F"/>
    <w:rsid w:val="00B14728"/>
    <w:rsid w:val="00B15872"/>
    <w:rsid w:val="00B16459"/>
    <w:rsid w:val="00B20C8D"/>
    <w:rsid w:val="00B21D6F"/>
    <w:rsid w:val="00B226FB"/>
    <w:rsid w:val="00B25D0E"/>
    <w:rsid w:val="00B278AB"/>
    <w:rsid w:val="00B31203"/>
    <w:rsid w:val="00B32392"/>
    <w:rsid w:val="00B340F0"/>
    <w:rsid w:val="00B3582B"/>
    <w:rsid w:val="00B40679"/>
    <w:rsid w:val="00B41C14"/>
    <w:rsid w:val="00B43A62"/>
    <w:rsid w:val="00B45890"/>
    <w:rsid w:val="00B471D7"/>
    <w:rsid w:val="00B525BD"/>
    <w:rsid w:val="00B57E69"/>
    <w:rsid w:val="00B6010A"/>
    <w:rsid w:val="00B60C02"/>
    <w:rsid w:val="00B64016"/>
    <w:rsid w:val="00B65504"/>
    <w:rsid w:val="00B65957"/>
    <w:rsid w:val="00B66323"/>
    <w:rsid w:val="00B66EA0"/>
    <w:rsid w:val="00B67BE4"/>
    <w:rsid w:val="00B73026"/>
    <w:rsid w:val="00B80449"/>
    <w:rsid w:val="00B844FA"/>
    <w:rsid w:val="00B91A6A"/>
    <w:rsid w:val="00B92D19"/>
    <w:rsid w:val="00B936D6"/>
    <w:rsid w:val="00B96226"/>
    <w:rsid w:val="00B966ED"/>
    <w:rsid w:val="00BA12E1"/>
    <w:rsid w:val="00BA1EF2"/>
    <w:rsid w:val="00BA3FC9"/>
    <w:rsid w:val="00BA708B"/>
    <w:rsid w:val="00BA7E3B"/>
    <w:rsid w:val="00BB1BC2"/>
    <w:rsid w:val="00BB3EFD"/>
    <w:rsid w:val="00BB70AD"/>
    <w:rsid w:val="00BC06C8"/>
    <w:rsid w:val="00BC4C05"/>
    <w:rsid w:val="00BC5DFD"/>
    <w:rsid w:val="00BC6208"/>
    <w:rsid w:val="00BC67D9"/>
    <w:rsid w:val="00BC723B"/>
    <w:rsid w:val="00BD037E"/>
    <w:rsid w:val="00BD3F67"/>
    <w:rsid w:val="00BD4706"/>
    <w:rsid w:val="00BD4E1B"/>
    <w:rsid w:val="00BD6F4C"/>
    <w:rsid w:val="00BE0257"/>
    <w:rsid w:val="00BE19AA"/>
    <w:rsid w:val="00BE19AC"/>
    <w:rsid w:val="00BE2195"/>
    <w:rsid w:val="00BE355E"/>
    <w:rsid w:val="00BF00D8"/>
    <w:rsid w:val="00BF10CF"/>
    <w:rsid w:val="00BF1E33"/>
    <w:rsid w:val="00BF2E28"/>
    <w:rsid w:val="00BF4006"/>
    <w:rsid w:val="00BF42C1"/>
    <w:rsid w:val="00BF4DA0"/>
    <w:rsid w:val="00BF4E89"/>
    <w:rsid w:val="00BF582C"/>
    <w:rsid w:val="00BF5BFA"/>
    <w:rsid w:val="00BF67D7"/>
    <w:rsid w:val="00BF6F51"/>
    <w:rsid w:val="00C005AF"/>
    <w:rsid w:val="00C01A0F"/>
    <w:rsid w:val="00C12842"/>
    <w:rsid w:val="00C132F6"/>
    <w:rsid w:val="00C148F7"/>
    <w:rsid w:val="00C158B9"/>
    <w:rsid w:val="00C16CB1"/>
    <w:rsid w:val="00C206A1"/>
    <w:rsid w:val="00C20E61"/>
    <w:rsid w:val="00C22F2A"/>
    <w:rsid w:val="00C232F5"/>
    <w:rsid w:val="00C23F31"/>
    <w:rsid w:val="00C23FAA"/>
    <w:rsid w:val="00C273A9"/>
    <w:rsid w:val="00C2774B"/>
    <w:rsid w:val="00C3037B"/>
    <w:rsid w:val="00C3084B"/>
    <w:rsid w:val="00C314A5"/>
    <w:rsid w:val="00C32026"/>
    <w:rsid w:val="00C32179"/>
    <w:rsid w:val="00C33D8C"/>
    <w:rsid w:val="00C3646B"/>
    <w:rsid w:val="00C365AA"/>
    <w:rsid w:val="00C40ACA"/>
    <w:rsid w:val="00C42C72"/>
    <w:rsid w:val="00C45685"/>
    <w:rsid w:val="00C46B06"/>
    <w:rsid w:val="00C50959"/>
    <w:rsid w:val="00C52244"/>
    <w:rsid w:val="00C5362D"/>
    <w:rsid w:val="00C55AA8"/>
    <w:rsid w:val="00C570C4"/>
    <w:rsid w:val="00C61569"/>
    <w:rsid w:val="00C61D69"/>
    <w:rsid w:val="00C633A5"/>
    <w:rsid w:val="00C65DBC"/>
    <w:rsid w:val="00C65F6C"/>
    <w:rsid w:val="00C678E0"/>
    <w:rsid w:val="00C718EB"/>
    <w:rsid w:val="00C720A7"/>
    <w:rsid w:val="00C729BC"/>
    <w:rsid w:val="00C74828"/>
    <w:rsid w:val="00C752F2"/>
    <w:rsid w:val="00C80189"/>
    <w:rsid w:val="00C8063F"/>
    <w:rsid w:val="00C82C3C"/>
    <w:rsid w:val="00C82EA4"/>
    <w:rsid w:val="00C84452"/>
    <w:rsid w:val="00C8468B"/>
    <w:rsid w:val="00C86A1F"/>
    <w:rsid w:val="00C87CC8"/>
    <w:rsid w:val="00C925A2"/>
    <w:rsid w:val="00C93603"/>
    <w:rsid w:val="00C937EB"/>
    <w:rsid w:val="00C9419C"/>
    <w:rsid w:val="00C95EE9"/>
    <w:rsid w:val="00CA228C"/>
    <w:rsid w:val="00CA24DC"/>
    <w:rsid w:val="00CA4BC7"/>
    <w:rsid w:val="00CA5CD2"/>
    <w:rsid w:val="00CA6C5E"/>
    <w:rsid w:val="00CB1DFA"/>
    <w:rsid w:val="00CB3F0F"/>
    <w:rsid w:val="00CB481B"/>
    <w:rsid w:val="00CB4DD4"/>
    <w:rsid w:val="00CB60F5"/>
    <w:rsid w:val="00CC1A08"/>
    <w:rsid w:val="00CC1F4B"/>
    <w:rsid w:val="00CC2300"/>
    <w:rsid w:val="00CC234A"/>
    <w:rsid w:val="00CC30B6"/>
    <w:rsid w:val="00CC3E8E"/>
    <w:rsid w:val="00CC4C52"/>
    <w:rsid w:val="00CC6205"/>
    <w:rsid w:val="00CD0B46"/>
    <w:rsid w:val="00CE012D"/>
    <w:rsid w:val="00CE0132"/>
    <w:rsid w:val="00CE1157"/>
    <w:rsid w:val="00CE50DC"/>
    <w:rsid w:val="00CE5BAC"/>
    <w:rsid w:val="00CE79DC"/>
    <w:rsid w:val="00CE7B2C"/>
    <w:rsid w:val="00CF2A13"/>
    <w:rsid w:val="00CF3493"/>
    <w:rsid w:val="00CF49F4"/>
    <w:rsid w:val="00CF4EF4"/>
    <w:rsid w:val="00CF6825"/>
    <w:rsid w:val="00D05F26"/>
    <w:rsid w:val="00D14AB0"/>
    <w:rsid w:val="00D151D8"/>
    <w:rsid w:val="00D17E71"/>
    <w:rsid w:val="00D21159"/>
    <w:rsid w:val="00D219B1"/>
    <w:rsid w:val="00D21FF3"/>
    <w:rsid w:val="00D22BDC"/>
    <w:rsid w:val="00D24BFB"/>
    <w:rsid w:val="00D26503"/>
    <w:rsid w:val="00D2693E"/>
    <w:rsid w:val="00D26E15"/>
    <w:rsid w:val="00D26E2F"/>
    <w:rsid w:val="00D26E4F"/>
    <w:rsid w:val="00D30EAE"/>
    <w:rsid w:val="00D324B0"/>
    <w:rsid w:val="00D331C8"/>
    <w:rsid w:val="00D3575C"/>
    <w:rsid w:val="00D3615A"/>
    <w:rsid w:val="00D419B2"/>
    <w:rsid w:val="00D42742"/>
    <w:rsid w:val="00D437C3"/>
    <w:rsid w:val="00D4430C"/>
    <w:rsid w:val="00D44571"/>
    <w:rsid w:val="00D44CB0"/>
    <w:rsid w:val="00D44D9B"/>
    <w:rsid w:val="00D459B7"/>
    <w:rsid w:val="00D52C98"/>
    <w:rsid w:val="00D5440F"/>
    <w:rsid w:val="00D56FB3"/>
    <w:rsid w:val="00D6060A"/>
    <w:rsid w:val="00D6434A"/>
    <w:rsid w:val="00D711FC"/>
    <w:rsid w:val="00D71615"/>
    <w:rsid w:val="00D7259C"/>
    <w:rsid w:val="00D734D8"/>
    <w:rsid w:val="00D73609"/>
    <w:rsid w:val="00D8192E"/>
    <w:rsid w:val="00D85A4A"/>
    <w:rsid w:val="00D86895"/>
    <w:rsid w:val="00D913B0"/>
    <w:rsid w:val="00D9196A"/>
    <w:rsid w:val="00D9261D"/>
    <w:rsid w:val="00D95F91"/>
    <w:rsid w:val="00D96311"/>
    <w:rsid w:val="00D97ACA"/>
    <w:rsid w:val="00D97D84"/>
    <w:rsid w:val="00D97F38"/>
    <w:rsid w:val="00DA0E62"/>
    <w:rsid w:val="00DA2066"/>
    <w:rsid w:val="00DA4302"/>
    <w:rsid w:val="00DA591C"/>
    <w:rsid w:val="00DA5F28"/>
    <w:rsid w:val="00DB0A68"/>
    <w:rsid w:val="00DB1399"/>
    <w:rsid w:val="00DB27C7"/>
    <w:rsid w:val="00DB3378"/>
    <w:rsid w:val="00DB404A"/>
    <w:rsid w:val="00DB6A15"/>
    <w:rsid w:val="00DB7163"/>
    <w:rsid w:val="00DB72E8"/>
    <w:rsid w:val="00DC2123"/>
    <w:rsid w:val="00DC2181"/>
    <w:rsid w:val="00DC47BA"/>
    <w:rsid w:val="00DC691B"/>
    <w:rsid w:val="00DC7240"/>
    <w:rsid w:val="00DD0983"/>
    <w:rsid w:val="00DD2ED6"/>
    <w:rsid w:val="00DD4FBA"/>
    <w:rsid w:val="00DD5E50"/>
    <w:rsid w:val="00DD6A43"/>
    <w:rsid w:val="00DE0C70"/>
    <w:rsid w:val="00DE2616"/>
    <w:rsid w:val="00DE5195"/>
    <w:rsid w:val="00DE6763"/>
    <w:rsid w:val="00DF1640"/>
    <w:rsid w:val="00DF25DE"/>
    <w:rsid w:val="00DF26E9"/>
    <w:rsid w:val="00DF3A53"/>
    <w:rsid w:val="00DF59F7"/>
    <w:rsid w:val="00DF618C"/>
    <w:rsid w:val="00DF62E0"/>
    <w:rsid w:val="00DF7896"/>
    <w:rsid w:val="00E019E6"/>
    <w:rsid w:val="00E03BA4"/>
    <w:rsid w:val="00E04524"/>
    <w:rsid w:val="00E06AA0"/>
    <w:rsid w:val="00E10501"/>
    <w:rsid w:val="00E119CB"/>
    <w:rsid w:val="00E12152"/>
    <w:rsid w:val="00E1780E"/>
    <w:rsid w:val="00E2007C"/>
    <w:rsid w:val="00E2091D"/>
    <w:rsid w:val="00E217AA"/>
    <w:rsid w:val="00E23555"/>
    <w:rsid w:val="00E32B68"/>
    <w:rsid w:val="00E3335C"/>
    <w:rsid w:val="00E34CFD"/>
    <w:rsid w:val="00E356D0"/>
    <w:rsid w:val="00E3647A"/>
    <w:rsid w:val="00E376E0"/>
    <w:rsid w:val="00E37852"/>
    <w:rsid w:val="00E41111"/>
    <w:rsid w:val="00E4203F"/>
    <w:rsid w:val="00E42213"/>
    <w:rsid w:val="00E425A1"/>
    <w:rsid w:val="00E425F8"/>
    <w:rsid w:val="00E43FFD"/>
    <w:rsid w:val="00E44662"/>
    <w:rsid w:val="00E45367"/>
    <w:rsid w:val="00E458C2"/>
    <w:rsid w:val="00E4644B"/>
    <w:rsid w:val="00E46A46"/>
    <w:rsid w:val="00E472FA"/>
    <w:rsid w:val="00E5081D"/>
    <w:rsid w:val="00E52199"/>
    <w:rsid w:val="00E52510"/>
    <w:rsid w:val="00E53251"/>
    <w:rsid w:val="00E53D98"/>
    <w:rsid w:val="00E57E8F"/>
    <w:rsid w:val="00E626CC"/>
    <w:rsid w:val="00E64FBB"/>
    <w:rsid w:val="00E706A0"/>
    <w:rsid w:val="00E71C5E"/>
    <w:rsid w:val="00E76508"/>
    <w:rsid w:val="00E765D2"/>
    <w:rsid w:val="00E773B0"/>
    <w:rsid w:val="00E82488"/>
    <w:rsid w:val="00E83580"/>
    <w:rsid w:val="00E83988"/>
    <w:rsid w:val="00E85328"/>
    <w:rsid w:val="00E9185C"/>
    <w:rsid w:val="00E926BC"/>
    <w:rsid w:val="00E9365C"/>
    <w:rsid w:val="00EA4880"/>
    <w:rsid w:val="00EA6787"/>
    <w:rsid w:val="00EA6A80"/>
    <w:rsid w:val="00EA710A"/>
    <w:rsid w:val="00EB07B1"/>
    <w:rsid w:val="00EB2DF5"/>
    <w:rsid w:val="00EB38DE"/>
    <w:rsid w:val="00EB4DE4"/>
    <w:rsid w:val="00EB5776"/>
    <w:rsid w:val="00EB5F33"/>
    <w:rsid w:val="00EB7F8E"/>
    <w:rsid w:val="00EC2E19"/>
    <w:rsid w:val="00EC34E1"/>
    <w:rsid w:val="00EC67D4"/>
    <w:rsid w:val="00EC7F1A"/>
    <w:rsid w:val="00EC7FBD"/>
    <w:rsid w:val="00ED1BF6"/>
    <w:rsid w:val="00ED257E"/>
    <w:rsid w:val="00ED290E"/>
    <w:rsid w:val="00ED2D47"/>
    <w:rsid w:val="00ED361F"/>
    <w:rsid w:val="00ED4EA1"/>
    <w:rsid w:val="00ED5D78"/>
    <w:rsid w:val="00EE19F1"/>
    <w:rsid w:val="00EE3926"/>
    <w:rsid w:val="00EF0017"/>
    <w:rsid w:val="00EF048E"/>
    <w:rsid w:val="00EF190F"/>
    <w:rsid w:val="00EF19B4"/>
    <w:rsid w:val="00EF2DCE"/>
    <w:rsid w:val="00EF33C0"/>
    <w:rsid w:val="00EF3D99"/>
    <w:rsid w:val="00EF4C18"/>
    <w:rsid w:val="00EF5366"/>
    <w:rsid w:val="00EF53AE"/>
    <w:rsid w:val="00EF5DF2"/>
    <w:rsid w:val="00EF6F57"/>
    <w:rsid w:val="00EF7CF5"/>
    <w:rsid w:val="00F01FEB"/>
    <w:rsid w:val="00F0294E"/>
    <w:rsid w:val="00F029EB"/>
    <w:rsid w:val="00F0340B"/>
    <w:rsid w:val="00F056F4"/>
    <w:rsid w:val="00F05AB4"/>
    <w:rsid w:val="00F105EA"/>
    <w:rsid w:val="00F10E84"/>
    <w:rsid w:val="00F13EF7"/>
    <w:rsid w:val="00F14DF3"/>
    <w:rsid w:val="00F15AE3"/>
    <w:rsid w:val="00F204B5"/>
    <w:rsid w:val="00F2284A"/>
    <w:rsid w:val="00F235A5"/>
    <w:rsid w:val="00F23A32"/>
    <w:rsid w:val="00F26CBC"/>
    <w:rsid w:val="00F27FC4"/>
    <w:rsid w:val="00F31331"/>
    <w:rsid w:val="00F3572C"/>
    <w:rsid w:val="00F371AF"/>
    <w:rsid w:val="00F40892"/>
    <w:rsid w:val="00F4229D"/>
    <w:rsid w:val="00F4261B"/>
    <w:rsid w:val="00F43789"/>
    <w:rsid w:val="00F45272"/>
    <w:rsid w:val="00F456DA"/>
    <w:rsid w:val="00F45D72"/>
    <w:rsid w:val="00F5641D"/>
    <w:rsid w:val="00F56F14"/>
    <w:rsid w:val="00F62790"/>
    <w:rsid w:val="00F62BB8"/>
    <w:rsid w:val="00F65F81"/>
    <w:rsid w:val="00F66FD0"/>
    <w:rsid w:val="00F67465"/>
    <w:rsid w:val="00F67DA1"/>
    <w:rsid w:val="00F7216E"/>
    <w:rsid w:val="00F74413"/>
    <w:rsid w:val="00F74AEC"/>
    <w:rsid w:val="00F75850"/>
    <w:rsid w:val="00F81001"/>
    <w:rsid w:val="00F8434F"/>
    <w:rsid w:val="00F85F24"/>
    <w:rsid w:val="00F862F8"/>
    <w:rsid w:val="00F86BFA"/>
    <w:rsid w:val="00F8737D"/>
    <w:rsid w:val="00F9038C"/>
    <w:rsid w:val="00F92044"/>
    <w:rsid w:val="00F92FAD"/>
    <w:rsid w:val="00F94307"/>
    <w:rsid w:val="00F949F0"/>
    <w:rsid w:val="00FA0547"/>
    <w:rsid w:val="00FA0738"/>
    <w:rsid w:val="00FA0DBF"/>
    <w:rsid w:val="00FA2E64"/>
    <w:rsid w:val="00FA300B"/>
    <w:rsid w:val="00FA34CE"/>
    <w:rsid w:val="00FA4293"/>
    <w:rsid w:val="00FA71A7"/>
    <w:rsid w:val="00FA7242"/>
    <w:rsid w:val="00FB1F91"/>
    <w:rsid w:val="00FB27B6"/>
    <w:rsid w:val="00FB29A7"/>
    <w:rsid w:val="00FB4E2F"/>
    <w:rsid w:val="00FB5B17"/>
    <w:rsid w:val="00FB5CEF"/>
    <w:rsid w:val="00FB75CE"/>
    <w:rsid w:val="00FC6707"/>
    <w:rsid w:val="00FD2746"/>
    <w:rsid w:val="00FD4C16"/>
    <w:rsid w:val="00FE02D3"/>
    <w:rsid w:val="00FE1B3A"/>
    <w:rsid w:val="00FE48E5"/>
    <w:rsid w:val="00FE4FCA"/>
    <w:rsid w:val="00FE684C"/>
    <w:rsid w:val="00FE719E"/>
    <w:rsid w:val="00FE725F"/>
    <w:rsid w:val="00FE7383"/>
    <w:rsid w:val="00FF010D"/>
    <w:rsid w:val="00FF020B"/>
    <w:rsid w:val="00FF2191"/>
    <w:rsid w:val="00FF323F"/>
    <w:rsid w:val="00FF4F25"/>
    <w:rsid w:val="00FF543C"/>
    <w:rsid w:val="00FF5693"/>
    <w:rsid w:val="00FF7B14"/>
    <w:rsid w:val="00FF7E9E"/>
    <w:rsid w:val="4CCE2BD4"/>
    <w:rsid w:val="61B362BB"/>
    <w:rsid w:val="7EBD0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iPriority="99" w:semiHidden="0" w:name="FollowedHyperlink"/>
    <w:lsdException w:qFormat="1" w:unhideWhenUsed="0" w:uiPriority="99" w:semiHidden="0" w:name="Strong"/>
    <w:lsdException w:qFormat="1" w:unhideWhenUsed="0" w:uiPriority="20" w:semiHidden="0" w:name="Emphasis"/>
    <w:lsdException w:unhideWhenUsed="0"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9"/>
    <w:pPr>
      <w:keepNext/>
      <w:jc w:val="center"/>
      <w:outlineLvl w:val="0"/>
    </w:pPr>
    <w:rPr>
      <w:rFonts w:ascii="楷体_GB2312" w:hAnsi="Times New Roman" w:eastAsia="楷体_GB2312" w:cs="Times New Roman"/>
      <w:b/>
      <w:kern w:val="0"/>
      <w:sz w:val="28"/>
      <w:szCs w:val="20"/>
    </w:rPr>
  </w:style>
  <w:style w:type="paragraph" w:styleId="3">
    <w:name w:val="heading 2"/>
    <w:basedOn w:val="1"/>
    <w:next w:val="1"/>
    <w:link w:val="42"/>
    <w:qFormat/>
    <w:uiPriority w:val="99"/>
    <w:pPr>
      <w:keepNext/>
      <w:jc w:val="center"/>
      <w:outlineLvl w:val="1"/>
    </w:pPr>
    <w:rPr>
      <w:rFonts w:ascii="楷体_GB2312" w:hAnsi="Times New Roman" w:eastAsia="楷体_GB2312" w:cs="Times New Roman"/>
      <w:b/>
      <w:bCs/>
      <w:kern w:val="0"/>
      <w:sz w:val="18"/>
      <w:szCs w:val="20"/>
    </w:rPr>
  </w:style>
  <w:style w:type="paragraph" w:styleId="4">
    <w:name w:val="heading 3"/>
    <w:basedOn w:val="1"/>
    <w:next w:val="1"/>
    <w:link w:val="43"/>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44"/>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45"/>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7">
    <w:name w:val="heading 6"/>
    <w:basedOn w:val="1"/>
    <w:next w:val="1"/>
    <w:link w:val="11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uiPriority w:val="39"/>
    <w:pPr>
      <w:ind w:left="1260"/>
      <w:jc w:val="left"/>
    </w:pPr>
    <w:rPr>
      <w:sz w:val="20"/>
      <w:szCs w:val="20"/>
    </w:rPr>
  </w:style>
  <w:style w:type="paragraph" w:styleId="9">
    <w:name w:val="Normal Indent"/>
    <w:basedOn w:val="1"/>
    <w:link w:val="124"/>
    <w:qFormat/>
    <w:uiPriority w:val="0"/>
    <w:pPr>
      <w:ind w:firstLine="420"/>
    </w:pPr>
    <w:rPr>
      <w:rFonts w:ascii="Times New Roman" w:hAnsi="Times New Roman" w:eastAsia="宋体" w:cs="Times New Roman"/>
      <w:szCs w:val="20"/>
    </w:rPr>
  </w:style>
  <w:style w:type="paragraph" w:styleId="10">
    <w:name w:val="Document Map"/>
    <w:basedOn w:val="1"/>
    <w:link w:val="106"/>
    <w:semiHidden/>
    <w:uiPriority w:val="99"/>
    <w:pPr>
      <w:shd w:val="clear" w:color="auto" w:fill="000080"/>
    </w:pPr>
    <w:rPr>
      <w:rFonts w:ascii="Times New Roman" w:hAnsi="Times New Roman" w:eastAsia="宋体" w:cs="Times New Roman"/>
      <w:kern w:val="0"/>
      <w:sz w:val="20"/>
      <w:szCs w:val="20"/>
    </w:rPr>
  </w:style>
  <w:style w:type="paragraph" w:styleId="11">
    <w:name w:val="annotation text"/>
    <w:basedOn w:val="1"/>
    <w:link w:val="113"/>
    <w:unhideWhenUsed/>
    <w:qFormat/>
    <w:uiPriority w:val="99"/>
    <w:pPr>
      <w:jc w:val="left"/>
    </w:pPr>
  </w:style>
  <w:style w:type="paragraph" w:styleId="12">
    <w:name w:val="Body Text"/>
    <w:basedOn w:val="1"/>
    <w:link w:val="50"/>
    <w:qFormat/>
    <w:uiPriority w:val="99"/>
    <w:rPr>
      <w:rFonts w:ascii="华文中宋" w:hAnsi="Times New Roman" w:eastAsia="华文中宋" w:cs="Times New Roman"/>
      <w:bCs/>
      <w:kern w:val="0"/>
      <w:sz w:val="28"/>
      <w:szCs w:val="20"/>
    </w:rPr>
  </w:style>
  <w:style w:type="paragraph" w:styleId="13">
    <w:name w:val="Body Text Indent"/>
    <w:basedOn w:val="1"/>
    <w:link w:val="47"/>
    <w:qFormat/>
    <w:uiPriority w:val="99"/>
    <w:pPr>
      <w:ind w:firstLine="576"/>
    </w:pPr>
    <w:rPr>
      <w:rFonts w:ascii="Times New Roman" w:hAnsi="Times New Roman" w:eastAsia="宋体" w:cs="Times New Roman"/>
      <w:b/>
      <w:kern w:val="0"/>
      <w:sz w:val="30"/>
      <w:szCs w:val="20"/>
    </w:rPr>
  </w:style>
  <w:style w:type="paragraph" w:styleId="14">
    <w:name w:val="toc 5"/>
    <w:basedOn w:val="1"/>
    <w:next w:val="1"/>
    <w:unhideWhenUsed/>
    <w:qFormat/>
    <w:uiPriority w:val="39"/>
    <w:pPr>
      <w:ind w:left="840"/>
      <w:jc w:val="left"/>
    </w:pPr>
    <w:rPr>
      <w:sz w:val="20"/>
      <w:szCs w:val="20"/>
    </w:rPr>
  </w:style>
  <w:style w:type="paragraph" w:styleId="15">
    <w:name w:val="toc 3"/>
    <w:basedOn w:val="1"/>
    <w:next w:val="1"/>
    <w:unhideWhenUsed/>
    <w:qFormat/>
    <w:uiPriority w:val="39"/>
    <w:pPr>
      <w:ind w:left="420"/>
      <w:jc w:val="left"/>
    </w:pPr>
    <w:rPr>
      <w:sz w:val="20"/>
      <w:szCs w:val="20"/>
    </w:rPr>
  </w:style>
  <w:style w:type="paragraph" w:styleId="16">
    <w:name w:val="Plain Text"/>
    <w:basedOn w:val="1"/>
    <w:next w:val="9"/>
    <w:link w:val="133"/>
    <w:unhideWhenUsed/>
    <w:qFormat/>
    <w:uiPriority w:val="99"/>
    <w:rPr>
      <w:rFonts w:ascii="宋体" w:hAnsi="宋体" w:eastAsia="宋体" w:cs="Times New Roman"/>
      <w:sz w:val="26"/>
    </w:rPr>
  </w:style>
  <w:style w:type="paragraph" w:styleId="17">
    <w:name w:val="toc 8"/>
    <w:basedOn w:val="1"/>
    <w:next w:val="1"/>
    <w:unhideWhenUsed/>
    <w:uiPriority w:val="39"/>
    <w:pPr>
      <w:ind w:left="1470"/>
      <w:jc w:val="left"/>
    </w:pPr>
    <w:rPr>
      <w:sz w:val="20"/>
      <w:szCs w:val="20"/>
    </w:rPr>
  </w:style>
  <w:style w:type="paragraph" w:styleId="18">
    <w:name w:val="Date"/>
    <w:basedOn w:val="1"/>
    <w:next w:val="1"/>
    <w:link w:val="46"/>
    <w:qFormat/>
    <w:uiPriority w:val="0"/>
    <w:rPr>
      <w:rFonts w:ascii="Times New Roman" w:hAnsi="Times New Roman" w:eastAsia="黑体" w:cs="Times New Roman"/>
      <w:b/>
      <w:kern w:val="0"/>
      <w:sz w:val="36"/>
      <w:szCs w:val="20"/>
    </w:rPr>
  </w:style>
  <w:style w:type="paragraph" w:styleId="19">
    <w:name w:val="Body Text Indent 2"/>
    <w:basedOn w:val="1"/>
    <w:link w:val="51"/>
    <w:uiPriority w:val="99"/>
    <w:pPr>
      <w:ind w:left="900"/>
    </w:pPr>
    <w:rPr>
      <w:rFonts w:ascii="楷体_GB2312" w:hAnsi="Times New Roman" w:eastAsia="楷体_GB2312" w:cs="Times New Roman"/>
      <w:b/>
      <w:kern w:val="0"/>
      <w:sz w:val="28"/>
      <w:szCs w:val="20"/>
    </w:rPr>
  </w:style>
  <w:style w:type="paragraph" w:styleId="20">
    <w:name w:val="Balloon Text"/>
    <w:basedOn w:val="1"/>
    <w:link w:val="112"/>
    <w:unhideWhenUsed/>
    <w:qFormat/>
    <w:uiPriority w:val="99"/>
    <w:rPr>
      <w:rFonts w:ascii="Times New Roman" w:hAnsi="Times New Roman" w:eastAsia="宋体" w:cs="Times New Roman"/>
      <w:sz w:val="18"/>
      <w:szCs w:val="18"/>
    </w:rPr>
  </w:style>
  <w:style w:type="paragraph" w:styleId="21">
    <w:name w:val="footer"/>
    <w:basedOn w:val="1"/>
    <w:link w:val="48"/>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2">
    <w:name w:val="header"/>
    <w:basedOn w:val="1"/>
    <w:link w:val="4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3">
    <w:name w:val="toc 1"/>
    <w:basedOn w:val="1"/>
    <w:next w:val="1"/>
    <w:unhideWhenUsed/>
    <w:qFormat/>
    <w:uiPriority w:val="39"/>
    <w:pPr>
      <w:tabs>
        <w:tab w:val="right" w:leader="dot" w:pos="9911"/>
      </w:tabs>
      <w:jc w:val="left"/>
    </w:pPr>
    <w:rPr>
      <w:rFonts w:eastAsia="黑体"/>
      <w:sz w:val="28"/>
      <w:szCs w:val="28"/>
    </w:rPr>
  </w:style>
  <w:style w:type="paragraph" w:styleId="24">
    <w:name w:val="toc 4"/>
    <w:basedOn w:val="1"/>
    <w:next w:val="1"/>
    <w:unhideWhenUsed/>
    <w:qFormat/>
    <w:uiPriority w:val="39"/>
    <w:pPr>
      <w:ind w:left="630"/>
      <w:jc w:val="left"/>
    </w:pPr>
    <w:rPr>
      <w:sz w:val="20"/>
      <w:szCs w:val="20"/>
    </w:rPr>
  </w:style>
  <w:style w:type="paragraph" w:styleId="25">
    <w:name w:val="toc 6"/>
    <w:basedOn w:val="1"/>
    <w:next w:val="1"/>
    <w:unhideWhenUsed/>
    <w:qFormat/>
    <w:uiPriority w:val="39"/>
    <w:pPr>
      <w:ind w:left="1050"/>
      <w:jc w:val="left"/>
    </w:pPr>
    <w:rPr>
      <w:sz w:val="20"/>
      <w:szCs w:val="20"/>
    </w:rPr>
  </w:style>
  <w:style w:type="paragraph" w:styleId="26">
    <w:name w:val="Body Text Indent 3"/>
    <w:basedOn w:val="1"/>
    <w:link w:val="52"/>
    <w:uiPriority w:val="99"/>
    <w:pPr>
      <w:ind w:left="359" w:leftChars="171" w:firstLine="359" w:firstLineChars="171"/>
    </w:pPr>
    <w:rPr>
      <w:rFonts w:ascii="Times New Roman" w:hAnsi="Times New Roman" w:eastAsia="宋体" w:cs="Times New Roman"/>
      <w:kern w:val="0"/>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uiPriority w:val="39"/>
    <w:pPr>
      <w:ind w:left="1680"/>
      <w:jc w:val="left"/>
    </w:pPr>
    <w:rPr>
      <w:sz w:val="20"/>
      <w:szCs w:val="20"/>
    </w:rPr>
  </w:style>
  <w:style w:type="paragraph" w:styleId="29">
    <w:name w:val="Body Text 2"/>
    <w:basedOn w:val="1"/>
    <w:link w:val="107"/>
    <w:uiPriority w:val="99"/>
    <w:pPr>
      <w:spacing w:after="120" w:line="480" w:lineRule="auto"/>
    </w:pPr>
    <w:rPr>
      <w:rFonts w:ascii="Times New Roman" w:hAnsi="Times New Roman" w:eastAsia="宋体" w:cs="Times New Roman"/>
      <w:kern w:val="0"/>
      <w:sz w:val="20"/>
      <w:szCs w:val="20"/>
    </w:rPr>
  </w:style>
  <w:style w:type="paragraph" w:styleId="3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11"/>
    <w:next w:val="11"/>
    <w:link w:val="114"/>
    <w:unhideWhenUsed/>
    <w:uiPriority w:val="99"/>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rFonts w:cs="Times New Roman"/>
      <w:b/>
      <w:bCs/>
    </w:rPr>
  </w:style>
  <w:style w:type="character" w:styleId="36">
    <w:name w:val="page number"/>
    <w:uiPriority w:val="99"/>
    <w:rPr>
      <w:rFonts w:cs="Times New Roman"/>
    </w:rPr>
  </w:style>
  <w:style w:type="character" w:styleId="37">
    <w:name w:val="FollowedHyperlink"/>
    <w:unhideWhenUsed/>
    <w:uiPriority w:val="99"/>
    <w:rPr>
      <w:color w:val="800080"/>
      <w:u w:val="single"/>
    </w:rPr>
  </w:style>
  <w:style w:type="character" w:styleId="38">
    <w:name w:val="HTML Typewriter"/>
    <w:uiPriority w:val="99"/>
    <w:rPr>
      <w:rFonts w:ascii="宋体" w:hAnsi="宋体" w:eastAsia="宋体" w:cs="宋体"/>
      <w:sz w:val="24"/>
      <w:szCs w:val="24"/>
    </w:rPr>
  </w:style>
  <w:style w:type="character" w:styleId="39">
    <w:name w:val="Hyperlink"/>
    <w:uiPriority w:val="99"/>
    <w:rPr>
      <w:rFonts w:cs="Times New Roman"/>
      <w:color w:val="auto"/>
      <w:u w:val="none"/>
    </w:rPr>
  </w:style>
  <w:style w:type="character" w:styleId="40">
    <w:name w:val="annotation reference"/>
    <w:basedOn w:val="34"/>
    <w:unhideWhenUsed/>
    <w:qFormat/>
    <w:uiPriority w:val="99"/>
    <w:rPr>
      <w:sz w:val="21"/>
      <w:szCs w:val="21"/>
    </w:rPr>
  </w:style>
  <w:style w:type="character" w:customStyle="1" w:styleId="41">
    <w:name w:val="标题 1 Char"/>
    <w:basedOn w:val="34"/>
    <w:link w:val="2"/>
    <w:qFormat/>
    <w:uiPriority w:val="99"/>
    <w:rPr>
      <w:rFonts w:ascii="楷体_GB2312" w:hAnsi="Times New Roman" w:eastAsia="楷体_GB2312" w:cs="Times New Roman"/>
      <w:b/>
      <w:kern w:val="0"/>
      <w:sz w:val="28"/>
      <w:szCs w:val="20"/>
    </w:rPr>
  </w:style>
  <w:style w:type="character" w:customStyle="1" w:styleId="42">
    <w:name w:val="标题 2 Char"/>
    <w:basedOn w:val="34"/>
    <w:link w:val="3"/>
    <w:qFormat/>
    <w:uiPriority w:val="99"/>
    <w:rPr>
      <w:rFonts w:ascii="楷体_GB2312" w:hAnsi="Times New Roman" w:eastAsia="楷体_GB2312" w:cs="Times New Roman"/>
      <w:b/>
      <w:bCs/>
      <w:kern w:val="0"/>
      <w:sz w:val="18"/>
      <w:szCs w:val="20"/>
    </w:rPr>
  </w:style>
  <w:style w:type="character" w:customStyle="1" w:styleId="43">
    <w:name w:val="标题 3 Char"/>
    <w:basedOn w:val="34"/>
    <w:link w:val="4"/>
    <w:qFormat/>
    <w:uiPriority w:val="99"/>
    <w:rPr>
      <w:rFonts w:ascii="Times New Roman" w:hAnsi="Times New Roman" w:eastAsia="楷体_GB2312" w:cs="Times New Roman"/>
      <w:b/>
      <w:bCs/>
      <w:kern w:val="0"/>
      <w:sz w:val="15"/>
      <w:szCs w:val="20"/>
    </w:rPr>
  </w:style>
  <w:style w:type="character" w:customStyle="1" w:styleId="44">
    <w:name w:val="标题 4 Char"/>
    <w:basedOn w:val="34"/>
    <w:link w:val="5"/>
    <w:qFormat/>
    <w:uiPriority w:val="99"/>
    <w:rPr>
      <w:rFonts w:ascii="Times New Roman" w:hAnsi="Times New Roman" w:eastAsia="楷体_GB2312" w:cs="Times New Roman"/>
      <w:b/>
      <w:bCs/>
      <w:kern w:val="0"/>
      <w:sz w:val="13"/>
      <w:szCs w:val="20"/>
    </w:rPr>
  </w:style>
  <w:style w:type="character" w:customStyle="1" w:styleId="45">
    <w:name w:val="标题 5 Char"/>
    <w:basedOn w:val="34"/>
    <w:link w:val="6"/>
    <w:uiPriority w:val="99"/>
    <w:rPr>
      <w:rFonts w:ascii="楷体_GB2312" w:hAnsi="Times New Roman" w:eastAsia="楷体_GB2312" w:cs="Times New Roman"/>
      <w:bCs/>
      <w:kern w:val="0"/>
      <w:sz w:val="28"/>
      <w:szCs w:val="20"/>
    </w:rPr>
  </w:style>
  <w:style w:type="character" w:customStyle="1" w:styleId="46">
    <w:name w:val="日期 Char"/>
    <w:basedOn w:val="34"/>
    <w:link w:val="18"/>
    <w:qFormat/>
    <w:uiPriority w:val="99"/>
    <w:rPr>
      <w:rFonts w:ascii="Times New Roman" w:hAnsi="Times New Roman" w:eastAsia="黑体" w:cs="Times New Roman"/>
      <w:b/>
      <w:kern w:val="0"/>
      <w:sz w:val="36"/>
      <w:szCs w:val="20"/>
    </w:rPr>
  </w:style>
  <w:style w:type="character" w:customStyle="1" w:styleId="47">
    <w:name w:val="正文文本缩进 Char"/>
    <w:basedOn w:val="34"/>
    <w:link w:val="13"/>
    <w:qFormat/>
    <w:uiPriority w:val="99"/>
    <w:rPr>
      <w:rFonts w:ascii="Times New Roman" w:hAnsi="Times New Roman" w:eastAsia="宋体" w:cs="Times New Roman"/>
      <w:b/>
      <w:kern w:val="0"/>
      <w:sz w:val="30"/>
      <w:szCs w:val="20"/>
    </w:rPr>
  </w:style>
  <w:style w:type="character" w:customStyle="1" w:styleId="48">
    <w:name w:val="页脚 Char"/>
    <w:basedOn w:val="34"/>
    <w:link w:val="21"/>
    <w:qFormat/>
    <w:uiPriority w:val="99"/>
    <w:rPr>
      <w:rFonts w:ascii="Times New Roman" w:hAnsi="Times New Roman" w:eastAsia="宋体" w:cs="Times New Roman"/>
      <w:kern w:val="0"/>
      <w:sz w:val="18"/>
      <w:szCs w:val="20"/>
    </w:rPr>
  </w:style>
  <w:style w:type="character" w:customStyle="1" w:styleId="49">
    <w:name w:val="页眉 Char"/>
    <w:basedOn w:val="34"/>
    <w:link w:val="22"/>
    <w:qFormat/>
    <w:uiPriority w:val="99"/>
    <w:rPr>
      <w:rFonts w:ascii="Times New Roman" w:hAnsi="Times New Roman" w:eastAsia="宋体" w:cs="Times New Roman"/>
      <w:kern w:val="0"/>
      <w:sz w:val="18"/>
      <w:szCs w:val="20"/>
    </w:rPr>
  </w:style>
  <w:style w:type="character" w:customStyle="1" w:styleId="50">
    <w:name w:val="正文文本 Char"/>
    <w:basedOn w:val="34"/>
    <w:link w:val="12"/>
    <w:uiPriority w:val="99"/>
    <w:rPr>
      <w:rFonts w:ascii="华文中宋" w:hAnsi="Times New Roman" w:eastAsia="华文中宋" w:cs="Times New Roman"/>
      <w:bCs/>
      <w:kern w:val="0"/>
      <w:sz w:val="28"/>
      <w:szCs w:val="20"/>
    </w:rPr>
  </w:style>
  <w:style w:type="character" w:customStyle="1" w:styleId="51">
    <w:name w:val="正文文本缩进 2 Char"/>
    <w:basedOn w:val="34"/>
    <w:link w:val="19"/>
    <w:uiPriority w:val="99"/>
    <w:rPr>
      <w:rFonts w:ascii="楷体_GB2312" w:hAnsi="Times New Roman" w:eastAsia="楷体_GB2312" w:cs="Times New Roman"/>
      <w:b/>
      <w:kern w:val="0"/>
      <w:sz w:val="28"/>
      <w:szCs w:val="20"/>
    </w:rPr>
  </w:style>
  <w:style w:type="character" w:customStyle="1" w:styleId="52">
    <w:name w:val="正文文本缩进 3 Char"/>
    <w:basedOn w:val="34"/>
    <w:link w:val="26"/>
    <w:uiPriority w:val="99"/>
    <w:rPr>
      <w:rFonts w:ascii="Times New Roman" w:hAnsi="Times New Roman" w:eastAsia="宋体" w:cs="Times New Roman"/>
      <w:kern w:val="0"/>
      <w:sz w:val="20"/>
      <w:szCs w:val="20"/>
    </w:rPr>
  </w:style>
  <w:style w:type="paragraph" w:customStyle="1" w:styleId="53">
    <w:name w:val="font5"/>
    <w:basedOn w:val="1"/>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4">
    <w:name w:val="font6"/>
    <w:basedOn w:val="1"/>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5">
    <w:name w:val="font7"/>
    <w:basedOn w:val="1"/>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6">
    <w:name w:val="font8"/>
    <w:basedOn w:val="1"/>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7">
    <w:name w:val="font9"/>
    <w:basedOn w:val="1"/>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8">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9">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60">
    <w:name w:val="xl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1">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2">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3">
    <w:name w:val="xl2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4">
    <w:name w:val="xl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5">
    <w:name w:val="xl3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6">
    <w:name w:val="xl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7">
    <w:name w:val="xl3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8">
    <w:name w:val="xl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9">
    <w:name w:val="xl3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70">
    <w:name w:val="xl3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1">
    <w:name w:val="xl3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2">
    <w:name w:val="xl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3">
    <w:name w:val="xl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4">
    <w:name w:val="xl4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5">
    <w:name w:val="xl4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6">
    <w:name w:val="xl4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7">
    <w:name w:val="xl43"/>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4"/>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5"/>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0">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2">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0"/>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5">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3"/>
    <w:basedOn w:val="1"/>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8">
    <w:name w:val="xl54"/>
    <w:basedOn w:val="1"/>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9">
    <w:name w:val="xl55"/>
    <w:basedOn w:val="1"/>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6"/>
    <w:basedOn w:val="1"/>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1">
    <w:name w:val="xl57"/>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8"/>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5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0"/>
    <w:basedOn w:val="1"/>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7">
    <w:name w:val="xl63"/>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8">
    <w:name w:val="font10"/>
    <w:basedOn w:val="1"/>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9">
    <w:name w:val="font11"/>
    <w:basedOn w:val="1"/>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00">
    <w:name w:val="font12"/>
    <w:basedOn w:val="1"/>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1">
    <w:name w:val="font13"/>
    <w:basedOn w:val="1"/>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2">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3">
    <w:name w:val="case31"/>
    <w:uiPriority w:val="99"/>
    <w:rPr>
      <w:rFonts w:cs="Times New Roman"/>
      <w:spacing w:val="390"/>
      <w:sz w:val="21"/>
      <w:szCs w:val="21"/>
    </w:rPr>
  </w:style>
  <w:style w:type="paragraph" w:customStyle="1" w:styleId="104">
    <w:name w:val="普通文字"/>
    <w:basedOn w:val="1"/>
    <w:next w:val="1"/>
    <w:qFormat/>
    <w:uiPriority w:val="99"/>
    <w:rPr>
      <w:rFonts w:ascii="宋体" w:hAnsi="Times New Roman" w:eastAsia="宋体" w:cs="Times New Roman"/>
      <w:kern w:val="0"/>
      <w:sz w:val="24"/>
      <w:szCs w:val="20"/>
      <w:u w:color="000000"/>
    </w:rPr>
  </w:style>
  <w:style w:type="paragraph" w:customStyle="1" w:styleId="105">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6">
    <w:name w:val="文档结构图 Char"/>
    <w:basedOn w:val="34"/>
    <w:link w:val="10"/>
    <w:semiHidden/>
    <w:qFormat/>
    <w:uiPriority w:val="99"/>
    <w:rPr>
      <w:rFonts w:ascii="Times New Roman" w:hAnsi="Times New Roman" w:eastAsia="宋体" w:cs="Times New Roman"/>
      <w:kern w:val="0"/>
      <w:sz w:val="20"/>
      <w:szCs w:val="20"/>
      <w:shd w:val="clear" w:color="auto" w:fill="000080"/>
    </w:rPr>
  </w:style>
  <w:style w:type="character" w:customStyle="1" w:styleId="107">
    <w:name w:val="正文文本 2 Char"/>
    <w:basedOn w:val="34"/>
    <w:link w:val="29"/>
    <w:uiPriority w:val="99"/>
    <w:rPr>
      <w:rFonts w:ascii="Times New Roman" w:hAnsi="Times New Roman" w:eastAsia="宋体" w:cs="Times New Roman"/>
      <w:kern w:val="0"/>
      <w:sz w:val="20"/>
      <w:szCs w:val="20"/>
    </w:rPr>
  </w:style>
  <w:style w:type="paragraph" w:customStyle="1" w:styleId="108">
    <w:name w:val="Char Char Char Char"/>
    <w:basedOn w:val="10"/>
    <w:uiPriority w:val="99"/>
    <w:pPr>
      <w:adjustRightInd w:val="0"/>
      <w:snapToGrid w:val="0"/>
      <w:spacing w:line="360" w:lineRule="auto"/>
    </w:pPr>
    <w:rPr>
      <w:rFonts w:ascii="Tahoma" w:hAnsi="Tahoma"/>
      <w:sz w:val="24"/>
      <w:szCs w:val="24"/>
    </w:rPr>
  </w:style>
  <w:style w:type="paragraph" w:customStyle="1" w:styleId="109">
    <w:name w:val="Char Char1 Char Char Char Char"/>
    <w:basedOn w:val="10"/>
    <w:uiPriority w:val="99"/>
    <w:pPr>
      <w:adjustRightInd w:val="0"/>
      <w:spacing w:line="436" w:lineRule="exact"/>
      <w:ind w:left="357"/>
      <w:jc w:val="left"/>
      <w:outlineLvl w:val="3"/>
    </w:pPr>
    <w:rPr>
      <w:rFonts w:ascii="Tahoma" w:hAnsi="Tahoma"/>
      <w:b/>
      <w:sz w:val="24"/>
      <w:szCs w:val="24"/>
    </w:rPr>
  </w:style>
  <w:style w:type="paragraph" w:customStyle="1" w:styleId="110">
    <w:name w:val="列出段落1"/>
    <w:basedOn w:val="1"/>
    <w:qFormat/>
    <w:uiPriority w:val="99"/>
    <w:pPr>
      <w:ind w:firstLine="420" w:firstLineChars="200"/>
    </w:pPr>
    <w:rPr>
      <w:rFonts w:ascii="Times New Roman" w:hAnsi="Times New Roman" w:eastAsia="宋体" w:cs="Times New Roman"/>
      <w:szCs w:val="20"/>
    </w:rPr>
  </w:style>
  <w:style w:type="paragraph" w:customStyle="1" w:styleId="111">
    <w:name w:val="修订1"/>
    <w:hidden/>
    <w:semiHidden/>
    <w:uiPriority w:val="99"/>
    <w:rPr>
      <w:rFonts w:ascii="Times New Roman" w:hAnsi="Times New Roman" w:eastAsia="宋体" w:cs="Times New Roman"/>
      <w:kern w:val="2"/>
      <w:sz w:val="21"/>
      <w:lang w:val="en-US" w:eastAsia="zh-CN" w:bidi="ar-SA"/>
    </w:rPr>
  </w:style>
  <w:style w:type="character" w:customStyle="1" w:styleId="112">
    <w:name w:val="批注框文本 Char"/>
    <w:basedOn w:val="34"/>
    <w:link w:val="20"/>
    <w:semiHidden/>
    <w:uiPriority w:val="99"/>
    <w:rPr>
      <w:rFonts w:ascii="Times New Roman" w:hAnsi="Times New Roman" w:eastAsia="宋体" w:cs="Times New Roman"/>
      <w:sz w:val="18"/>
      <w:szCs w:val="18"/>
    </w:rPr>
  </w:style>
  <w:style w:type="character" w:customStyle="1" w:styleId="113">
    <w:name w:val="批注文字 Char"/>
    <w:basedOn w:val="34"/>
    <w:link w:val="11"/>
    <w:semiHidden/>
    <w:qFormat/>
    <w:uiPriority w:val="99"/>
  </w:style>
  <w:style w:type="character" w:customStyle="1" w:styleId="114">
    <w:name w:val="批注主题 Char"/>
    <w:basedOn w:val="113"/>
    <w:link w:val="31"/>
    <w:semiHidden/>
    <w:uiPriority w:val="99"/>
    <w:rPr>
      <w:b/>
      <w:bCs/>
    </w:rPr>
  </w:style>
  <w:style w:type="paragraph" w:customStyle="1" w:styleId="115">
    <w:name w:val="列表段落1"/>
    <w:basedOn w:val="1"/>
    <w:qFormat/>
    <w:uiPriority w:val="99"/>
    <w:pPr>
      <w:ind w:firstLine="420" w:firstLineChars="200"/>
    </w:pPr>
    <w:rPr>
      <w:rFonts w:ascii="Times New Roman" w:hAnsi="Times New Roman" w:eastAsia="宋体" w:cs="Times New Roman"/>
      <w:szCs w:val="21"/>
    </w:rPr>
  </w:style>
  <w:style w:type="character" w:customStyle="1" w:styleId="116">
    <w:name w:val="标题 6 Char"/>
    <w:basedOn w:val="34"/>
    <w:link w:val="7"/>
    <w:uiPriority w:val="9"/>
    <w:rPr>
      <w:rFonts w:asciiTheme="majorHAnsi" w:hAnsiTheme="majorHAnsi" w:eastAsiaTheme="majorEastAsia" w:cstheme="majorBidi"/>
      <w:b/>
      <w:bCs/>
      <w:kern w:val="2"/>
      <w:sz w:val="24"/>
      <w:szCs w:val="24"/>
    </w:rPr>
  </w:style>
  <w:style w:type="paragraph" w:customStyle="1" w:styleId="117">
    <w:name w:val="TOC 标题1"/>
    <w:basedOn w:val="2"/>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8">
    <w:name w:val="修订2"/>
    <w:hidden/>
    <w:unhideWhenUsed/>
    <w:uiPriority w:val="99"/>
    <w:rPr>
      <w:rFonts w:asciiTheme="minorHAnsi" w:hAnsiTheme="minorHAnsi" w:eastAsiaTheme="minorEastAsia" w:cstheme="minorBidi"/>
      <w:kern w:val="2"/>
      <w:sz w:val="21"/>
      <w:szCs w:val="22"/>
      <w:lang w:val="en-US" w:eastAsia="zh-CN" w:bidi="ar-SA"/>
    </w:rPr>
  </w:style>
  <w:style w:type="paragraph" w:customStyle="1" w:styleId="119">
    <w:name w:val="Í¼±íÕýÎÄ"/>
    <w:basedOn w:val="1"/>
    <w:next w:val="9"/>
    <w:qFormat/>
    <w:uiPriority w:val="0"/>
    <w:pPr>
      <w:ind w:firstLine="420" w:firstLineChars="200"/>
    </w:pPr>
    <w:rPr>
      <w:rFonts w:ascii="Times New Roman" w:hAnsi="Times New Roman" w:eastAsia="宋体" w:cs="Times New Roman"/>
      <w:sz w:val="24"/>
      <w:szCs w:val="20"/>
    </w:rPr>
  </w:style>
  <w:style w:type="character" w:customStyle="1" w:styleId="120">
    <w:name w:val="未处理的提及1"/>
    <w:basedOn w:val="34"/>
    <w:unhideWhenUsed/>
    <w:uiPriority w:val="99"/>
    <w:rPr>
      <w:color w:val="605E5C"/>
      <w:shd w:val="clear" w:color="auto" w:fill="E1DFDD"/>
    </w:rPr>
  </w:style>
  <w:style w:type="paragraph" w:customStyle="1" w:styleId="121">
    <w:name w:val="标题2"/>
    <w:basedOn w:val="3"/>
    <w:next w:val="1"/>
    <w:qFormat/>
    <w:uiPriority w:val="0"/>
    <w:pPr>
      <w:spacing w:line="360" w:lineRule="auto"/>
    </w:pPr>
    <w:rPr>
      <w:rFonts w:ascii="黑体" w:hAnsi="黑体" w:eastAsia="黑体"/>
      <w:b w:val="0"/>
      <w:sz w:val="32"/>
      <w:szCs w:val="32"/>
    </w:rPr>
  </w:style>
  <w:style w:type="paragraph" w:customStyle="1" w:styleId="122">
    <w:name w:val="标题1"/>
    <w:basedOn w:val="2"/>
    <w:next w:val="1"/>
    <w:qFormat/>
    <w:uiPriority w:val="0"/>
    <w:pPr>
      <w:spacing w:line="360" w:lineRule="auto"/>
    </w:pPr>
    <w:rPr>
      <w:rFonts w:ascii="黑体" w:hAnsi="黑体" w:eastAsia="黑体"/>
      <w:b w:val="0"/>
      <w:bCs/>
      <w:szCs w:val="28"/>
    </w:rPr>
  </w:style>
  <w:style w:type="paragraph" w:customStyle="1" w:styleId="123">
    <w:name w:val="标题1-1"/>
    <w:basedOn w:val="2"/>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4">
    <w:name w:val="正文缩进 Char"/>
    <w:link w:val="9"/>
    <w:qFormat/>
    <w:uiPriority w:val="0"/>
    <w:rPr>
      <w:rFonts w:ascii="Times New Roman" w:hAnsi="Times New Roman" w:eastAsia="宋体" w:cs="Times New Roman"/>
      <w:kern w:val="2"/>
      <w:sz w:val="21"/>
    </w:rPr>
  </w:style>
  <w:style w:type="table" w:customStyle="1" w:styleId="125">
    <w:name w:val="网格型浅色1"/>
    <w:basedOn w:val="3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6">
    <w:name w:val="正文缩进1"/>
    <w:basedOn w:val="1"/>
    <w:qFormat/>
    <w:uiPriority w:val="0"/>
    <w:pPr>
      <w:autoSpaceDE w:val="0"/>
      <w:autoSpaceDN w:val="0"/>
      <w:adjustRightInd w:val="0"/>
      <w:ind w:firstLine="420"/>
      <w:jc w:val="left"/>
    </w:pPr>
    <w:rPr>
      <w:rFonts w:ascii="宋体"/>
      <w:sz w:val="24"/>
    </w:rPr>
  </w:style>
  <w:style w:type="paragraph" w:customStyle="1" w:styleId="127">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28">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29">
    <w:name w:val="日期 字符1"/>
    <w:locked/>
    <w:uiPriority w:val="0"/>
    <w:rPr>
      <w:kern w:val="2"/>
      <w:sz w:val="24"/>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1">
    <w:name w:val="列出段落1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2">
    <w:name w:val="纯文本1"/>
    <w:basedOn w:val="1"/>
    <w:qFormat/>
    <w:uiPriority w:val="0"/>
    <w:rPr>
      <w:rFonts w:ascii="宋体" w:hAnsi="Courier New" w:eastAsia="宋体" w:cs="Times New Roman"/>
      <w:kern w:val="0"/>
      <w:sz w:val="20"/>
      <w:szCs w:val="20"/>
    </w:rPr>
  </w:style>
  <w:style w:type="character" w:customStyle="1" w:styleId="133">
    <w:name w:val="纯文本 Char"/>
    <w:basedOn w:val="34"/>
    <w:link w:val="16"/>
    <w:uiPriority w:val="99"/>
    <w:rPr>
      <w:rFonts w:ascii="宋体" w:hAnsi="宋体" w:eastAsia="宋体" w:cs="Times New Roman"/>
      <w:kern w:val="2"/>
      <w:sz w:val="26"/>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7C8A1-7A0B-44C3-AFAB-3BEEE1FE2C2F}">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52</Pages>
  <Words>3967</Words>
  <Characters>22618</Characters>
  <Lines>188</Lines>
  <Paragraphs>53</Paragraphs>
  <TotalTime>233</TotalTime>
  <ScaleCrop>false</ScaleCrop>
  <LinksUpToDate>false</LinksUpToDate>
  <CharactersWithSpaces>26532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2021-02-09T09:02:00Z</dcterms:created>
  <dc:creator>黄炜</dc:creator>
  <cp:lastModifiedBy>Admin</cp:lastModifiedBy>
  <cp:lastPrinted>2020-11-09T11:16:00Z</cp:lastPrinted>
  <dcterms:modified xsi:type="dcterms:W3CDTF">2021-06-09T07:57:11Z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